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ADR-0011: Construction Projects Domain</w:t>
      </w:r>
    </w:p>
    <w:p>
      <w:pPr>
        <w:spacing w:after="120"/>
      </w:pPr>
      <w:r>
        <w:rPr>
          <w:i/>
          <w:iCs/>
          <w:color w:val="555555"/>
        </w:rPr>
        <w:t xml:space="preserve">Order-time cost, completion-time effect, tick-driven progress, and the concurrent-project limit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Accepted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2026-09-23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Construction Projects (Simulation Core)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dxa" w:w="7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ADR-0003, ADR-0007, ADR-0009, Document 3, Document 8, design-concept workbook</w:t>
            </w:r>
          </w:p>
        </w:tc>
      </w:tr>
    </w:tbl>
    <w:p>
      <w:pPr>
        <w:pStyle w:val="Heading1"/>
        <w:spacing w:after="120" w:before="240"/>
      </w:pPr>
      <w:r>
        <w:t xml:space="preserve">Context</w:t>
      </w:r>
    </w:p>
    <w:p>
      <w:pPr>
        <w:spacing w:after="120"/>
      </w:pPr>
      <w:r>
        <w:t xml:space="preserve">M4 Step 4.5 builds the Construction Projects domain confirmed for M4 in ADR-0007. The design-concept workbook's Construction Projects sheet defines the mechanics: buildings are ordered against a queue, exactly one project may be In Progress at a time in v1, cost and materials are deducted when a project is ordered, and the building itself is only added once construction completes. A per-completed-Construction-Crew speed bonus shortens future projects' duration, uncapped.</w:t>
      </w:r>
    </w:p>
    <w:p>
      <w:pPr>
        <w:spacing w:after="120"/>
      </w:pPr>
      <w:r>
        <w:t xml:space="preserve">The project owner confirmed intent to allow multiple concurrent projects in the future - the workbook's single-project rule is a v1 starting point, not a permanent design constraint.</w:t>
      </w:r>
    </w:p>
    <w:p>
      <w:pPr>
        <w:pStyle w:val="Heading1"/>
        <w:spacing w:after="120" w:before="240"/>
      </w:pPr>
      <w:r>
        <w:t xml:space="preserve">Decision 1: Schema</w:t>
      </w:r>
    </w:p>
    <w:p>
      <w:pPr>
        <w:spacing w:after="120"/>
      </w:pPr>
      <w:r>
        <w:t xml:space="preserve">A new table, ConstructionProject (migration 0023), one row per order. TotalConstructionCost, TotalTimberRequired and TotalStoneRequired are snapshotted at order time from the BuildingType catalog, so a later catalog change cannot retroactively alter an order already placed. AdjustedDurationMonths is computed once at order time and stored, not recalculated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MonthsElapsed is a plain counter incremented once per month-boundary tick, compared against AdjustedDurationMonths to decide completion. This replaces the workbook's absolute-calendar-month arithmetic with tick-counting, matching how aging and production already track monthly progress. Functionally equivalent; avoids reimplementing month-difference math.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is InProgress or Complete, with a CHECK constraint tying it to CompletedSimulationDate (set if and only if Complete).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Costs/materials-at-order, building-at-completion is preserved exactly as the workbook specifies.</w:t>
      </w:r>
    </w:p>
    <w:p>
      <w:pPr>
        <w:pStyle w:val="Heading1"/>
        <w:spacing w:after="120" w:before="240"/>
      </w:pPr>
      <w:r>
        <w:t xml:space="preserve">Decision 2: The concurrent-project limit is a ScenarioParameter, not a database constraint</w:t>
      </w:r>
    </w:p>
    <w:p>
      <w:pPr>
        <w:spacing w:after="120"/>
      </w:pPr>
      <w:r>
        <w:t xml:space="preserve">Because the owner intends to raise the limit above one later, it is enforced in the service layer against a new MaxActiveConstructionProjectsPerCity ScenarioParameter (seeded at 1), checked when a project is ordered. This is a deliberate departure from the City.IsPrimaryActive pattern (a database-level filtered unique index): that invariant is not expected to change, so it is enforced at the database. This one is expected to change, so raising it later is a data change - update one ScenarioParameter row - not an ADR-gated schema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plain (non-unique) index on ConstructionProject(CityID, Status) supports the actual query pattern (a city's in-progress projects) without constraining cardinality.</w:t>
      </w:r>
    </w:p>
    <w:p>
      <w:pPr>
        <w:pStyle w:val="Heading1"/>
        <w:spacing w:after="120" w:before="240"/>
      </w:pPr>
      <w:r>
        <w:t xml:space="preserve">Decision 3: Two more placeholder ScenarioParameters</w:t>
      </w:r>
    </w:p>
    <w:p>
      <w:pPr>
        <w:spacing w:after="120"/>
      </w:pPr>
      <w:r>
        <w:t xml:space="preserve">Seeded in migration 0024, from the workbook's own defaults ('+Default Statistics' B24/B25), same status as the needs-consumption rates: explicit placeholders, not balanced numbers, per the owner's standing instruction to defer balancing until the M4 skeleton is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MonthlyConstructionBudget = 100.0 ($100 of cost converts to 1 base construction month).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ConstructionBonusPerCompletedCrew = 0.0005 (0.05% shorter duration per completed Construction Crew building at order time, uncapped).</w:t>
      </w:r>
    </w:p>
    <w:p>
      <w:pPr>
        <w:pStyle w:val="Heading1"/>
        <w:spacing w:after="120" w:before="240"/>
      </w:pPr>
      <w:r>
        <w:t xml:space="preserve">Decision 4: Service split - ordering is a command, progress is a tick step</w:t>
      </w:r>
    </w:p>
    <w:p>
      <w:pPr>
        <w:spacing w:after="120"/>
      </w:pPr>
      <w:r>
        <w:t xml:space="preserve">order_project(...) is called on demand (not automatically every tick): it checks the concurrent-project limit, snapshots costs, deducts Treasury and Timber/Stone from inventory immediately through the existing TreasuryService/InventoryService (so insufficient funds or materials fail the same way they already do elsewhere), computes AdjustedDurationMonths, and creates the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advance_projects(...) is the tick step (Step 4.5c), running on month-boundary cadence alongside aging and production. It increments MonthsElapsed on each of a city's InProgress projects; a project reaching its AdjustedDurationMonths is marked Complete and its Building row is incremented (or created) by BuildingsOrdered.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Placement in the assembled step list: after Production, before NeedsConsumption. Construction does not compete with FOOD/HEATING resources, so this ordering has no material consequence; flagged in case the owner prefers otherwise.</w:t>
      </w:r>
    </w:p>
    <w:p>
      <w:pPr>
        <w:pStyle w:val="Heading1"/>
        <w:spacing w:after="120" w:before="240"/>
      </w:pPr>
      <w:r>
        <w:t xml:space="preserve">Consequences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Raising the concurrent-project limit later requires no schema change and no ADR - only a ScenarioParameter update, per the owner's stated intent.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project's duration and cost are fixed at order time; changing BuildingType costs or ScenarioParameter rates later does not retroactively affect in-flight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Steps 4.5b (order_project, ordering rules) and 4.5c (advance_projects, tick step) are separate deliveries; this step (4.5a) is schema and seed data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Calibri" w:cs="Calibri" w:eastAsia="Calibri" w:hAnsi="Calibri"/>
      <w:b w:val="false"/>
      <w:bCs w:val="false"/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 w:val="false"/>
      <w:bCs w:val="false"/>
      <w:color w:val="2E74B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2026-09-23T11:15:41.205Z</dcterms:created>
  <dcterms:modified xsi:type="dcterms:W3CDTF">2026-09-23T11:15:41.206Z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