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Document 6 — Python Simulation Engine Implementation</w:t>
      </w:r>
    </w:p>
    <w:p>
      <w:pPr>
        <w:spacing w:after="120"/>
      </w:pPr>
      <w:r>
        <w:rPr>
          <w:i/>
          <w:iCs/>
          <w:color w:val="555555"/>
        </w:rPr>
        <w:t xml:space="preserve">CityScape Simulation Platform (Cinis: reference implementation)</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4CE" w:val="clear"/>
            <w:tcMar>
              <w:top w:type="dxa" w:w="160"/>
              <w:left w:type="dxa" w:w="200"/>
              <w:bottom w:type="dxa" w:w="160"/>
              <w:right w:type="dxa" w:w="200"/>
            </w:tcMar>
          </w:tcPr>
          <w:p>
            <w:pPr>
              <w:spacing w:after="60"/>
            </w:pPr>
            <w:r>
              <w:rPr>
                <w:b/>
                <w:bCs/>
              </w:rPr>
              <w:t xml:space="preserve">Reconstruction Notice</w:t>
            </w:r>
          </w:p>
          <w:p>
            <w:r>
              <w:rPr>
                <w:sz w:val="20"/>
                <w:szCs w:val="20"/>
              </w:rPr>
              <w:t xml:space="preserve">The original Document 6 file was never committed to the project's GitHub repository and no other saved copy exists. This document has been reconstructed from the approved Master Prompt (CityScape_Simulation_Platform_v01) and the summary retained in 000_Index.docx, both of which are authoritative baseline sources. Implementation-level specifics that were never captured in those sources — exact class names, method signatures, and repository interface details — are necessarily new rather than recovered. This document requires formal review and re-approval before being treated as part of the approved baseline, per the Document 9 governance standard (change flow: identify → assess impact → decide → document → implement → test → update architecture).</w:t>
            </w:r>
          </w:p>
        </w:tc>
      </w:tr>
    </w:tbl>
    <w:p>
      <w:pPr>
        <w:spacing w:after="200"/>
      </w:pPr>
    </w:p>
    <w:p>
      <w:pPr>
        <w:pStyle w:val="Heading1"/>
        <w:spacing w:after="140" w:before="280"/>
      </w:pPr>
      <w:r>
        <w:t xml:space="preserve">1. Purpose &amp; Scope</w:t>
      </w:r>
    </w:p>
    <w:p>
      <w:pPr>
        <w:spacing w:after="120"/>
      </w:pPr>
      <w:r>
        <w:t xml:space="preserve">This document defines the implementation architecture of the Python simulation/application layer that executes the Cinis simulation. SQL Server remains the authoritative persistent layer (Document 5); Python owns simulation logic, orchestration, and analysis, consistent with the platform's core principles of modularity, stable identity, explainability, reproducibility, and correctness before optimization (Document 1).</w:t>
      </w:r>
    </w:p>
    <w:p>
      <w:pPr>
        <w:spacing w:after="120"/>
      </w:pPr>
      <w:r>
        <w:t xml:space="preserve">This document does not redefine the physical database design (Document 5), the domain/relationship model (Document 3), or the testing standard (Document 7). It defines how Python code is organized and how a simulation tick is executed against those already-approved structures.</w:t>
      </w:r>
    </w:p>
    <w:p>
      <w:pPr>
        <w:pStyle w:val="Heading1"/>
        <w:spacing w:after="140" w:before="280"/>
      </w:pPr>
      <w:r>
        <w:t xml:space="preserve">2. Layered Package Structure</w:t>
      </w:r>
    </w:p>
    <w:p>
      <w:pPr>
        <w:spacing w:after="120"/>
      </w:pPr>
      <w:r>
        <w:t xml:space="preserve">The src/cinis/ package is organized into the following layers. Each layer has a single responsibility and depends only on layers below it in this list; simulation and services layers may depend on repositories and models, but repositories never depend on services.</w:t>
      </w:r>
    </w:p>
    <w:p>
      <w:pPr>
        <w:pStyle w:val="ListParagraph"/>
        <w:numPr>
          <w:ilvl w:val="0"/>
          <w:numId w:val="2"/>
        </w:numPr>
        <w:spacing w:after="80"/>
      </w:pPr>
      <w:r>
        <w:rPr>
          <w:b/>
          <w:bCs/>
        </w:rPr>
        <w:t xml:space="preserve">config — </w:t>
      </w:r>
      <w:r>
        <w:t xml:space="preserve">environment-driven settings and connection configuration. No secrets are hardcoded; values are sourced from environment variables (see Document 5 / Master Prompt Section 7, “No Hardcoded Secrets”).</w:t>
      </w:r>
    </w:p>
    <w:p>
      <w:pPr>
        <w:pStyle w:val="ListParagraph"/>
        <w:numPr>
          <w:ilvl w:val="0"/>
          <w:numId w:val="2"/>
        </w:numPr>
        <w:spacing w:after="80"/>
      </w:pPr>
      <w:r>
        <w:rPr>
          <w:b/>
          <w:bCs/>
        </w:rPr>
        <w:t xml:space="preserve">database — </w:t>
      </w:r>
      <w:r>
        <w:t xml:space="preserve">SQLAlchemy engine/session setup and low-level connection management. Contains no business logic.</w:t>
      </w:r>
    </w:p>
    <w:p>
      <w:pPr>
        <w:pStyle w:val="ListParagraph"/>
        <w:numPr>
          <w:ilvl w:val="0"/>
          <w:numId w:val="2"/>
        </w:numPr>
        <w:spacing w:after="80"/>
      </w:pPr>
      <w:r>
        <w:rPr>
          <w:b/>
          <w:bCs/>
        </w:rPr>
        <w:t xml:space="preserve">models — </w:t>
      </w:r>
      <w:r>
        <w:t xml:space="preserve">SQLAlchemy ORM models mapping directly to the physical schema defined in Document 5 (Simulation, Scenario, SimulationRun, Currency, UnitOfMeasure, World, Region, City, and subsequent domain tables as later milestones add them). Naming follows the canonical PascalCase standard.</w:t>
      </w:r>
    </w:p>
    <w:p>
      <w:pPr>
        <w:pStyle w:val="ListParagraph"/>
        <w:numPr>
          <w:ilvl w:val="0"/>
          <w:numId w:val="2"/>
        </w:numPr>
        <w:spacing w:after="80"/>
      </w:pPr>
      <w:r>
        <w:rPr>
          <w:b/>
          <w:bCs/>
        </w:rPr>
        <w:t xml:space="preserve">repositories — </w:t>
      </w:r>
      <w:r>
        <w:t xml:space="preserve">isolate all SQL access behind explicit methods (e.g., get_active_city, save_tick_snapshot). Services and the simulation engine never issue raw queries directly — they call repositories.</w:t>
      </w:r>
    </w:p>
    <w:p>
      <w:pPr>
        <w:pStyle w:val="ListParagraph"/>
        <w:numPr>
          <w:ilvl w:val="0"/>
          <w:numId w:val="2"/>
        </w:numPr>
        <w:spacing w:after="80"/>
      </w:pPr>
      <w:r>
        <w:rPr>
          <w:b/>
          <w:bCs/>
        </w:rPr>
        <w:t xml:space="preserve">services — </w:t>
      </w:r>
      <w:r>
        <w:t xml:space="preserve">encapsulate domain business logic (population/labor allocation, production execution, market/transaction processing, needs/consumption) as composable units that the simulation engine calls in sequence.</w:t>
      </w:r>
    </w:p>
    <w:p>
      <w:pPr>
        <w:pStyle w:val="ListParagraph"/>
        <w:numPr>
          <w:ilvl w:val="0"/>
          <w:numId w:val="2"/>
        </w:numPr>
        <w:spacing w:after="80"/>
      </w:pPr>
      <w:r>
        <w:rPr>
          <w:b/>
          <w:bCs/>
        </w:rPr>
        <w:t xml:space="preserve">simulation — </w:t>
      </w:r>
      <w:r>
        <w:t xml:space="preserve">houses the SimulationEngine and tick orchestration. The engine sequences services; it does not itself contain domain business logic (Section 3).</w:t>
      </w:r>
    </w:p>
    <w:p>
      <w:pPr>
        <w:pStyle w:val="ListParagraph"/>
        <w:numPr>
          <w:ilvl w:val="0"/>
          <w:numId w:val="2"/>
        </w:numPr>
        <w:spacing w:after="80"/>
      </w:pPr>
      <w:r>
        <w:rPr>
          <w:b/>
          <w:bCs/>
        </w:rPr>
        <w:t xml:space="preserve">rules — </w:t>
      </w:r>
      <w:r>
        <w:t xml:space="preserve">declarative or configurable rule definitions (e.g., production efficiency functions, consumption rates) referenced by services, kept separate so rule changes do not require modifying orchestration or persistence code.</w:t>
      </w:r>
    </w:p>
    <w:p>
      <w:pPr>
        <w:pStyle w:val="ListParagraph"/>
        <w:numPr>
          <w:ilvl w:val="0"/>
          <w:numId w:val="2"/>
        </w:numPr>
        <w:spacing w:after="80"/>
      </w:pPr>
      <w:r>
        <w:rPr>
          <w:b/>
          <w:bCs/>
        </w:rPr>
        <w:t xml:space="preserve">events — </w:t>
      </w:r>
      <w:r>
        <w:t xml:space="preserve">event definitions and the event log/emission mechanism used during the tick cycle.</w:t>
      </w:r>
    </w:p>
    <w:p>
      <w:pPr>
        <w:pStyle w:val="ListParagraph"/>
        <w:numPr>
          <w:ilvl w:val="0"/>
          <w:numId w:val="2"/>
        </w:numPr>
        <w:spacing w:after="80"/>
      </w:pPr>
      <w:r>
        <w:rPr>
          <w:b/>
          <w:bCs/>
        </w:rPr>
        <w:t xml:space="preserve">analysis — </w:t>
      </w:r>
      <w:r>
        <w:t xml:space="preserve">read-only reporting and analytics built on top of authoritative history (feeds SQL/Python/Excel analysis per Document 7). Never writes to persistent state.</w:t>
      </w:r>
    </w:p>
    <w:p>
      <w:pPr>
        <w:pStyle w:val="Heading1"/>
        <w:spacing w:after="140" w:before="280"/>
      </w:pPr>
      <w:r>
        <w:t xml:space="preserve">3. SimulationEngine Orchestration Model</w:t>
      </w:r>
    </w:p>
    <w:p>
      <w:pPr>
        <w:spacing w:after="120"/>
      </w:pPr>
      <w:r>
        <w:t xml:space="preserve">The SimulationEngine's sole responsibility is orchestration: it loads state, invokes services in the fixed order defined in Section 4, and commits results. It contains no domain rules of its own — all domain logic lives in the services and rules layers, so that the execution sequence can be tested, logged, and reasoned about independently of any single domain's behavior.</w:t>
      </w:r>
    </w:p>
    <w:p>
      <w:pPr>
        <w:spacing w:after="120"/>
      </w:pPr>
      <w:r>
        <w:t xml:space="preserve">This separation is intentional and non-negotiable per the platform's modularity principle: it keeps the engine stable as new domains (population, economy, markets, and later expansion modules) are added in subsequent milestones, without the engine itself growing in complexity.</w:t>
      </w:r>
    </w:p>
    <w:p>
      <w:pPr>
        <w:pStyle w:val="Heading1"/>
        <w:spacing w:after="140" w:before="280"/>
      </w:pPr>
      <w:r>
        <w:t xml:space="preserve">4. Daily Simulation Tick — Execution Sequence</w:t>
      </w:r>
    </w:p>
    <w:p>
      <w:pPr>
        <w:spacing w:after="120"/>
      </w:pPr>
      <w:r>
        <w:t xml:space="preserve">Each tick executes the following steps in strict, atomic order. This sequence is authoritative and matches the Master Prompt's approved execution cycle:</w:t>
      </w:r>
    </w:p>
    <w:p>
      <w:pPr>
        <w:pStyle w:val="ListParagraph"/>
        <w:numPr>
          <w:ilvl w:val="0"/>
          <w:numId w:val="2"/>
        </w:numPr>
        <w:spacing w:after="80"/>
      </w:pPr>
      <w:r>
        <w:t xml:space="preserve">Load &amp; Validate State — hydrate the entity graph from the persistent store (or memory, for in-run ticks), and validate it is internally consistent before any mutation begins.</w:t>
      </w:r>
    </w:p>
    <w:p>
      <w:pPr>
        <w:pStyle w:val="ListParagraph"/>
        <w:numPr>
          <w:ilvl w:val="0"/>
          <w:numId w:val="2"/>
        </w:numPr>
        <w:spacing w:after="80"/>
      </w:pPr>
      <w:r>
        <w:t xml:space="preserve">Advance Date / Tick — increment SimulationTickID and the simulation-internal date, kept strictly separate from real-world audit timestamps (CreatedDateTime).</w:t>
      </w:r>
    </w:p>
    <w:p>
      <w:pPr>
        <w:pStyle w:val="ListParagraph"/>
        <w:numPr>
          <w:ilvl w:val="0"/>
          <w:numId w:val="2"/>
        </w:numPr>
        <w:spacing w:after="80"/>
      </w:pPr>
      <w:r>
        <w:t xml:space="preserve">Scheduled Events &amp; Orders — apply any queued external commands, scenario overrides, and scheduled events for this tick.</w:t>
      </w:r>
    </w:p>
    <w:p>
      <w:pPr>
        <w:pStyle w:val="ListParagraph"/>
        <w:numPr>
          <w:ilvl w:val="0"/>
          <w:numId w:val="2"/>
        </w:numPr>
        <w:spacing w:after="80"/>
      </w:pPr>
      <w:r>
        <w:t xml:space="preserve">Population &amp; Labor Allocation — evaluate available labor and assign capacity to active industries.</w:t>
      </w:r>
    </w:p>
    <w:p>
      <w:pPr>
        <w:pStyle w:val="ListParagraph"/>
        <w:numPr>
          <w:ilvl w:val="0"/>
          <w:numId w:val="2"/>
        </w:numPr>
        <w:spacing w:after="80"/>
      </w:pPr>
      <w:r>
        <w:t xml:space="preserve">Production Execution — process input resources through configurable input/output production functions driven by labor, capacity, and efficiency; output manufactured goods.</w:t>
      </w:r>
    </w:p>
    <w:p>
      <w:pPr>
        <w:pStyle w:val="ListParagraph"/>
        <w:numPr>
          <w:ilvl w:val="0"/>
          <w:numId w:val="2"/>
        </w:numPr>
        <w:spacing w:after="80"/>
      </w:pPr>
      <w:r>
        <w:t xml:space="preserve">Inventory Ingestion — update city-level inventory stockpiles (tblCityInventory) with production output.</w:t>
      </w:r>
    </w:p>
    <w:p>
      <w:pPr>
        <w:pStyle w:val="ListParagraph"/>
        <w:numPr>
          <w:ilvl w:val="0"/>
          <w:numId w:val="2"/>
        </w:numPr>
        <w:spacing w:after="80"/>
      </w:pPr>
      <w:r>
        <w:t xml:space="preserve">Needs &amp; Consumption — evaluate population-group survival/comfort requirements and deplete inventory accordingly.</w:t>
      </w:r>
    </w:p>
    <w:p>
      <w:pPr>
        <w:pStyle w:val="ListParagraph"/>
        <w:numPr>
          <w:ilvl w:val="0"/>
          <w:numId w:val="2"/>
        </w:numPr>
        <w:spacing w:after="80"/>
      </w:pPr>
      <w:r>
        <w:t xml:space="preserve">Market Operations &amp; Transactions — match production surpluses/deficits against the one city-level market, calculate prices, and execute transactions in the one operational currency.</w:t>
      </w:r>
    </w:p>
    <w:p>
      <w:pPr>
        <w:pStyle w:val="ListParagraph"/>
        <w:numPr>
          <w:ilvl w:val="0"/>
          <w:numId w:val="2"/>
        </w:numPr>
        <w:spacing w:after="80"/>
      </w:pPr>
      <w:r>
        <w:t xml:space="preserve">Event Generation &amp; Logs — emit state-change events and log entries for anything that occurred this tick.</w:t>
      </w:r>
    </w:p>
    <w:p>
      <w:pPr>
        <w:pStyle w:val="ListParagraph"/>
        <w:numPr>
          <w:ilvl w:val="0"/>
          <w:numId w:val="2"/>
        </w:numPr>
        <w:spacing w:after="80"/>
      </w:pPr>
      <w:r>
        <w:t xml:space="preserve">Validation &amp; Persistence — assert system invariants (non-negative inventory and population, valid foreign keys, no partial state) and commit the tick's snapshot and history atomically. A failed validation must not result in partial persistence.</w:t>
      </w:r>
    </w:p>
    <w:p>
      <w:pPr>
        <w:spacing w:after="120"/>
      </w:pPr>
      <w:r>
        <w:t xml:space="preserve">Each step is implemented as a discrete, independently testable service call; the SimulationEngine's only job is to call them in this order and manage the transaction boundary around the whole tick.</w:t>
      </w:r>
    </w:p>
    <w:p>
      <w:pPr>
        <w:pStyle w:val="Heading1"/>
        <w:spacing w:after="140" w:before="280"/>
      </w:pPr>
      <w:r>
        <w:t xml:space="preserve">5. Persistence &amp; Repository Pattern</w:t>
      </w:r>
    </w:p>
    <w:p>
      <w:pPr>
        <w:spacing w:after="120"/>
      </w:pPr>
      <w:r>
        <w:t xml:space="preserve">All SQL access is isolated inside the repositories layer. Services and the simulation engine depend on repository interfaces, never on SQLAlchemy sessions or raw SQL directly. This keeps the physical schema (Document 5) free to evolve under ADR governance (Document 9) without forcing changes throughout the simulation and services layers.</w:t>
      </w:r>
    </w:p>
    <w:p>
      <w:pPr>
        <w:spacing w:after="120"/>
      </w:pPr>
      <w:r>
        <w:t xml:space="preserve">Persistence uses controlled transaction boundaries: a tick either commits its snapshot and history in full, or is rolled back entirely on validation failure — consistent with Document 7's invariant of “no partial persistence after failed ticks.”</w:t>
      </w:r>
    </w:p>
    <w:p>
      <w:pPr>
        <w:pStyle w:val="Heading1"/>
        <w:spacing w:after="140" w:before="280"/>
      </w:pPr>
      <w:r>
        <w:t xml:space="preserve">6. Reproducibility, Determinism &amp; Logging</w:t>
      </w:r>
    </w:p>
    <w:p>
      <w:pPr>
        <w:spacing w:after="120"/>
      </w:pPr>
      <w:r>
        <w:t xml:space="preserve">Simulation execution is deterministic by default. All time progression depends strictly on SimulationTickID; any future randomness (deferred beyond the Cinis MVP per Document 1) will use explicit, reproducible random seeds recorded as part of run metadata.</w:t>
      </w:r>
    </w:p>
    <w:p>
      <w:pPr>
        <w:spacing w:after="120"/>
      </w:pPr>
      <w:r>
        <w:t xml:space="preserve">Each run logs sufficient diagnostics — inputs, rules applied, and resulting state changes — that any tick's outcome can be explained after the fact, satisfying the explainability principle carried through Documents 1 and 7.</w:t>
      </w:r>
    </w:p>
    <w:p>
      <w:pPr>
        <w:pStyle w:val="Heading1"/>
        <w:spacing w:after="140" w:before="280"/>
      </w:pPr>
      <w:r>
        <w:t xml:space="preserve">7. Incremental Build Strategy</w:t>
      </w:r>
    </w:p>
    <w:p>
      <w:pPr>
        <w:spacing w:after="120"/>
      </w:pPr>
      <w:r>
        <w:t xml:space="preserve">The simulation engine is built incrementally, validated at each stage before proceeding, per Document 6's original build strategy referenced in Document 8 (Milestone 6):</w:t>
      </w:r>
    </w:p>
    <w:p>
      <w:pPr>
        <w:pStyle w:val="ListParagraph"/>
        <w:numPr>
          <w:ilvl w:val="0"/>
          <w:numId w:val="2"/>
        </w:numPr>
        <w:spacing w:after="80"/>
      </w:pPr>
      <w:r>
        <w:t xml:space="preserve">1-day tick — prove the full execution sequence end-to-end on a single tick.</w:t>
      </w:r>
    </w:p>
    <w:p>
      <w:pPr>
        <w:pStyle w:val="ListParagraph"/>
        <w:numPr>
          <w:ilvl w:val="0"/>
          <w:numId w:val="2"/>
        </w:numPr>
        <w:spacing w:after="80"/>
      </w:pPr>
      <w:r>
        <w:t xml:space="preserve">10-day run — validate state continuity, snapshot behavior, and repeated tick correctness.</w:t>
      </w:r>
    </w:p>
    <w:p>
      <w:pPr>
        <w:pStyle w:val="ListParagraph"/>
        <w:numPr>
          <w:ilvl w:val="0"/>
          <w:numId w:val="2"/>
        </w:numPr>
        <w:spacing w:after="80"/>
      </w:pPr>
      <w:r>
        <w:t xml:space="preserve">100-day baseline run — the Cinis Baseline scenario validation referenced in Document 4, confirming stability, non-negative invariants, and explainable history over an extended run.</w:t>
      </w:r>
    </w:p>
    <w:p>
      <w:pPr>
        <w:pStyle w:val="Heading1"/>
        <w:spacing w:after="140" w:before="280"/>
      </w:pPr>
      <w:r>
        <w:t xml:space="preserve">8. Testing Requirements</w:t>
      </w:r>
    </w:p>
    <w:p>
      <w:pPr>
        <w:spacing w:after="120"/>
      </w:pPr>
      <w:r>
        <w:t xml:space="preserve">Per Document 7 and the Master Prompt's “Tests Ship With Code” guardrail, tests are a completion requirement for any delivered simulation code, not a follow-up task:</w:t>
      </w:r>
    </w:p>
    <w:p>
      <w:pPr>
        <w:pStyle w:val="ListParagraph"/>
        <w:numPr>
          <w:ilvl w:val="0"/>
          <w:numId w:val="2"/>
        </w:numPr>
        <w:spacing w:after="80"/>
      </w:pPr>
      <w:r>
        <w:t xml:space="preserve">Unit tests for individual services and rules in isolation.</w:t>
      </w:r>
    </w:p>
    <w:p>
      <w:pPr>
        <w:pStyle w:val="ListParagraph"/>
        <w:numPr>
          <w:ilvl w:val="0"/>
          <w:numId w:val="2"/>
        </w:numPr>
        <w:spacing w:after="80"/>
      </w:pPr>
      <w:r>
        <w:t xml:space="preserve">Integration tests for repository → database round-trips against a real SQL Server test schema.</w:t>
      </w:r>
    </w:p>
    <w:p>
      <w:pPr>
        <w:pStyle w:val="ListParagraph"/>
        <w:numPr>
          <w:ilvl w:val="0"/>
          <w:numId w:val="2"/>
        </w:numPr>
        <w:spacing w:after="80"/>
      </w:pPr>
      <w:r>
        <w:t xml:space="preserve">Simulation tests validating full tick sequences (1 → 10 → 100 day runs) against known-good baselines.</w:t>
      </w:r>
    </w:p>
    <w:p>
      <w:pPr>
        <w:pStyle w:val="ListParagraph"/>
        <w:numPr>
          <w:ilvl w:val="0"/>
          <w:numId w:val="2"/>
        </w:numPr>
        <w:spacing w:after="80"/>
      </w:pPr>
      <w:r>
        <w:t xml:space="preserve">Regression tests guarding previously-fixed invariant violations.</w:t>
      </w:r>
    </w:p>
    <w:p>
      <w:pPr>
        <w:pStyle w:val="ListParagraph"/>
        <w:numPr>
          <w:ilvl w:val="0"/>
          <w:numId w:val="2"/>
        </w:numPr>
        <w:spacing w:after="80"/>
      </w:pPr>
      <w:r>
        <w:t xml:space="preserve">Data integrity tests asserting the first-class invariants from Document 7 (non-negative inventory/population, valid relationships, traceable history).</w:t>
      </w:r>
    </w:p>
    <w:p>
      <w:pPr>
        <w:pStyle w:val="Heading1"/>
        <w:spacing w:after="140" w:before="280"/>
      </w:pPr>
      <w:r>
        <w:t xml:space="preserve">9. Approved Dependency Whitelist</w:t>
      </w:r>
    </w:p>
    <w:p>
      <w:pPr>
        <w:spacing w:after="120"/>
      </w:pPr>
      <w:r>
        <w:t xml:space="preserve">Runtime and simulation code is limited strictly to the approved stack: Python standard library, SQLAlchemy, pyodbc, pytest, pandas, and openpyxl. Dev-only tooling that never ships and never touches simulation logic or persistence (formatters, linters, seed-data generators) may fall outside this whitelist.</w:t>
      </w:r>
    </w:p>
    <w:p>
      <w:pPr>
        <w:pStyle w:val="Heading1"/>
        <w:spacing w:after="140" w:before="280"/>
      </w:pPr>
      <w:r>
        <w:t xml:space="preserve">10. Relationship to Other Documents</w:t>
      </w:r>
    </w:p>
    <w:p>
      <w:pPr>
        <w:pStyle w:val="ListParagraph"/>
        <w:numPr>
          <w:ilvl w:val="0"/>
          <w:numId w:val="2"/>
        </w:numPr>
        <w:spacing w:after="80"/>
      </w:pPr>
      <w:r>
        <w:t xml:space="preserve">Document 3 defines the domain model this engine operationalizes.</w:t>
      </w:r>
    </w:p>
    <w:p>
      <w:pPr>
        <w:pStyle w:val="ListParagraph"/>
        <w:numPr>
          <w:ilvl w:val="0"/>
          <w:numId w:val="2"/>
        </w:numPr>
        <w:spacing w:after="80"/>
      </w:pPr>
      <w:r>
        <w:t xml:space="preserve">Document 4 defines the Cinis MVP scope this engine's first implementation targets.</w:t>
      </w:r>
    </w:p>
    <w:p>
      <w:pPr>
        <w:pStyle w:val="ListParagraph"/>
        <w:numPr>
          <w:ilvl w:val="0"/>
          <w:numId w:val="2"/>
        </w:numPr>
        <w:spacing w:after="80"/>
      </w:pPr>
      <w:r>
        <w:t xml:space="preserve">Document 5 defines the physical schema the models and repositories layers map to.</w:t>
      </w:r>
    </w:p>
    <w:p>
      <w:pPr>
        <w:pStyle w:val="ListParagraph"/>
        <w:numPr>
          <w:ilvl w:val="0"/>
          <w:numId w:val="2"/>
        </w:numPr>
        <w:spacing w:after="80"/>
      </w:pPr>
      <w:r>
        <w:t xml:space="preserve">Document 7 defines the testing and validation standard this document's Section 8 implements.</w:t>
      </w:r>
    </w:p>
    <w:p>
      <w:pPr>
        <w:pStyle w:val="ListParagraph"/>
        <w:numPr>
          <w:ilvl w:val="0"/>
          <w:numId w:val="2"/>
        </w:numPr>
        <w:spacing w:after="80"/>
      </w:pPr>
      <w:r>
        <w:t xml:space="preserve">Document 8 sequences this engine's build across Milestones 4 (Simulation Core), 5 (Vertical Slice), and 6 (Baseline Runs).</w:t>
      </w:r>
    </w:p>
    <w:p>
      <w:pPr>
        <w:pStyle w:val="ListParagraph"/>
        <w:numPr>
          <w:ilvl w:val="0"/>
          <w:numId w:val="2"/>
        </w:numPr>
        <w:spacing w:after="80"/>
      </w:pPr>
      <w:r>
        <w:t xml:space="preserve">Document 9 governs any future structural change to the layered architecture defined here.</w:t>
      </w:r>
    </w:p>
    <w:p>
      <w:pPr>
        <w:spacing w:after="300"/>
      </w:pPr>
    </w:p>
    <w:p>
      <w:pPr>
        <w:pBdr>
          <w:bottom w:val="single" w:color="999999" w:sz="6"/>
        </w:pBdr>
        <w:spacing w:after="200"/>
      </w:pPr>
    </w:p>
    <w:p>
      <w:pPr>
        <w:spacing w:after="120"/>
      </w:pPr>
      <w:r>
        <w:rPr>
          <w:i/>
          <w:iCs/>
          <w:color w:val="555555"/>
          <w:sz w:val="20"/>
          <w:szCs w:val="20"/>
        </w:rPr>
        <w:t xml:space="preserve">Status: Reconstructed draft — pending review and formal re-approval to rejoin the approved baseline (Documents 1–10).</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2026-08-29T00:41:56.106Z</dcterms:created>
  <dcterms:modified xsi:type="dcterms:W3CDTF">2026-08-29T00:41:56.119Z</dcterms:modified>
</cp:coreProperties>
</file>

<file path=docProps/custom.xml><?xml version="1.0" encoding="utf-8"?>
<Properties xmlns="http://schemas.openxmlformats.org/officeDocument/2006/custom-properties" xmlns:vt="http://schemas.openxmlformats.org/officeDocument/2006/docPropsVTypes"/>
</file>