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ADR-0006: Population Rules &amp; Configuration Conventions</w:t>
      </w:r>
    </w:p>
    <w:p>
      <w:pPr>
        <w:spacing w:after="120"/>
      </w:pPr>
      <w:r>
        <w:rPr>
          <w:i/>
          <w:iCs/>
          <w:color w:val="555555"/>
        </w:rPr>
        <w:t xml:space="preserve">ScenarioParameter mechanism and floor-based deterministic rounding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Accepted</w:t>
            </w:r>
          </w:p>
        </w:tc>
      </w:tr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2026-09-13</w:t>
            </w:r>
          </w:p>
        </w:tc>
      </w:tr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Execution Model / Rules Layer Convention</w:t>
            </w:r>
          </w:p>
        </w:tc>
      </w:tr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Related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Document 1, Document 6, ADR-0003, ADR-0005</w:t>
            </w:r>
          </w:p>
        </w:tc>
      </w:tr>
    </w:tbl>
    <w:p>
      <w:pPr>
        <w:spacing w:after="240"/>
      </w:pPr>
    </w:p>
    <w:p>
      <w:pPr>
        <w:pStyle w:val="Heading1"/>
        <w:spacing w:after="120" w:before="240"/>
      </w:pPr>
      <w:r>
        <w:t xml:space="preserve">Context</w:t>
      </w:r>
    </w:p>
    <w:p>
      <w:pPr>
        <w:spacing w:after="120"/>
      </w:pPr>
      <w:r>
        <w:t xml:space="preserve">Milestone 2 needed two rates that must be tunable without a schema or code change (per ADR-0005's explicit requirement, since the design-concept workbook's own figures are unvalidated placeholders): a child-to-adult monthly aging rate, and an adult labor participation rate. Both also needed a deterministic way to convert a fractional result (e.g. 20 children × 1.5% = 0.3 people) into a whole-number outcome.</w:t>
      </w:r>
    </w:p>
    <w:p>
      <w:pPr>
        <w:pStyle w:val="Heading1"/>
        <w:spacing w:after="120" w:before="240"/>
      </w:pPr>
      <w:r>
        <w:t xml:space="preserve">Decision</w:t>
      </w:r>
    </w:p>
    <w:p>
      <w:pPr>
        <w:spacing w:after="120"/>
      </w:pPr>
      <w:r>
        <w:t xml:space="preserve">A generic, scenario-scoped key/value table (dbo.ScenarioParameter: ScenarioID, ParameterKey, ParameterValue) was introduced rather than a dedicated column or table per rate. Both M2 rates are stored as rows in this table, read via PopulationRepository.get_scenario_parameter(scenario_id, key). This is intended as the standing mechanism for any future tunable rate (e.g. future production efficiency modifiers in Milestone 3) rather than a one-off for these two values.</w:t>
      </w:r>
    </w:p>
    <w:p>
      <w:pPr>
        <w:spacing w:after="120"/>
      </w:pPr>
      <w:r>
        <w:t xml:space="preserve">All population/labor math that converts a rate against a headcount uses floor (round toward zero), implemented as pure functions with no database access (cinis.rules.population_rules.calculate_aged_count, cinis.rules.labor_rules.calculate_available_labor). This is deterministic by construction - the same inputs always produce the same output, with no random rounding - consistent with Document 1's "deterministic behavior by default" principle. The tradeoff is explicit and accepted: fractional remainders are dropped each period rather than carried forward, so small populations at small rates can see zero effective change for multiple periods. This was verified directly with a test asserting exactly this behavior against the real seeded placeholder data (20 children at 1.5%/month ages zero people), rather than treated as an edge case to avoid.</w:t>
      </w:r>
    </w:p>
    <w:p>
      <w:pPr>
        <w:spacing w:after="120"/>
      </w:pPr>
      <w:r>
        <w:t xml:space="preserve">The Rules layer (cinis.rules) is established as the place for this kind of pure, database-free calculation, called by Services (cinis.services) which handle persistence via Repositories - the same three-layer split Document 6 specifies, now with a second concrete example (labor) alongside the first (aging).</w:t>
      </w:r>
    </w:p>
    <w:p>
      <w:pPr>
        <w:pStyle w:val="Heading1"/>
        <w:spacing w:after="120" w:before="240"/>
      </w:pPr>
      <w:r>
        <w:t xml:space="preserve">Consequences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future rate that needs to be configurable should be added as a ScenarioParameter row and read via the existing get_scenario_parameter method, not as a new dedicated column, unless there is a specific reason a given rate needs stronger typing or its own constraints.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Floor-based rounding is now a standing convention, not a one-off choice for aging. Any new rules-layer calculation that rounds a fractional result should default to floor unless a specific reason calls for different behavior, and that reason should be documented at the point of the exception.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remainder-carry mechanism exists. If gameplay balancing later finds that small-population aging/labor effectively never happens for too long, that is a known, accepted limitation to revisit deliberately - not a defect to silently patch around.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2026-09-13T04:57:46.564Z</dcterms:created>
  <dcterms:modified xsi:type="dcterms:W3CDTF">2026-09-13T04:57:46.574Z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