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60"/>
      </w:pPr>
      <w:r>
        <w:t xml:space="preserve">ADR-0007: Construction Projects Assigned to Milestone 4</w:t>
      </w:r>
    </w:p>
    <w:p>
      <w:pPr>
        <w:spacing w:after="120"/>
      </w:pPr>
      <w:r>
        <w:rPr>
          <w:i/>
          <w:iCs/>
          <w:color w:val="555555"/>
        </w:rPr>
        <w:t xml:space="preserve">Resolves the open M3-vs-M4 decision point from ADR-0005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Accepted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Date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2026-09-13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Domain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Milestone Scope</w:t>
            </w:r>
          </w:p>
        </w:tc>
      </w:tr>
      <w:tr>
        <w:tc>
          <w:tcPr>
            <w:tcW w:type="pct" w:w="22%"/>
            <w:shd w:fill="F2F2F2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</w:rPr>
              <w:t xml:space="preserve">Related</w:t>
            </w:r>
          </w:p>
        </w:tc>
        <w:tc>
          <w:tcPr>
            <w:tcW w:type="pct" w:w="78%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t xml:space="preserve">ADR-0005, Document 8 Amendment 1, Document 8 Amendment 2</w:t>
            </w:r>
          </w:p>
        </w:tc>
      </w:tr>
    </w:tbl>
    <w:p>
      <w:pPr>
        <w:spacing w:after="240"/>
      </w:pPr>
    </w:p>
    <w:p>
      <w:pPr>
        <w:pStyle w:val="Heading1"/>
        <w:spacing w:after="120" w:before="240"/>
      </w:pPr>
      <w:r>
        <w:t xml:space="preserve">Context</w:t>
      </w:r>
    </w:p>
    <w:p>
      <w:pPr>
        <w:spacing w:after="120"/>
      </w:pPr>
      <w:r>
        <w:t xml:space="preserve">ADR-0005 / Document 8 Amendment 1 assigned the Construction Projects queue to “M3 or M4 (decide at M3 kickoff)”, depending on whether project resolution is tick-driven or resolves independently of the tick engine. At M3 kickoff, the design-concept workbook's Construction Projects sheet was examined directly to settle this.</w:t>
      </w:r>
    </w:p>
    <w:p>
      <w:pPr>
        <w:pStyle w:val="Heading1"/>
        <w:spacing w:after="120" w:before="240"/>
      </w:pPr>
      <w:r>
        <w:t xml:space="preserve">Decision</w:t>
      </w:r>
    </w:p>
    <w:p>
      <w:pPr>
        <w:spacing w:after="120"/>
      </w:pPr>
      <w:r>
        <w:t xml:space="preserve">The sheet contains Base Duration (Months), Adjusted Duration (Months) - modified by a Construction Speed Bonus derived from Completed Crews at Order - Progress at Current Month, and Projected Completion Month columns, alongside the confirmed single-active-project rule (“Only one In Progress project is permitted”). This is genuine multi-period progression: a project's status can only be evaluated by comparing its progress against the current simulation month, which requires simulated time to actually advance and be checked against each period.</w:t>
      </w:r>
    </w:p>
    <w:p>
      <w:pPr>
        <w:spacing w:after="120"/>
      </w:pPr>
      <w:r>
        <w:t xml:space="preserve">Since advancing and checking simulated time is exactly what Milestone 4's SimulationEngine provides, and does not exist before it, Construction Projects is assigned to Milestone 4 (Simulation Core), not Milestone 3. This closes the open decision point left by ADR-0005.</w:t>
      </w:r>
    </w:p>
    <w:p>
      <w:pPr>
        <w:pStyle w:val="Heading1"/>
        <w:spacing w:after="120" w:before="240"/>
      </w:pPr>
      <w:r>
        <w:t xml:space="preserve">Consequences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Milestone 3 (Economic Foundation) does not need to model construction duration, progress tracking, or the single-active-project rule. It may still need a simple “building exists / does not exist” concept (e.g. the already-seeded Starting Count on buildings), but not the queue mechanism itself.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Construction costs (currency, Timber, Stone) are still relevant to M3's Treasury and Inventory design, since a project's costs are deducted at order time per the workbook's own note (“Costs and materials remain order-time deductions; building effects remain completion-based”) - only the completion-tracking mechanism itself is M4 scope.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Document 8 Amendment 2 updates the milestone assignment table accordingly.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  <w:lvl w:ilvl="1" w15:tentative="1">
      <w:start w:val="1"/>
      <w:numFmt w:val="bullet"/>
      <w:lvlText w:val="◦"/>
      <w:lvlJc w:val="left"/>
      <w:pPr>
        <w:ind w:left="7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2026-09-13T17:53:46.161Z</dcterms:created>
  <dcterms:modified xsi:type="dcterms:W3CDTF">2026-09-13T17:53:46.171Z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