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Document 8 — Amendment 2</w:t>
      </w:r>
    </w:p>
    <w:p>
      <w:pPr>
        <w:spacing w:after="120"/>
      </w:pPr>
      <w:r>
        <w:rPr>
          <w:i/>
          <w:iCs/>
          <w:color w:val="555555"/>
        </w:rPr>
        <w:t xml:space="preserve">Construction Projects queue resolved to Milestone 4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pct" w:w="78%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Approved amendment</w:t>
            </w:r>
          </w:p>
        </w:tc>
      </w:tr>
      <w:tr>
        <w:tc>
          <w:tcPr>
            <w:tcW w:type="pct" w:w="22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pct" w:w="78%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2026-09-13</w:t>
            </w:r>
          </w:p>
        </w:tc>
      </w:tr>
      <w:tr>
        <w:tc>
          <w:tcPr>
            <w:tcW w:type="pct" w:w="22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Amends</w:t>
            </w:r>
          </w:p>
        </w:tc>
        <w:tc>
          <w:tcPr>
            <w:tcW w:type="pct" w:w="78%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Document 8 — Implementation Roadmap &amp; Delivery Plan (see also Amendment 1)</w:t>
            </w:r>
          </w:p>
        </w:tc>
      </w:tr>
      <w:tr>
        <w:tc>
          <w:tcPr>
            <w:tcW w:type="pct" w:w="22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Related</w:t>
            </w:r>
          </w:p>
        </w:tc>
        <w:tc>
          <w:tcPr>
            <w:tcW w:type="pct" w:w="78%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ADR-0007</w:t>
            </w:r>
          </w:p>
        </w:tc>
      </w:tr>
    </w:tbl>
    <w:p>
      <w:pPr>
        <w:spacing w:after="2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0F2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Nature of this amendment</w:t>
            </w:r>
          </w:p>
          <w:p>
            <w:r>
              <w:rPr>
                <w:sz w:val="20"/>
                <w:szCs w:val="20"/>
              </w:rPr>
              <w:t xml:space="preserve">This is a small, additive follow-up to Amendment 1. It resolves one open decision point (Construction Projects: M3 or M4) that Amendment 1 explicitly left pending. No other content from Amendment 1 changes.</w:t>
            </w:r>
          </w:p>
        </w:tc>
      </w:tr>
    </w:tbl>
    <w:p>
      <w:pPr>
        <w:spacing w:after="200"/>
      </w:pPr>
    </w:p>
    <w:p>
      <w:pPr>
        <w:pStyle w:val="Heading1"/>
        <w:spacing w:after="120" w:before="240"/>
      </w:pPr>
      <w:r>
        <w:t xml:space="preserve">Resolution</w:t>
      </w:r>
    </w:p>
    <w:p>
      <w:pPr>
        <w:spacing w:after="120"/>
      </w:pPr>
      <w:r>
        <w:t xml:space="preserve">Amendment 1's milestone assignment table listed the Construction Projects queue as “M3 or M4 (decide at M3 kickoff)”. Per ADR-0007, this is now resolved: the Construction Projects queue (ordering, single-active-project rule, duration/progress tracking, completion-based building effects) is assigned to Milestone 4 (Simulation Core), not Milestone 3.</w:t>
      </w:r>
    </w:p>
    <w:p>
      <w:pPr>
        <w:spacing w:after="120"/>
      </w:pPr>
      <w:r>
        <w:t xml:space="preserve">Milestone 3 (Economic Foundation) retains City Budget/Treasury and Vehicles &amp; Logistics as in Amendment 1. It also covers construction costs as order-time deductions from Treasury/Inventory (per the design-concept workbook's own note that costs are deducted at order time, while building effects are completion-based) - but not the queue/progress-tracking mechanism itself.</w:t>
      </w:r>
    </w:p>
    <w:p>
      <w:pPr>
        <w:spacing w:after="240"/>
      </w:pPr>
    </w:p>
    <w:p>
      <w:pPr>
        <w:pBdr>
          <w:bottom w:val="single" w:color="999999" w:sz="6"/>
        </w:pBdr>
        <w:spacing w:after="200"/>
      </w:pP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See ADR-0007 for the full decision record.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2026-09-13T17:53:46.394Z</dcterms:created>
  <dcterms:modified xsi:type="dcterms:W3CDTF">2026-09-13T17:53:46.394Z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