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ADR-0008: M3 Execution-Model Decisions</w:t>
      </w:r>
    </w:p>
    <w:p>
      <w:pPr>
        <w:spacing w:after="120"/>
      </w:pPr>
      <w:r>
        <w:rPr>
          <w:i/>
          <w:iCs/>
          <w:color w:val="555555"/>
        </w:rPr>
        <w:t xml:space="preserve">Market pricing model; Production labor allocation and input-shortage policy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F2F2F2" w:val="clear"/>
            <w:tcMar>
              <w:top w:type="dxa" w:w="100"/>
              <w:left w:type="dxa" w:w="150"/>
              <w:bottom w:type="dxa" w:w="100"/>
              <w:right w:type="dxa" w:w="150"/>
            </w:tcMar>
          </w:tcPr>
          <w:p>
            <w:r>
              <w:rPr>
                <w:b/>
                <w:bCs/>
              </w:rPr>
              <w:t xml:space="preserve">Status</w:t>
            </w:r>
          </w:p>
        </w:tc>
        <w:tc>
          <w:tcPr>
            <w:tcW w:type="pct" w:w="78%"/>
            <w:tcMar>
              <w:top w:type="dxa" w:w="100"/>
              <w:left w:type="dxa" w:w="150"/>
              <w:bottom w:type="dxa" w:w="100"/>
              <w:right w:type="dxa" w:w="150"/>
            </w:tcMar>
          </w:tcPr>
          <w:p>
            <w:r>
              <w:t xml:space="preserve">Accepted</w:t>
            </w:r>
          </w:p>
        </w:tc>
      </w:tr>
      <w:tr>
        <w:tc>
          <w:tcPr>
            <w:tcW w:type="pct" w:w="22%"/>
            <w:shd w:fill="F2F2F2" w:val="clear"/>
            <w:tcMar>
              <w:top w:type="dxa" w:w="100"/>
              <w:left w:type="dxa" w:w="150"/>
              <w:bottom w:type="dxa" w:w="100"/>
              <w:right w:type="dxa" w:w="150"/>
            </w:tcMar>
          </w:tcPr>
          <w:p>
            <w:r>
              <w:rPr>
                <w:b/>
                <w:bCs/>
              </w:rPr>
              <w:t xml:space="preserve">Date</w:t>
            </w:r>
          </w:p>
        </w:tc>
        <w:tc>
          <w:tcPr>
            <w:tcW w:type="pct" w:w="78%"/>
            <w:tcMar>
              <w:top w:type="dxa" w:w="100"/>
              <w:left w:type="dxa" w:w="150"/>
              <w:bottom w:type="dxa" w:w="100"/>
              <w:right w:type="dxa" w:w="150"/>
            </w:tcMar>
          </w:tcPr>
          <w:p>
            <w:r>
              <w:t xml:space="preserve">2026-09-19</w:t>
            </w:r>
          </w:p>
        </w:tc>
      </w:tr>
      <w:tr>
        <w:tc>
          <w:tcPr>
            <w:tcW w:type="pct" w:w="22%"/>
            <w:shd w:fill="F2F2F2" w:val="clear"/>
            <w:tcMar>
              <w:top w:type="dxa" w:w="100"/>
              <w:left w:type="dxa" w:w="150"/>
              <w:bottom w:type="dxa" w:w="100"/>
              <w:right w:type="dxa" w:w="150"/>
            </w:tcMar>
          </w:tcPr>
          <w:p>
            <w:r>
              <w:rPr>
                <w:b/>
                <w:bCs/>
              </w:rPr>
              <w:t xml:space="preserve">Domain</w:t>
            </w:r>
          </w:p>
        </w:tc>
        <w:tc>
          <w:tcPr>
            <w:tcW w:type="pct" w:w="78%"/>
            <w:tcMar>
              <w:top w:type="dxa" w:w="100"/>
              <w:left w:type="dxa" w:w="150"/>
              <w:bottom w:type="dxa" w:w="100"/>
              <w:right w:type="dxa" w:w="150"/>
            </w:tcMar>
          </w:tcPr>
          <w:p>
            <w:r>
              <w:t xml:space="preserve">Execution Model (Markets, Production)</w:t>
            </w:r>
          </w:p>
        </w:tc>
      </w:tr>
      <w:tr>
        <w:tc>
          <w:tcPr>
            <w:tcW w:type="pct" w:w="22%"/>
            <w:shd w:fill="F2F2F2" w:val="clear"/>
            <w:tcMar>
              <w:top w:type="dxa" w:w="100"/>
              <w:left w:type="dxa" w:w="150"/>
              <w:bottom w:type="dxa" w:w="100"/>
              <w:right w:type="dxa" w:w="150"/>
            </w:tcMar>
          </w:tcPr>
          <w:p>
            <w:r>
              <w:rPr>
                <w:b/>
                <w:bCs/>
              </w:rPr>
              <w:t xml:space="preserve">Related</w:t>
            </w:r>
          </w:p>
        </w:tc>
        <w:tc>
          <w:tcPr>
            <w:tcW w:type="pct" w:w="78%"/>
            <w:tcMar>
              <w:top w:type="dxa" w:w="100"/>
              <w:left w:type="dxa" w:w="150"/>
              <w:bottom w:type="dxa" w:w="100"/>
              <w:right w:type="dxa" w:w="150"/>
            </w:tcMar>
          </w:tcPr>
          <w:p>
            <w:r>
              <w:t xml:space="preserve">ADR-0005, ADR-0006, Document 6</w:t>
            </w:r>
          </w:p>
        </w:tc>
      </w:tr>
    </w:tbl>
    <w:p>
      <w:pPr>
        <w:spacing w:after="240"/>
      </w:pPr>
    </w:p>
    <w:p>
      <w:pPr>
        <w:pStyle w:val="Heading1"/>
        <w:spacing w:after="120" w:before="240"/>
      </w:pPr>
      <w:r>
        <w:t xml:space="preserve">Context</w:t>
      </w:r>
    </w:p>
    <w:p>
      <w:pPr>
        <w:spacing w:after="120"/>
      </w:pPr>
      <w:r>
        <w:t xml:space="preserve">Two consequential execution-model decisions were made and implemented during Milestone 3's build-out, both without a dedicated design discussion beforehand - they were proposed, built, and delivered in the same pass. Per Document 9's governance standard, they are logged here after the fact rather than left undocumented.</w:t>
      </w:r>
    </w:p>
    <w:p>
      <w:pPr>
        <w:pStyle w:val="Heading1"/>
        <w:spacing w:after="120" w:before="240"/>
      </w:pPr>
      <w:r>
        <w:t xml:space="preserve">Decision 1: Fixed reference pricing</w:t>
      </w:r>
    </w:p>
    <w:p>
      <w:pPr>
        <w:spacing w:after="120"/>
      </w:pPr>
      <w:r>
        <w:t xml:space="preserve">Unlike every other Milestone 3 domain, the design-concept workbook has no Market or pricing sheet - there is no source data for how prices should be set. The project owner confirmed a fixed reference price per resource (not supply/demand driven) as the starting model. Prices are stored per-Scenario in MarketResourcePrice (not hardcoded), following the same configurable-data pattern as the aging and labor participation rates (ADR-0006). Seeded values are explicit, arbitrary placeholders - simple round numbers, not balanced or validated.</w:t>
      </w:r>
    </w:p>
    <w:p>
      <w:pPr>
        <w:pStyle w:val="Heading1"/>
        <w:spacing w:after="120" w:before="240"/>
      </w:pPr>
      <w:r>
        <w:t xml:space="preserve">Decision 2: Production labor allocation and input-shortage policy</w:t>
      </w:r>
    </w:p>
    <w:p>
      <w:pPr>
        <w:spacing w:after="120"/>
      </w:pPr>
      <w:r>
        <w:t xml:space="preserve">ProductionService.execute_monthly_production processes a city's buildings in BuildingType.Code order (deterministic, not priority-configurable). For each building type: labor is allocated first-come-first-served from the city's available labor pool - earlier building types (by Code) get first claim, and labor spent staffing a building type is not refunded if that building type is later skipped for lack of input inventory. Input consumption is all-or-nothing per building type: if any required input is insufficient, that entire building type produces nothing this period (no partial/scaled-down production).</w:t>
      </w:r>
    </w:p>
    <w:p>
      <w:pPr>
        <w:spacing w:after="120"/>
      </w:pPr>
      <w:r>
        <w:t xml:space="preserve">Neither policy was specified anywhere in the approved documents or the design-concept workbook. Both were proposed as reasonable, simple defaults and implemented directly, on the reasoning that a deterministic code-order allocation is preferable to inventing an unspecified priority system, and that partial production would require a proportional-scaling algorithm nobody has designed.</w:t>
      </w:r>
    </w:p>
    <w:p>
      <w:pPr>
        <w:pStyle w:val="Heading1"/>
        <w:spacing w:after="120" w:before="240"/>
      </w:pPr>
      <w:r>
        <w:t xml:space="preserve">Consequences</w:t>
      </w:r>
    </w:p>
    <w:p>
      <w:pPr>
        <w:pStyle w:val="ListParagraph"/>
        <w:numPr>
          <w:ilvl w:val="0"/>
          <w:numId w:val="2"/>
        </w:numPr>
        <w:spacing w:after="80"/>
      </w:pPr>
      <w:r>
        <w:t xml:space="preserve">Building type ordering (via Code, e.g. B-001 before B-002) now has real gameplay significance: it determines who gets scarce labor first. This was not previously a meaningful property of Code and should be kept in mind if building codes are ever renumbered.</w:t>
      </w:r>
    </w:p>
    <w:p>
      <w:pPr>
        <w:pStyle w:val="ListParagraph"/>
        <w:numPr>
          <w:ilvl w:val="0"/>
          <w:numId w:val="2"/>
        </w:numPr>
        <w:spacing w:after="80"/>
      </w:pPr>
      <w:r>
        <w:t xml:space="preserve">Neither pricing nor labor-allocation policy has been validated for game balance. Both are structurally correct and fully tested, but the actual behavior they produce (which buildings starve for labor first, whether prices feel right) has not been played or tuned.</w:t>
      </w:r>
    </w:p>
    <w:p>
      <w:pPr>
        <w:pStyle w:val="ListParagraph"/>
        <w:numPr>
          <w:ilvl w:val="0"/>
          <w:numId w:val="2"/>
        </w:numPr>
        <w:spacing w:after="80"/>
      </w:pPr>
      <w:r>
        <w:t xml:space="preserve">If a different allocation policy is wanted later (e.g. priority by building category, or proportional labor sharing), that is a new decision requiring its own ADR, not a silent change to the existing service - the current behavior is now a documented, relied-upon contract.</w:t>
      </w:r>
    </w:p>
    <w:p>
      <w:pPr>
        <w:pStyle w:val="ListParagraph"/>
        <w:numPr>
          <w:ilvl w:val="0"/>
          <w:numId w:val="2"/>
        </w:numPr>
        <w:spacing w:after="80"/>
      </w:pPr>
      <w:r>
        <w:t xml:space="preserve">A supply/demand pricing model, if adopted later, would likely need a different MarketResourcePrice write path (probably per-tick recalculation) rather than the current static seeded values - worth treating as a new decision when M4's tick engine exists.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2026-09-19T07:25:40.740Z</dcterms:created>
  <dcterms:modified xsi:type="dcterms:W3CDTF">2026-09-19T07:25:40.748Z</dcterms:modified>
</cp:coreProperties>
</file>

<file path=docProps/custom.xml><?xml version="1.0" encoding="utf-8"?>
<Properties xmlns="http://schemas.openxmlformats.org/officeDocument/2006/custom-properties" xmlns:vt="http://schemas.openxmlformats.org/officeDocument/2006/docPropsVTypes"/>
</file>