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Document 5 — Physical Database Design &amp; SQL Server Implementation</w:t>
      </w:r>
    </w:p>
    <w:p>
      <w:r>
        <w:t>Approved baseline deliverable</w:t>
      </w:r>
    </w:p>
    <w:p>
      <w:pPr>
        <w:pStyle w:val="ListBullet"/>
      </w:pPr>
      <w:r>
        <w:t>Microsoft SQL Server is the primary database and SSMS is the primary client; PostgreSQL may be learned later without replacing SQL Server.</w:t>
      </w:r>
    </w:p>
    <w:p>
      <w:pPr>
        <w:pStyle w:val="ListBullet"/>
      </w:pPr>
      <w:r>
        <w:t>Physical design covers schemas, tables, PK/FK strategy, audit/temporal columns, indexes, constraints, history, migrations and seed data.</w:t>
      </w:r>
    </w:p>
    <w:p>
      <w:pPr>
        <w:pStyle w:val="ListBullet"/>
      </w:pPr>
      <w:r>
        <w:t>Initial core tables include Simulation, Scenario, SimulationRun, Currency, UnitOfMeasure, World, Region and City.</w:t>
      </w:r>
    </w:p>
    <w:p>
      <w:pPr>
        <w:pStyle w:val="ListBullet"/>
      </w:pPr>
      <w:r>
        <w:t>Use referential integrity, explicit history, controlled deployment/migration scripts and indexing based on real access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