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62FE" w:val="clear"/>
          </w:tcPr>
          <w:p>
            <w:pPr>
              <w:spacing w:after="120" w:before="0"/>
            </w:pPr>
            <w:r>
              <w:rPr>
                <w:rFonts w:ascii="Arial" w:cs="Arial" w:eastAsia="Arial" w:hAnsi="Arial"/>
                <w:sz w:val="22"/>
                <w:szCs w:val="22"/>
              </w:rPr>
              <w:t xml:space="preserve"> </w:t>
            </w:r>
          </w:p>
        </w:tc>
        <w:tc>
          <w:tcPr>
            <w:tcW w:type="dxa" w:w="8640"/>
            <w:tcBorders>
              <w:top w:val="none" w:color="FFFFFF" w:sz="0"/>
              <w:left w:val="none" w:color="FFFFFF" w:sz="0"/>
              <w:bottom w:val="none" w:color="FFFFFF" w:sz="0"/>
              <w:right w:val="none" w:color="FFFFFF" w:sz="0"/>
            </w:tcBorders>
            <w:shd w:fill="EFF4FF" w:val="clear"/>
            <w:tcMar>
              <w:top w:type="dxa" w:w="400"/>
              <w:left w:type="dxa" w:w="480"/>
              <w:bottom w:type="dxa" w:w="400"/>
              <w:right w:type="dxa" w:w="240"/>
            </w:tcMar>
          </w:tcPr>
          <w:p>
            <w:pPr>
              <w:spacing w:after="160" w:before="0"/>
            </w:pPr>
            <w:r>
              <w:rPr>
                <w:rFonts w:ascii="Arial" w:cs="Arial" w:eastAsia="Arial" w:hAnsi="Arial"/>
                <w:b/>
                <w:bCs/>
                <w:color w:val="0F62FE"/>
                <w:spacing w:val="40"/>
                <w:sz w:val="22"/>
                <w:szCs w:val="22"/>
              </w:rPr>
              <w:t xml:space="preserve">PROJECT DESIGN REPORT</w:t>
            </w:r>
          </w:p>
          <w:p>
            <w:pPr>
              <w:spacing w:after="200" w:before="0"/>
            </w:pPr>
            <w:r>
              <w:rPr>
                <w:rFonts w:ascii="Arial" w:cs="Arial" w:eastAsia="Arial" w:hAnsi="Arial"/>
                <w:b/>
                <w:bCs/>
                <w:color w:val="001D6C"/>
                <w:sz w:val="56"/>
                <w:szCs w:val="56"/>
              </w:rPr>
              <w:t xml:space="preserve">EconSight</w:t>
            </w:r>
          </w:p>
          <w:p>
            <w:pPr>
              <w:spacing w:after="480" w:before="0"/>
            </w:pPr>
            <w:r>
              <w:rPr>
                <w:rFonts w:ascii="Arial" w:cs="Arial" w:eastAsia="Arial" w:hAnsi="Arial"/>
                <w:color w:val="0043CE"/>
                <w:sz w:val="28"/>
                <w:szCs w:val="28"/>
              </w:rPr>
              <w:t xml:space="preserve">Decision Intelligence Platform for Canadian SMEs</w:t>
            </w:r>
          </w:p>
          <w:p>
            <w:pPr>
              <w:spacing w:after="160" w:before="0"/>
            </w:pPr>
            <w:r>
              <w:rPr>
                <w:rFonts w:ascii="Arial" w:cs="Arial" w:eastAsia="Arial" w:hAnsi="Arial"/>
                <w:b/>
                <w:bCs/>
                <w:color w:val="21272A"/>
                <w:sz w:val="24"/>
                <w:szCs w:val="24"/>
              </w:rPr>
              <w:t xml:space="preserve">Phase 1  —  Data Engineering Foundation</w:t>
            </w:r>
          </w:p>
        </w:tc>
      </w:tr>
    </w:tbl>
    <w:p>
      <w:pPr>
        <w:spacing w:after="4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80"/>
        <w:gridCol w:w="2480"/>
      </w:tblGrid>
      <w:tr>
        <w:tc>
          <w:tcPr>
            <w:tcW w:type="dxa" w:w="2200"/>
            <w:tcBorders>
              <w:top w:val="single" w:color="D0E2FF" w:sz="4"/>
              <w:left w:val="single" w:color="D0E2FF" w:sz="4"/>
              <w:bottom w:val="single" w:color="D0E2FF" w:sz="4"/>
              <w:right w:val="single" w:color="D0E2FF" w:sz="4"/>
            </w:tcBorders>
            <w:shd w:fill="EFF4FF" w:val="clear"/>
            <w:tcMar>
              <w:top w:type="dxa" w:w="100"/>
              <w:left w:type="dxa" w:w="160"/>
              <w:bottom w:type="dxa" w:w="100"/>
              <w:right w:type="dxa" w:w="120"/>
            </w:tcMar>
          </w:tcPr>
          <w:p>
            <w:pPr>
              <w:spacing w:after="120" w:before="0"/>
            </w:pPr>
            <w:r>
              <w:rPr>
                <w:rFonts w:ascii="Arial" w:cs="Arial" w:eastAsia="Arial" w:hAnsi="Arial"/>
                <w:b/>
                <w:bCs/>
                <w:color w:val="001D6C"/>
                <w:sz w:val="20"/>
                <w:szCs w:val="20"/>
              </w:rPr>
              <w:t xml:space="preserve">Author</w:t>
            </w:r>
          </w:p>
        </w:tc>
        <w:tc>
          <w:tcPr>
            <w:tcW w:type="dxa" w:w="4680"/>
            <w:tcBorders>
              <w:top w:val="single" w:color="D0E2FF" w:sz="4"/>
              <w:left w:val="single" w:color="D0E2FF" w:sz="4"/>
              <w:bottom w:val="single" w:color="D0E2FF" w:sz="4"/>
              <w:right w:val="single" w:color="D0E2FF" w:sz="4"/>
            </w:tcBorders>
            <w:shd w:fill="FFFFFF" w:val="clear"/>
            <w:tcMar>
              <w:top w:type="dxa" w:w="100"/>
              <w:left w:type="dxa" w:w="160"/>
              <w:bottom w:type="dxa" w:w="100"/>
              <w:right w:type="dxa" w:w="120"/>
            </w:tcMar>
          </w:tcPr>
          <w:p>
            <w:pPr>
              <w:spacing w:after="120" w:before="0"/>
            </w:pPr>
            <w:r>
              <w:rPr>
                <w:rFonts w:ascii="Arial" w:cs="Arial" w:eastAsia="Arial" w:hAnsi="Arial"/>
                <w:sz w:val="20"/>
                <w:szCs w:val="20"/>
              </w:rPr>
              <w:t xml:space="preserve">McGill University — B.Sc. Computer Science &amp; Economics</w:t>
            </w:r>
          </w:p>
        </w:tc>
        <w:tc>
          <w:tcPr>
            <w:tcW w:type="dxa" w:w="2480"/>
            <w:tcBorders>
              <w:top w:val="single" w:color="D0E2FF" w:sz="4"/>
              <w:left w:val="single" w:color="D0E2FF" w:sz="4"/>
              <w:bottom w:val="single" w:color="D0E2FF" w:sz="4"/>
              <w:right w:val="single" w:color="D0E2FF" w:sz="4"/>
            </w:tcBorders>
            <w:shd w:fill="EFF4FF" w:val="clear"/>
            <w:tcMar>
              <w:top w:type="dxa" w:w="100"/>
              <w:left w:type="dxa" w:w="160"/>
              <w:bottom w:type="dxa" w:w="100"/>
              <w:right w:type="dxa" w:w="120"/>
            </w:tcMar>
          </w:tcPr>
          <w:p>
            <w:pPr>
              <w:spacing w:after="120" w:before="0"/>
            </w:pPr>
            <w:r>
              <w:rPr>
                <w:rFonts w:ascii="Arial" w:cs="Arial" w:eastAsia="Arial" w:hAnsi="Arial"/>
                <w:b/>
                <w:bCs/>
                <w:color w:val="001D6C"/>
                <w:sz w:val="20"/>
                <w:szCs w:val="20"/>
              </w:rPr>
              <w:t xml:space="preserve">Target Role</w:t>
            </w:r>
          </w:p>
        </w:tc>
      </w:tr>
      <w:tr>
        <w:tc>
          <w:tcPr>
            <w:tcW w:type="dxa" w:w="2200"/>
            <w:tcBorders>
              <w:top w:val="single" w:color="D0E2FF" w:sz="4"/>
              <w:left w:val="single" w:color="D0E2FF" w:sz="4"/>
              <w:bottom w:val="single" w:color="D0E2FF" w:sz="4"/>
              <w:right w:val="single" w:color="D0E2FF" w:sz="4"/>
            </w:tcBorders>
            <w:shd w:fill="EFF4FF" w:val="clear"/>
            <w:tcMar>
              <w:top w:type="dxa" w:w="100"/>
              <w:left w:type="dxa" w:w="160"/>
              <w:bottom w:type="dxa" w:w="100"/>
              <w:right w:type="dxa" w:w="120"/>
            </w:tcMar>
          </w:tcPr>
          <w:p>
            <w:pPr>
              <w:spacing w:after="120" w:before="0"/>
            </w:pPr>
            <w:r>
              <w:rPr>
                <w:rFonts w:ascii="Arial" w:cs="Arial" w:eastAsia="Arial" w:hAnsi="Arial"/>
                <w:b/>
                <w:bCs/>
                <w:color w:val="001D6C"/>
                <w:sz w:val="20"/>
                <w:szCs w:val="20"/>
              </w:rPr>
              <w:t xml:space="preserve">Document Type</w:t>
            </w:r>
          </w:p>
        </w:tc>
        <w:tc>
          <w:tcPr>
            <w:tcW w:type="dxa" w:w="4680"/>
            <w:tcBorders>
              <w:top w:val="single" w:color="D0E2FF" w:sz="4"/>
              <w:left w:val="single" w:color="D0E2FF" w:sz="4"/>
              <w:bottom w:val="single" w:color="D0E2FF" w:sz="4"/>
              <w:right w:val="single" w:color="D0E2FF" w:sz="4"/>
            </w:tcBorders>
            <w:shd w:fill="FFFFFF" w:val="clear"/>
            <w:tcMar>
              <w:top w:type="dxa" w:w="100"/>
              <w:left w:type="dxa" w:w="160"/>
              <w:bottom w:type="dxa" w:w="100"/>
              <w:right w:type="dxa" w:w="120"/>
            </w:tcMar>
          </w:tcPr>
          <w:p>
            <w:pPr>
              <w:spacing w:after="120" w:before="0"/>
            </w:pPr>
            <w:r>
              <w:rPr>
                <w:rFonts w:ascii="Arial" w:cs="Arial" w:eastAsia="Arial" w:hAnsi="Arial"/>
                <w:sz w:val="20"/>
                <w:szCs w:val="20"/>
              </w:rPr>
              <w:t xml:space="preserve">Project Design Report — Phase 1 of 4</w:t>
            </w:r>
          </w:p>
        </w:tc>
        <w:tc>
          <w:tcPr>
            <w:tcW w:type="dxa" w:w="2480"/>
            <w:tcBorders>
              <w:top w:val="single" w:color="D0E2FF" w:sz="4"/>
              <w:left w:val="single" w:color="D0E2FF" w:sz="4"/>
              <w:bottom w:val="single" w:color="D0E2FF" w:sz="4"/>
              <w:right w:val="single" w:color="D0E2FF" w:sz="4"/>
            </w:tcBorders>
            <w:shd w:fill="FFFFFF" w:val="clear"/>
            <w:tcMar>
              <w:top w:type="dxa" w:w="100"/>
              <w:left w:type="dxa" w:w="160"/>
              <w:bottom w:type="dxa" w:w="100"/>
              <w:right w:type="dxa" w:w="120"/>
            </w:tcMar>
          </w:tcPr>
          <w:p>
            <w:pPr>
              <w:spacing w:after="120" w:before="0"/>
            </w:pPr>
            <w:r>
              <w:rPr>
                <w:rFonts w:ascii="Arial" w:cs="Arial" w:eastAsia="Arial" w:hAnsi="Arial"/>
                <w:sz w:val="20"/>
                <w:szCs w:val="20"/>
              </w:rPr>
              <w:t xml:space="preserve">IBM Montreal — Strategy &amp; Data Consulting</w:t>
            </w:r>
          </w:p>
        </w:tc>
      </w:tr>
      <w:tr>
        <w:tc>
          <w:tcPr>
            <w:tcW w:type="dxa" w:w="2200"/>
            <w:tcBorders>
              <w:top w:val="single" w:color="D0E2FF" w:sz="4"/>
              <w:left w:val="single" w:color="D0E2FF" w:sz="4"/>
              <w:bottom w:val="single" w:color="D0E2FF" w:sz="4"/>
              <w:right w:val="single" w:color="D0E2FF" w:sz="4"/>
            </w:tcBorders>
            <w:shd w:fill="EFF4FF" w:val="clear"/>
            <w:tcMar>
              <w:top w:type="dxa" w:w="100"/>
              <w:left w:type="dxa" w:w="160"/>
              <w:bottom w:type="dxa" w:w="100"/>
              <w:right w:type="dxa" w:w="120"/>
            </w:tcMar>
          </w:tcPr>
          <w:p>
            <w:pPr>
              <w:spacing w:after="120" w:before="0"/>
            </w:pPr>
            <w:r>
              <w:rPr>
                <w:rFonts w:ascii="Arial" w:cs="Arial" w:eastAsia="Arial" w:hAnsi="Arial"/>
                <w:b/>
                <w:bCs/>
                <w:color w:val="001D6C"/>
                <w:sz w:val="20"/>
                <w:szCs w:val="20"/>
              </w:rPr>
              <w:t xml:space="preserve">Version</w:t>
            </w:r>
          </w:p>
        </w:tc>
        <w:tc>
          <w:tcPr>
            <w:tcW w:type="dxa" w:w="4680"/>
            <w:tcBorders>
              <w:top w:val="single" w:color="D0E2FF" w:sz="4"/>
              <w:left w:val="single" w:color="D0E2FF" w:sz="4"/>
              <w:bottom w:val="single" w:color="D0E2FF" w:sz="4"/>
              <w:right w:val="single" w:color="D0E2FF" w:sz="4"/>
            </w:tcBorders>
            <w:shd w:fill="FFFFFF" w:val="clear"/>
            <w:tcMar>
              <w:top w:type="dxa" w:w="100"/>
              <w:left w:type="dxa" w:w="160"/>
              <w:bottom w:type="dxa" w:w="100"/>
              <w:right w:type="dxa" w:w="120"/>
            </w:tcMar>
          </w:tcPr>
          <w:p>
            <w:pPr>
              <w:spacing w:after="120" w:before="0"/>
            </w:pPr>
            <w:r>
              <w:rPr>
                <w:rFonts w:ascii="Arial" w:cs="Arial" w:eastAsia="Arial" w:hAnsi="Arial"/>
                <w:sz w:val="20"/>
                <w:szCs w:val="20"/>
              </w:rPr>
              <w:t xml:space="preserve">v1.0 — June 2025</w:t>
            </w:r>
          </w:p>
        </w:tc>
        <w:tc>
          <w:tcPr>
            <w:tcW w:type="dxa" w:w="2480"/>
            <w:tcBorders>
              <w:top w:val="single" w:color="D0E2FF" w:sz="4"/>
              <w:left w:val="single" w:color="D0E2FF" w:sz="4"/>
              <w:bottom w:val="single" w:color="D0E2FF" w:sz="4"/>
              <w:right w:val="single" w:color="D0E2FF" w:sz="4"/>
            </w:tcBorders>
            <w:shd w:fill="EFF4FF" w:val="clear"/>
            <w:tcMar>
              <w:top w:type="dxa" w:w="100"/>
              <w:left w:type="dxa" w:w="160"/>
              <w:bottom w:type="dxa" w:w="100"/>
              <w:right w:type="dxa" w:w="120"/>
            </w:tcMar>
          </w:tcPr>
          <w:p>
            <w:pPr>
              <w:spacing w:after="120" w:before="0"/>
            </w:pPr>
            <w:r>
              <w:rPr>
                <w:rFonts w:ascii="Arial" w:cs="Arial" w:eastAsia="Arial" w:hAnsi="Arial"/>
                <w:b/>
                <w:bCs/>
                <w:color w:val="001D6C"/>
                <w:sz w:val="20"/>
                <w:szCs w:val="20"/>
              </w:rPr>
              <w:t xml:space="preserve">Status</w:t>
            </w:r>
          </w:p>
        </w:tc>
      </w:tr>
      <w:tr>
        <w:tc>
          <w:tcPr>
            <w:tcW w:type="dxa" w:w="2200"/>
            <w:tcBorders>
              <w:top w:val="single" w:color="D0E2FF" w:sz="4"/>
              <w:left w:val="single" w:color="D0E2FF" w:sz="4"/>
              <w:bottom w:val="single" w:color="D0E2FF" w:sz="4"/>
              <w:right w:val="single" w:color="D0E2FF" w:sz="4"/>
            </w:tcBorders>
            <w:shd w:fill="EFF4FF" w:val="clear"/>
            <w:tcMar>
              <w:top w:type="dxa" w:w="100"/>
              <w:left w:type="dxa" w:w="160"/>
              <w:bottom w:type="dxa" w:w="100"/>
              <w:right w:type="dxa" w:w="120"/>
            </w:tcMar>
          </w:tcPr>
          <w:p>
            <w:pPr>
              <w:spacing w:after="120" w:before="0"/>
            </w:pPr>
            <w:r>
              <w:rPr>
                <w:rFonts w:ascii="Arial" w:cs="Arial" w:eastAsia="Arial" w:hAnsi="Arial"/>
                <w:b/>
                <w:bCs/>
                <w:color w:val="001D6C"/>
                <w:sz w:val="20"/>
                <w:szCs w:val="20"/>
              </w:rPr>
              <w:t xml:space="preserve">Repository</w:t>
            </w:r>
          </w:p>
        </w:tc>
        <w:tc>
          <w:tcPr>
            <w:tcW w:type="dxa" w:w="4680"/>
            <w:tcBorders>
              <w:top w:val="single" w:color="D0E2FF" w:sz="4"/>
              <w:left w:val="single" w:color="D0E2FF" w:sz="4"/>
              <w:bottom w:val="single" w:color="D0E2FF" w:sz="4"/>
              <w:right w:val="single" w:color="D0E2FF" w:sz="4"/>
            </w:tcBorders>
            <w:shd w:fill="FFFFFF" w:val="clear"/>
            <w:tcMar>
              <w:top w:type="dxa" w:w="100"/>
              <w:left w:type="dxa" w:w="160"/>
              <w:bottom w:type="dxa" w:w="100"/>
              <w:right w:type="dxa" w:w="120"/>
            </w:tcMar>
          </w:tcPr>
          <w:p>
            <w:pPr>
              <w:spacing w:after="120" w:before="0"/>
            </w:pPr>
            <w:r>
              <w:rPr>
                <w:rFonts w:ascii="Arial" w:cs="Arial" w:eastAsia="Arial" w:hAnsi="Arial"/>
                <w:sz w:val="20"/>
                <w:szCs w:val="20"/>
              </w:rPr>
              <w:t xml:space="preserve">github.com/[your-username]/econsight</w:t>
            </w:r>
          </w:p>
        </w:tc>
        <w:tc>
          <w:tcPr>
            <w:tcW w:type="dxa" w:w="2480"/>
            <w:tcBorders>
              <w:top w:val="single" w:color="D0E2FF" w:sz="4"/>
              <w:left w:val="single" w:color="D0E2FF" w:sz="4"/>
              <w:bottom w:val="single" w:color="D0E2FF" w:sz="4"/>
              <w:right w:val="single" w:color="D0E2FF" w:sz="4"/>
            </w:tcBorders>
            <w:shd w:fill="FFFFFF" w:val="clear"/>
            <w:tcMar>
              <w:top w:type="dxa" w:w="100"/>
              <w:left w:type="dxa" w:w="160"/>
              <w:bottom w:type="dxa" w:w="100"/>
              <w:right w:type="dxa" w:w="120"/>
            </w:tcMar>
          </w:tcPr>
          <w:p>
            <w:pPr>
              <w:spacing w:after="120" w:before="0"/>
            </w:pPr>
            <w:r>
              <w:rPr>
                <w:rFonts w:ascii="Arial" w:cs="Arial" w:eastAsia="Arial" w:hAnsi="Arial"/>
                <w:b/>
                <w:bCs/>
                <w:color w:val="FF832B"/>
                <w:sz w:val="20"/>
                <w:szCs w:val="20"/>
              </w:rPr>
              <w:t xml:space="preserve">In Progress</w:t>
            </w:r>
          </w:p>
        </w:tc>
      </w:tr>
    </w:tbl>
    <w:p>
      <w:pPr>
        <w:spacing w:after="0" w:before="0"/>
      </w:pPr>
      <w:r>
        <w:br w:type="page"/>
      </w:r>
    </w:p>
    <w:p>
      <w:pPr>
        <w:pStyle w:val="Heading1"/>
        <w:pBdr>
          <w:bottom w:val="single" w:color="0F62FE" w:sz="8" w:space="4"/>
        </w:pBdr>
        <w:spacing w:after="120" w:before="360"/>
      </w:pPr>
      <w:r>
        <w:rPr>
          <w:rFonts w:ascii="Arial" w:cs="Arial" w:eastAsia="Arial" w:hAnsi="Arial"/>
          <w:b/>
          <w:bCs/>
          <w:color w:val="001D6C"/>
          <w:sz w:val="32"/>
          <w:szCs w:val="32"/>
        </w:rPr>
        <w:t xml:space="preserve">1. Executive Summary</w:t>
      </w:r>
    </w:p>
    <w:p>
      <w:pPr>
        <w:spacing w:after="200" w:before="0"/>
      </w:pPr>
      <w:r>
        <w:rPr>
          <w:rFonts w:ascii="Arial" w:cs="Arial" w:eastAsia="Arial" w:hAnsi="Arial"/>
          <w:sz w:val="22"/>
          <w:szCs w:val="22"/>
        </w:rPr>
        <w:t xml:space="preserve">EconSight is a four-phase portfolio project that builds an end-to-end decision intelligence platform for Canadian small and medium-sized enterprises (SMEs). The platform ingests live macroeconomic data from Statistics Canada and the Bank of Canada, applies econometric and machine learning models to forecast sector-level trends, and surfaces actionable insights through a consultant-grade dashboard and natural-language query interface.</w:t>
      </w:r>
    </w:p>
    <w:p>
      <w:pPr>
        <w:spacing w:after="200" w:before="0"/>
      </w:pPr>
      <w:r>
        <w:rPr>
          <w:rFonts w:ascii="Arial" w:cs="Arial" w:eastAsia="Arial" w:hAnsi="Arial"/>
          <w:sz w:val="22"/>
          <w:szCs w:val="22"/>
        </w:rPr>
        <w:t xml:space="preserve">This document covers </w:t>
      </w:r>
      <w:r>
        <w:rPr>
          <w:rFonts w:ascii="Arial" w:cs="Arial" w:eastAsia="Arial" w:hAnsi="Arial"/>
          <w:b/>
          <w:bCs/>
          <w:sz w:val="22"/>
          <w:szCs w:val="22"/>
        </w:rPr>
        <w:t xml:space="preserve">Phase 1: Data Engineering Foundation</w:t>
      </w:r>
      <w:r>
        <w:rPr>
          <w:rFonts w:ascii="Arial" w:cs="Arial" w:eastAsia="Arial" w:hAnsi="Arial"/>
          <w:sz w:val="22"/>
          <w:szCs w:val="22"/>
        </w:rPr>
        <w:t xml:space="preserve"> — the ingestion pipeline, PostgreSQL data warehouse, dbt transformation layer, and Apache Airflow orchestration that underpin all subsequent phases.</w:t>
      </w:r>
    </w:p>
    <w:p>
      <w:pPr>
        <w:spacing w:after="320" w:before="0"/>
      </w:pPr>
      <w:r>
        <w:rPr>
          <w:rFonts w:ascii="Arial" w:cs="Arial" w:eastAsia="Arial" w:hAnsi="Arial"/>
          <w:sz w:val="22"/>
          <w:szCs w:val="22"/>
        </w:rPr>
        <w:t xml:space="preserve">The project is architected to demonstrate the specific competencies valued by IBM Montreal's Strategy and Data Consulting practices: the ability to translate complex technical systems into business-oriented deliverables, production-grade engineering discipline, and fluency in both economic analysis and software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4FF" w:val="clear"/>
            <w:tcMar>
              <w:top w:type="dxa" w:w="200"/>
              <w:left w:type="dxa" w:w="160"/>
              <w:bottom w:type="dxa" w:w="200"/>
              <w:right w:type="dxa" w:w="160"/>
            </w:tcMar>
          </w:tcPr>
          <w:p>
            <w:pPr>
              <w:spacing w:after="80" w:before="0"/>
              <w:jc w:val="center"/>
            </w:pPr>
            <w:r>
              <w:rPr>
                <w:rFonts w:ascii="Arial" w:cs="Arial" w:eastAsia="Arial" w:hAnsi="Arial"/>
                <w:b/>
                <w:bCs/>
                <w:color w:val="0F62FE"/>
                <w:sz w:val="56"/>
                <w:szCs w:val="56"/>
              </w:rPr>
              <w:t xml:space="preserve">9</w:t>
            </w:r>
          </w:p>
          <w:p>
            <w:pPr>
              <w:spacing w:after="0" w:before="0"/>
              <w:jc w:val="center"/>
            </w:pPr>
            <w:r>
              <w:rPr>
                <w:rFonts w:ascii="Arial" w:cs="Arial" w:eastAsia="Arial" w:hAnsi="Arial"/>
                <w:color w:val="697077"/>
                <w:sz w:val="18"/>
                <w:szCs w:val="18"/>
              </w:rPr>
              <w:t xml:space="preserve">Macro indicators ingested</w:t>
            </w:r>
          </w:p>
        </w:tc>
        <w:tc>
          <w:tcPr>
            <w:tcW w:type="dxa" w:w="2340"/>
            <w:tcBorders>
              <w:top w:val="none" w:color="FFFFFF" w:sz="0"/>
              <w:left w:val="none" w:color="FFFFFF" w:sz="0"/>
              <w:bottom w:val="none" w:color="FFFFFF" w:sz="0"/>
              <w:right w:val="none" w:color="FFFFFF" w:sz="0"/>
            </w:tcBorders>
            <w:shd w:fill="EFF4FF" w:val="clear"/>
            <w:tcMar>
              <w:top w:type="dxa" w:w="200"/>
              <w:left w:type="dxa" w:w="160"/>
              <w:bottom w:type="dxa" w:w="200"/>
              <w:right w:type="dxa" w:w="160"/>
            </w:tcMar>
          </w:tcPr>
          <w:p>
            <w:pPr>
              <w:spacing w:after="80" w:before="0"/>
              <w:jc w:val="center"/>
            </w:pPr>
            <w:r>
              <w:rPr>
                <w:rFonts w:ascii="Arial" w:cs="Arial" w:eastAsia="Arial" w:hAnsi="Arial"/>
                <w:b/>
                <w:bCs/>
                <w:color w:val="0F62FE"/>
                <w:sz w:val="56"/>
                <w:szCs w:val="56"/>
              </w:rPr>
              <w:t xml:space="preserve">3</w:t>
            </w:r>
          </w:p>
          <w:p>
            <w:pPr>
              <w:spacing w:after="0" w:before="0"/>
              <w:jc w:val="center"/>
            </w:pPr>
            <w:r>
              <w:rPr>
                <w:rFonts w:ascii="Arial" w:cs="Arial" w:eastAsia="Arial" w:hAnsi="Arial"/>
                <w:color w:val="697077"/>
                <w:sz w:val="18"/>
                <w:szCs w:val="18"/>
              </w:rPr>
              <w:t xml:space="preserve">Schema layers (raw / staging / marts)</w:t>
            </w:r>
          </w:p>
        </w:tc>
        <w:tc>
          <w:tcPr>
            <w:tcW w:type="dxa" w:w="2340"/>
            <w:tcBorders>
              <w:top w:val="none" w:color="FFFFFF" w:sz="0"/>
              <w:left w:val="none" w:color="FFFFFF" w:sz="0"/>
              <w:bottom w:val="none" w:color="FFFFFF" w:sz="0"/>
              <w:right w:val="none" w:color="FFFFFF" w:sz="0"/>
            </w:tcBorders>
            <w:shd w:fill="EFF4FF" w:val="clear"/>
            <w:tcMar>
              <w:top w:type="dxa" w:w="200"/>
              <w:left w:type="dxa" w:w="160"/>
              <w:bottom w:type="dxa" w:w="200"/>
              <w:right w:type="dxa" w:w="160"/>
            </w:tcMar>
          </w:tcPr>
          <w:p>
            <w:pPr>
              <w:spacing w:after="80" w:before="0"/>
              <w:jc w:val="center"/>
            </w:pPr>
            <w:r>
              <w:rPr>
                <w:rFonts w:ascii="Arial" w:cs="Arial" w:eastAsia="Arial" w:hAnsi="Arial"/>
                <w:b/>
                <w:bCs/>
                <w:color w:val="0F62FE"/>
                <w:sz w:val="56"/>
                <w:szCs w:val="56"/>
              </w:rPr>
              <w:t xml:space="preserve">20+</w:t>
            </w:r>
          </w:p>
          <w:p>
            <w:pPr>
              <w:spacing w:after="0" w:before="0"/>
              <w:jc w:val="center"/>
            </w:pPr>
            <w:r>
              <w:rPr>
                <w:rFonts w:ascii="Arial" w:cs="Arial" w:eastAsia="Arial" w:hAnsi="Arial"/>
                <w:color w:val="697077"/>
                <w:sz w:val="18"/>
                <w:szCs w:val="18"/>
              </w:rPr>
              <w:t xml:space="preserve">dbt data quality tests</w:t>
            </w:r>
          </w:p>
        </w:tc>
        <w:tc>
          <w:tcPr>
            <w:tcW w:type="dxa" w:w="2340"/>
            <w:tcBorders>
              <w:top w:val="none" w:color="FFFFFF" w:sz="0"/>
              <w:left w:val="none" w:color="FFFFFF" w:sz="0"/>
              <w:bottom w:val="none" w:color="FFFFFF" w:sz="0"/>
              <w:right w:val="none" w:color="FFFFFF" w:sz="0"/>
            </w:tcBorders>
            <w:shd w:fill="EFF4FF" w:val="clear"/>
            <w:tcMar>
              <w:top w:type="dxa" w:w="200"/>
              <w:left w:type="dxa" w:w="160"/>
              <w:bottom w:type="dxa" w:w="200"/>
              <w:right w:type="dxa" w:w="160"/>
            </w:tcMar>
          </w:tcPr>
          <w:p>
            <w:pPr>
              <w:spacing w:after="80" w:before="0"/>
              <w:jc w:val="center"/>
            </w:pPr>
            <w:r>
              <w:rPr>
                <w:rFonts w:ascii="Arial" w:cs="Arial" w:eastAsia="Arial" w:hAnsi="Arial"/>
                <w:b/>
                <w:bCs/>
                <w:color w:val="0F62FE"/>
                <w:sz w:val="56"/>
                <w:szCs w:val="56"/>
              </w:rPr>
              <w:t xml:space="preserve">100%</w:t>
            </w:r>
          </w:p>
          <w:p>
            <w:pPr>
              <w:spacing w:after="0" w:before="0"/>
              <w:jc w:val="center"/>
            </w:pPr>
            <w:r>
              <w:rPr>
                <w:rFonts w:ascii="Arial" w:cs="Arial" w:eastAsia="Arial" w:hAnsi="Arial"/>
                <w:color w:val="697077"/>
                <w:sz w:val="18"/>
                <w:szCs w:val="18"/>
              </w:rPr>
              <w:t xml:space="preserve">Idempotent pipeline (safe to re-run)</w:t>
            </w:r>
          </w:p>
        </w:tc>
      </w:tr>
    </w:tbl>
    <w:p>
      <w:pPr>
        <w:spacing w:after="280" w:before="0"/>
      </w:pPr>
      <w:r>
        <w:rPr>
          <w:rFonts w:ascii="Arial" w:cs="Arial" w:eastAsia="Arial" w:hAnsi="Arial"/>
          <w:sz w:val="22"/>
          <w:szCs w:val="22"/>
        </w:rPr>
        <w:t xml:space="preserve"/>
      </w:r>
    </w:p>
    <w:p>
      <w:pPr>
        <w:pStyle w:val="Heading1"/>
        <w:pBdr>
          <w:bottom w:val="single" w:color="0F62FE" w:sz="8" w:space="4"/>
        </w:pBdr>
        <w:spacing w:after="120" w:before="360"/>
      </w:pPr>
      <w:r>
        <w:rPr>
          <w:rFonts w:ascii="Arial" w:cs="Arial" w:eastAsia="Arial" w:hAnsi="Arial"/>
          <w:b/>
          <w:bCs/>
          <w:color w:val="001D6C"/>
          <w:sz w:val="32"/>
          <w:szCs w:val="32"/>
        </w:rPr>
        <w:t xml:space="preserve">2. Problem Statement</w:t>
      </w:r>
    </w:p>
    <w:p>
      <w:pPr>
        <w:pStyle w:val="Heading2"/>
        <w:spacing w:after="80" w:before="280"/>
      </w:pPr>
      <w:r>
        <w:rPr>
          <w:rFonts w:ascii="Arial" w:cs="Arial" w:eastAsia="Arial" w:hAnsi="Arial"/>
          <w:b/>
          <w:bCs/>
          <w:color w:val="0043CE"/>
          <w:sz w:val="26"/>
          <w:szCs w:val="26"/>
        </w:rPr>
        <w:t xml:space="preserve">2.1 Business Context</w:t>
      </w:r>
    </w:p>
    <w:p>
      <w:pPr>
        <w:spacing w:after="200" w:before="0"/>
      </w:pPr>
      <w:r>
        <w:rPr>
          <w:rFonts w:ascii="Arial" w:cs="Arial" w:eastAsia="Arial" w:hAnsi="Arial"/>
          <w:sz w:val="22"/>
          <w:szCs w:val="22"/>
        </w:rPr>
        <w:t xml:space="preserve">Canadian SMEs represent over 98% of all businesses and account for approximately 54% of GDP, yet most lack the internal analytical capacity to systematically incorporate macroeconomic signals into their operational and strategic planning. Interest rate decisions by the Bank of Canada, CPI trends, and labour market shifts affect pricing strategy, hiring plans, and capital investment — but translating these signals into actionable recommendations requires both economic expertise and data infrastructure that most SMEs cannot afford to build independently.</w:t>
      </w:r>
    </w:p>
    <w:p>
      <w:pPr>
        <w:pStyle w:val="Heading2"/>
        <w:spacing w:after="80" w:before="280"/>
      </w:pPr>
      <w:r>
        <w:rPr>
          <w:rFonts w:ascii="Arial" w:cs="Arial" w:eastAsia="Arial" w:hAnsi="Arial"/>
          <w:b/>
          <w:bCs/>
          <w:color w:val="0043CE"/>
          <w:sz w:val="26"/>
          <w:szCs w:val="26"/>
        </w:rPr>
        <w:t xml:space="preserve">2.2 Technical Gap</w:t>
      </w:r>
    </w:p>
    <w:p>
      <w:pPr>
        <w:spacing w:after="120" w:before="0"/>
      </w:pPr>
      <w:r>
        <w:rPr>
          <w:rFonts w:ascii="Arial" w:cs="Arial" w:eastAsia="Arial" w:hAnsi="Arial"/>
          <w:sz w:val="22"/>
          <w:szCs w:val="22"/>
        </w:rPr>
        <w:t xml:space="preserve">Existing solutions fall into two camps:</w:t>
      </w:r>
    </w:p>
    <w:p>
      <w:pPr>
        <w:pStyle w:val="ListParagraph"/>
        <w:numPr>
          <w:ilvl w:val="0"/>
          <w:numId w:val="2"/>
        </w:numPr>
        <w:spacing w:after="60" w:before="20"/>
      </w:pPr>
      <w:r>
        <w:rPr>
          <w:rFonts w:ascii="Arial" w:cs="Arial" w:eastAsia="Arial" w:hAnsi="Arial"/>
          <w:sz w:val="22"/>
          <w:szCs w:val="22"/>
        </w:rPr>
        <w:t xml:space="preserve">Government statistical portals (StatCan, BoC) expose raw data but require significant technical expertise to access, clean, and interpret.</w:t>
      </w:r>
    </w:p>
    <w:p>
      <w:pPr>
        <w:pStyle w:val="ListParagraph"/>
        <w:numPr>
          <w:ilvl w:val="0"/>
          <w:numId w:val="2"/>
        </w:numPr>
        <w:spacing w:after="60" w:before="20"/>
      </w:pPr>
      <w:r>
        <w:rPr>
          <w:rFonts w:ascii="Arial" w:cs="Arial" w:eastAsia="Arial" w:hAnsi="Arial"/>
          <w:sz w:val="22"/>
          <w:szCs w:val="22"/>
        </w:rPr>
        <w:t xml:space="preserve">Commercial economic intelligence platforms (Bloomberg, Refinitiv) are priced for institutional clients and inaccessible to SMEs.</w:t>
      </w:r>
    </w:p>
    <w:p>
      <w:pPr>
        <w:spacing w:after="160" w:before="0"/>
      </w:pPr>
      <w:r>
        <w:rPr>
          <w:rFonts w:ascii="Arial" w:cs="Arial" w:eastAsia="Arial" w:hAnsi="Arial"/>
          <w:sz w:val="22"/>
          <w:szCs w:val="22"/>
        </w:rPr>
        <w:t xml:space="preserve"/>
      </w:r>
    </w:p>
    <w:p>
      <w:pPr>
        <w:spacing w:after="280" w:before="0"/>
      </w:pPr>
      <w:r>
        <w:rPr>
          <w:rFonts w:ascii="Arial" w:cs="Arial" w:eastAsia="Arial" w:hAnsi="Arial"/>
          <w:sz w:val="22"/>
          <w:szCs w:val="22"/>
        </w:rPr>
        <w:t xml:space="preserve">EconSight occupies the gap: an open, production-grade platform that democratises access to Canadian macro intelligence.</w:t>
      </w:r>
    </w:p>
    <w:p>
      <w:pPr>
        <w:pStyle w:val="Heading2"/>
        <w:spacing w:after="80" w:before="280"/>
      </w:pPr>
      <w:r>
        <w:rPr>
          <w:rFonts w:ascii="Arial" w:cs="Arial" w:eastAsia="Arial" w:hAnsi="Arial"/>
          <w:b/>
          <w:bCs/>
          <w:color w:val="0043CE"/>
          <w:sz w:val="26"/>
          <w:szCs w:val="26"/>
        </w:rPr>
        <w:t xml:space="preserve">2.3 Relevance to IBM Consulting</w:t>
      </w:r>
    </w:p>
    <w:p>
      <w:pPr>
        <w:spacing w:after="280" w:before="0"/>
      </w:pPr>
      <w:r>
        <w:rPr>
          <w:rFonts w:ascii="Arial" w:cs="Arial" w:eastAsia="Arial" w:hAnsi="Arial"/>
          <w:sz w:val="22"/>
          <w:szCs w:val="22"/>
        </w:rPr>
        <w:t xml:space="preserve">IBM's Strategy and Data Consulting practice routinely builds decision-support systems for enterprise clients. EconSight mirrors that engagement model: data ingestion from authoritative sources, warehouse design, transformation modelling, and a client-facing analytical interface. Building this platform independently demonstrates the full-stack consulting mindset — from data engineering through to insight delivery — without requiring client access.</w:t>
      </w:r>
    </w:p>
    <w:p>
      <w:pPr>
        <w:spacing w:after="0" w:before="0"/>
      </w:pPr>
      <w:r>
        <w:br w:type="page"/>
      </w:r>
    </w:p>
    <w:p>
      <w:pPr>
        <w:pStyle w:val="Heading1"/>
        <w:pBdr>
          <w:bottom w:val="single" w:color="0F62FE" w:sz="8" w:space="4"/>
        </w:pBdr>
        <w:spacing w:after="120" w:before="360"/>
      </w:pPr>
      <w:r>
        <w:rPr>
          <w:rFonts w:ascii="Arial" w:cs="Arial" w:eastAsia="Arial" w:hAnsi="Arial"/>
          <w:b/>
          <w:bCs/>
          <w:color w:val="001D6C"/>
          <w:sz w:val="32"/>
          <w:szCs w:val="32"/>
        </w:rPr>
        <w:t xml:space="preserve">3. System Architecture</w:t>
      </w:r>
    </w:p>
    <w:p>
      <w:pPr>
        <w:pStyle w:val="Heading2"/>
        <w:spacing w:after="80" w:before="280"/>
      </w:pPr>
      <w:r>
        <w:rPr>
          <w:rFonts w:ascii="Arial" w:cs="Arial" w:eastAsia="Arial" w:hAnsi="Arial"/>
          <w:b/>
          <w:bCs/>
          <w:color w:val="0043CE"/>
          <w:sz w:val="26"/>
          <w:szCs w:val="26"/>
        </w:rPr>
        <w:t xml:space="preserve">3.1 Medallion Architecture</w:t>
      </w:r>
    </w:p>
    <w:p>
      <w:pPr>
        <w:spacing w:after="200" w:before="0"/>
      </w:pPr>
      <w:r>
        <w:rPr>
          <w:rFonts w:ascii="Arial" w:cs="Arial" w:eastAsia="Arial" w:hAnsi="Arial"/>
          <w:sz w:val="22"/>
          <w:szCs w:val="22"/>
        </w:rPr>
        <w:t xml:space="preserve">Phase 1 implements the </w:t>
      </w:r>
      <w:r>
        <w:rPr>
          <w:rFonts w:ascii="Arial" w:cs="Arial" w:eastAsia="Arial" w:hAnsi="Arial"/>
          <w:b/>
          <w:bCs/>
          <w:sz w:val="22"/>
          <w:szCs w:val="22"/>
        </w:rPr>
        <w:t xml:space="preserve">Medallion Architecture</w:t>
      </w:r>
      <w:r>
        <w:rPr>
          <w:rFonts w:ascii="Arial" w:cs="Arial" w:eastAsia="Arial" w:hAnsi="Arial"/>
          <w:sz w:val="22"/>
          <w:szCs w:val="22"/>
        </w:rPr>
        <w:t xml:space="preserve"> pattern — a widely adopted data lakehouse design that separates data into three quality tiers, each serving a distinct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360"/>
        <w:gridCol w:w="2400"/>
      </w:tblGrid>
      <w:tr>
        <w:trPr>
          <w:tblHeader/>
        </w:trPr>
        <w:tc>
          <w:tcPr>
            <w:tcW w:type="dxa" w:w="144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1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Schema</w:t>
            </w:r>
          </w:p>
        </w:tc>
        <w:tc>
          <w:tcPr>
            <w:tcW w:type="dxa" w:w="33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4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Materialisation</w:t>
            </w:r>
          </w:p>
        </w:tc>
      </w:tr>
      <w:tr>
        <w:tc>
          <w:tcPr>
            <w:tcW w:type="dxa" w:w="144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Bronze</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raw.*</w:t>
            </w:r>
          </w:p>
        </w:tc>
        <w:tc>
          <w:tcPr>
            <w:tcW w:type="dxa" w:w="3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Exact API replicas. No transformations. Append-only audit trail.</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Tables (upsert)</w:t>
            </w:r>
          </w:p>
        </w:tc>
      </w:tr>
      <w:tr>
        <w:tc>
          <w:tcPr>
            <w:tcW w:type="dxa" w:w="144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Silver</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staging.*</w:t>
            </w:r>
          </w:p>
        </w:tc>
        <w:tc>
          <w:tcPr>
            <w:tcW w:type="dxa" w:w="3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Typed, cleaned, surrogate keys, period labels, quality flags.</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Views</w:t>
            </w:r>
          </w:p>
        </w:tc>
      </w:tr>
      <w:tr>
        <w:tc>
          <w:tcPr>
            <w:tcW w:type="dxa" w:w="144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Gold</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marts.*</w:t>
            </w:r>
          </w:p>
        </w:tc>
        <w:tc>
          <w:tcPr>
            <w:tcW w:type="dxa" w:w="3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Wide analytical tables with derived series. API and dashboard ready.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Tables + ANALYZE</w:t>
            </w:r>
          </w:p>
        </w:tc>
      </w:tr>
      <w:tr>
        <w:tc>
          <w:tcPr>
            <w:tcW w:type="dxa" w:w="144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Observability</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meta.*</w:t>
            </w:r>
          </w:p>
        </w:tc>
        <w:tc>
          <w:tcPr>
            <w:tcW w:type="dxa" w:w="3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Pipeline runs, indicator registry, data quality check log.</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Tables</w:t>
            </w:r>
          </w:p>
        </w:tc>
      </w:tr>
    </w:tbl>
    <w:p>
      <w:pPr>
        <w:spacing w:after="28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3.2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1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36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API Clients</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Python 3.11 / httpx / tenacity</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Async HTTP with exponential back-off retry. Typed data models per source.</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Orchestration</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Apache Airflow 2.9</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Weekly DAG, parallel fetch, Slack alerts, full pipeline run audit trail.</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Data Warehouse</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PostgreSQL 16</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Raw + staging + marts + meta schemas. Constraints, indexes, audit triggers.</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Transformations</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1.8 (dbt-postgres)</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SQL models, source freshness checks, 20+ automated data quality tests.</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Migrations</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Alembic 1.13</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Version-controlled schema migration history.</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Configuration</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pydantic-settings 2.3</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Type-safe env var config; .env support for local dev.</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Logging</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structlog + Rich</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JSON-structured logs in production; pretty-printed locally.</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Testing</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pytest + respx</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Unit tests with mocked HTTP. No live API calls in CI.</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CI/CD</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GitHub Actions</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Lint (ruff/mypy), test with Postgres service, dbt compile check.</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Local Dev</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Docker Compose</w:t>
            </w:r>
          </w:p>
        </w:tc>
        <w:tc>
          <w:tcPr>
            <w:tcW w:type="dxa" w:w="3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Postgres + Airflow + pgAdmin in one command.</w:t>
            </w:r>
          </w:p>
        </w:tc>
      </w:tr>
    </w:tbl>
    <w:p>
      <w:pPr>
        <w:spacing w:after="28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3.3 Data Flow Diagram</w:t>
      </w:r>
    </w:p>
    <w:p>
      <w:pPr>
        <w:spacing w:after="160" w:before="0"/>
      </w:pPr>
      <w:r>
        <w:rPr>
          <w:rFonts w:ascii="Arial" w:cs="Arial" w:eastAsia="Arial" w:hAnsi="Arial"/>
          <w:sz w:val="22"/>
          <w:szCs w:val="22"/>
        </w:rPr>
        <w:t xml:space="preserve">The following describes the end-to-end data flow from API through to the analytical 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E2FF" w:sz="4"/>
              <w:left w:val="single" w:color="D0E2FF" w:sz="4"/>
              <w:bottom w:val="single" w:color="D0E2FF" w:sz="4"/>
              <w:right w:val="single" w:color="D0E2FF" w:sz="4"/>
            </w:tcBorders>
            <w:shd w:fill="F4F4F4" w:val="clear"/>
            <w:tcMar>
              <w:top w:type="dxa" w:w="180"/>
              <w:left w:type="dxa" w:w="240"/>
              <w:bottom w:type="dxa" w:w="180"/>
              <w:right w:type="dxa" w:w="240"/>
            </w:tcMar>
          </w:tcPr>
          <w:p>
            <w:pPr>
              <w:spacing w:after="120" w:before="0"/>
            </w:pPr>
            <w:r>
              <w:rPr>
                <w:rFonts w:ascii="Courier New" w:cs="Courier New" w:eastAsia="Courier New" w:hAnsi="Courier New"/>
                <w:b/>
                <w:bCs/>
                <w:color w:val="001D6C"/>
                <w:sz w:val="20"/>
                <w:szCs w:val="20"/>
              </w:rPr>
              <w:t xml:space="preserve">Statistics Canada API  +  Bank of Canada Valet API</w:t>
            </w:r>
          </w:p>
          <w:p>
            <w:pPr>
              <w:spacing w:after="40" w:before="0"/>
            </w:pPr>
            <w:r>
              <w:rPr>
                <w:rFonts w:ascii="Courier New" w:cs="Courier New" w:eastAsia="Courier New" w:hAnsi="Courier New"/>
                <w:color w:val="697077"/>
                <w:sz w:val="18"/>
                <w:szCs w:val="18"/>
              </w:rPr>
              <w:t xml:space="preserve">           |  (async httpx, tenacity retry, parallel gather)</w:t>
            </w:r>
          </w:p>
          <w:p>
            <w:pPr>
              <w:spacing w:after="40" w:before="0"/>
            </w:pPr>
            <w:r>
              <w:rPr>
                <w:rFonts w:ascii="Courier New" w:cs="Courier New" w:eastAsia="Courier New" w:hAnsi="Courier New"/>
                <w:color w:val="0043CE"/>
                <w:sz w:val="18"/>
                <w:szCs w:val="18"/>
              </w:rPr>
              <w:t xml:space="preserve">           v</w:t>
            </w:r>
          </w:p>
          <w:p>
            <w:pPr>
              <w:spacing w:after="40" w:before="0"/>
            </w:pPr>
            <w:r>
              <w:rPr>
                <w:rFonts w:ascii="Courier New" w:cs="Courier New" w:eastAsia="Courier New" w:hAnsi="Courier New"/>
                <w:b/>
                <w:bCs/>
                <w:color w:val="001D6C"/>
                <w:sz w:val="20"/>
                <w:szCs w:val="20"/>
              </w:rPr>
              <w:t xml:space="preserve">   Airflow DAG  (econsight_weekly_ingest)</w:t>
            </w:r>
          </w:p>
          <w:p>
            <w:pPr>
              <w:spacing w:after="40" w:before="0"/>
            </w:pPr>
            <w:r>
              <w:rPr>
                <w:rFonts w:ascii="Courier New" w:cs="Courier New" w:eastAsia="Courier New" w:hAnsi="Courier New"/>
                <w:color w:val="697077"/>
                <w:sz w:val="18"/>
                <w:szCs w:val="18"/>
              </w:rPr>
              <w:t xml:space="preserve">     start_run -&gt; [fetch_statcan || fetch_boc]</w:t>
            </w:r>
          </w:p>
          <w:p>
            <w:pPr>
              <w:spacing w:after="40" w:before="0"/>
            </w:pPr>
            <w:r>
              <w:rPr>
                <w:rFonts w:ascii="Courier New" w:cs="Courier New" w:eastAsia="Courier New" w:hAnsi="Courier New"/>
                <w:color w:val="697077"/>
                <w:sz w:val="18"/>
                <w:szCs w:val="18"/>
              </w:rPr>
              <w:t xml:space="preserve">             -&gt; [load_statcan || load_boc]</w:t>
            </w:r>
          </w:p>
          <w:p>
            <w:pPr>
              <w:spacing w:after="40" w:before="0"/>
            </w:pPr>
            <w:r>
              <w:rPr>
                <w:rFonts w:ascii="Courier New" w:cs="Courier New" w:eastAsia="Courier New" w:hAnsi="Courier New"/>
                <w:color w:val="697077"/>
                <w:sz w:val="18"/>
                <w:szCs w:val="18"/>
              </w:rPr>
              <w:t xml:space="preserve">             -&gt; dbt staging -&gt; dbt marts -&gt; finish_run</w:t>
            </w:r>
          </w:p>
          <w:p>
            <w:pPr>
              <w:spacing w:after="40" w:before="0"/>
            </w:pPr>
            <w:r>
              <w:rPr>
                <w:rFonts w:ascii="Courier New" w:cs="Courier New" w:eastAsia="Courier New" w:hAnsi="Courier New"/>
                <w:color w:val="0043CE"/>
                <w:sz w:val="18"/>
                <w:szCs w:val="18"/>
              </w:rPr>
              <w:t xml:space="preserve">           |</w:t>
            </w:r>
          </w:p>
          <w:p>
            <w:pPr>
              <w:spacing w:after="40" w:before="0"/>
            </w:pPr>
            <w:r>
              <w:rPr>
                <w:rFonts w:ascii="Courier New" w:cs="Courier New" w:eastAsia="Courier New" w:hAnsi="Courier New"/>
                <w:color w:val="0043CE"/>
                <w:sz w:val="18"/>
                <w:szCs w:val="18"/>
              </w:rPr>
              <w:t xml:space="preserve">           v</w:t>
            </w:r>
          </w:p>
          <w:p>
            <w:pPr>
              <w:spacing w:after="40" w:before="0"/>
            </w:pPr>
            <w:r>
              <w:rPr>
                <w:rFonts w:ascii="Courier New" w:cs="Courier New" w:eastAsia="Courier New" w:hAnsi="Courier New"/>
                <w:b/>
                <w:bCs/>
                <w:color w:val="001D6C"/>
                <w:sz w:val="20"/>
                <w:szCs w:val="20"/>
              </w:rPr>
              <w:t xml:space="preserve">   raw.statcan_observations  (ON CONFLICT DO UPDATE)</w:t>
            </w:r>
          </w:p>
          <w:p>
            <w:pPr>
              <w:spacing w:after="40" w:before="0"/>
            </w:pPr>
            <w:r>
              <w:rPr>
                <w:rFonts w:ascii="Courier New" w:cs="Courier New" w:eastAsia="Courier New" w:hAnsi="Courier New"/>
                <w:b/>
                <w:bCs/>
                <w:color w:val="001D6C"/>
                <w:sz w:val="20"/>
                <w:szCs w:val="20"/>
              </w:rPr>
              <w:t xml:space="preserve">   raw.boc_observations</w:t>
            </w:r>
          </w:p>
          <w:p>
            <w:pPr>
              <w:spacing w:after="40" w:before="0"/>
            </w:pPr>
            <w:r>
              <w:rPr>
                <w:rFonts w:ascii="Courier New" w:cs="Courier New" w:eastAsia="Courier New" w:hAnsi="Courier New"/>
                <w:color w:val="697077"/>
                <w:sz w:val="18"/>
                <w:szCs w:val="18"/>
              </w:rPr>
              <w:t xml:space="preserve">           |  dbt run --select staging</w:t>
            </w:r>
          </w:p>
          <w:p>
            <w:pPr>
              <w:spacing w:after="40" w:before="0"/>
            </w:pPr>
            <w:r>
              <w:rPr>
                <w:rFonts w:ascii="Courier New" w:cs="Courier New" w:eastAsia="Courier New" w:hAnsi="Courier New"/>
                <w:color w:val="0043CE"/>
                <w:sz w:val="18"/>
                <w:szCs w:val="18"/>
              </w:rPr>
              <w:t xml:space="preserve">           v</w:t>
            </w:r>
          </w:p>
          <w:p>
            <w:pPr>
              <w:spacing w:after="40" w:before="0"/>
            </w:pPr>
            <w:r>
              <w:rPr>
                <w:rFonts w:ascii="Courier New" w:cs="Courier New" w:eastAsia="Courier New" w:hAnsi="Courier New"/>
                <w:b/>
                <w:bCs/>
                <w:color w:val="001D6C"/>
                <w:sz w:val="20"/>
                <w:szCs w:val="20"/>
              </w:rPr>
              <w:t xml:space="preserve">   staging.stg_statcan_observations  (view)</w:t>
            </w:r>
          </w:p>
          <w:p>
            <w:pPr>
              <w:spacing w:after="40" w:before="0"/>
            </w:pPr>
            <w:r>
              <w:rPr>
                <w:rFonts w:ascii="Courier New" w:cs="Courier New" w:eastAsia="Courier New" w:hAnsi="Courier New"/>
                <w:b/>
                <w:bCs/>
                <w:color w:val="001D6C"/>
                <w:sz w:val="20"/>
                <w:szCs w:val="20"/>
              </w:rPr>
              <w:t xml:space="preserve">   staging.stg_boc_observations  (view)</w:t>
            </w:r>
          </w:p>
          <w:p>
            <w:pPr>
              <w:spacing w:after="40" w:before="0"/>
            </w:pPr>
            <w:r>
              <w:rPr>
                <w:rFonts w:ascii="Courier New" w:cs="Courier New" w:eastAsia="Courier New" w:hAnsi="Courier New"/>
                <w:color w:val="697077"/>
                <w:sz w:val="18"/>
                <w:szCs w:val="18"/>
              </w:rPr>
              <w:t xml:space="preserve">           |  dbt run --select marts</w:t>
            </w:r>
          </w:p>
          <w:p>
            <w:pPr>
              <w:spacing w:after="40" w:before="0"/>
            </w:pPr>
            <w:r>
              <w:rPr>
                <w:rFonts w:ascii="Courier New" w:cs="Courier New" w:eastAsia="Courier New" w:hAnsi="Courier New"/>
                <w:color w:val="0043CE"/>
                <w:sz w:val="18"/>
                <w:szCs w:val="18"/>
              </w:rPr>
              <w:t xml:space="preserve">           v</w:t>
            </w:r>
          </w:p>
          <w:p>
            <w:pPr>
              <w:spacing w:after="40" w:before="0"/>
            </w:pPr>
            <w:r>
              <w:rPr>
                <w:rFonts w:ascii="Courier New" w:cs="Courier New" w:eastAsia="Courier New" w:hAnsi="Courier New"/>
                <w:b/>
                <w:bCs/>
                <w:color w:val="198038"/>
                <w:sz w:val="20"/>
                <w:szCs w:val="20"/>
              </w:rPr>
              <w:t xml:space="preserve">   marts.mart_monthly_macro_indicators  (table)</w:t>
            </w:r>
          </w:p>
          <w:p>
            <w:pPr>
              <w:spacing w:after="0" w:before="0"/>
            </w:pPr>
            <w:r>
              <w:rPr>
                <w:rFonts w:ascii="Courier New" w:cs="Courier New" w:eastAsia="Courier New" w:hAnsi="Courier New"/>
                <w:color w:val="697077"/>
                <w:sz w:val="18"/>
                <w:szCs w:val="18"/>
              </w:rPr>
              <w:t xml:space="preserve">           |  -&gt; Phase 2 models  /  Phase 3 API  /  Dashboard</w:t>
            </w:r>
          </w:p>
        </w:tc>
      </w:tr>
    </w:tbl>
    <w:p>
      <w:pPr>
        <w:spacing w:after="280" w:before="0"/>
      </w:pPr>
      <w:r>
        <w:rPr>
          <w:rFonts w:ascii="Arial" w:cs="Arial" w:eastAsia="Arial" w:hAnsi="Arial"/>
          <w:sz w:val="22"/>
          <w:szCs w:val="22"/>
        </w:rPr>
        <w:t xml:space="preserve"/>
      </w:r>
    </w:p>
    <w:p>
      <w:pPr>
        <w:spacing w:after="0" w:before="0"/>
      </w:pPr>
      <w:r>
        <w:br w:type="page"/>
      </w:r>
    </w:p>
    <w:p>
      <w:pPr>
        <w:pStyle w:val="Heading1"/>
        <w:pBdr>
          <w:bottom w:val="single" w:color="0F62FE" w:sz="8" w:space="4"/>
        </w:pBdr>
        <w:spacing w:after="120" w:before="360"/>
      </w:pPr>
      <w:r>
        <w:rPr>
          <w:rFonts w:ascii="Arial" w:cs="Arial" w:eastAsia="Arial" w:hAnsi="Arial"/>
          <w:b/>
          <w:bCs/>
          <w:color w:val="001D6C"/>
          <w:sz w:val="32"/>
          <w:szCs w:val="32"/>
        </w:rPr>
        <w:t xml:space="preserve">4. Data Sources &amp; Indicators</w:t>
      </w:r>
    </w:p>
    <w:p>
      <w:pPr>
        <w:pStyle w:val="Heading2"/>
        <w:spacing w:after="80" w:before="280"/>
      </w:pPr>
      <w:r>
        <w:rPr>
          <w:rFonts w:ascii="Arial" w:cs="Arial" w:eastAsia="Arial" w:hAnsi="Arial"/>
          <w:b/>
          <w:bCs/>
          <w:color w:val="0043CE"/>
          <w:sz w:val="26"/>
          <w:szCs w:val="26"/>
        </w:rPr>
        <w:t xml:space="preserve">4.1 Statistics Canada</w:t>
      </w:r>
    </w:p>
    <w:p>
      <w:pPr>
        <w:spacing w:after="160" w:before="0"/>
      </w:pPr>
      <w:r>
        <w:rPr>
          <w:rFonts w:ascii="Arial" w:cs="Arial" w:eastAsia="Arial" w:hAnsi="Arial"/>
          <w:sz w:val="22"/>
          <w:szCs w:val="22"/>
        </w:rPr>
        <w:t xml:space="preserve">Statistics Canada's Web Data Service (WDS) provides a public REST API with no authentication requirement. The following tables are ingested: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60"/>
        <w:gridCol w:w="2400"/>
      </w:tblGrid>
      <w:tr>
        <w:trPr>
          <w:tblHeader/>
        </w:trPr>
        <w:tc>
          <w:tcPr>
            <w:tcW w:type="dxa" w:w="30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Indicator</w:t>
            </w:r>
          </w:p>
        </w:tc>
        <w:tc>
          <w:tcPr>
            <w:tcW w:type="dxa" w:w="18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Table ID</w:t>
            </w:r>
          </w:p>
        </w:tc>
        <w:tc>
          <w:tcPr>
            <w:tcW w:type="dxa" w:w="21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Frequency</w:t>
            </w:r>
          </w:p>
        </w:tc>
        <w:tc>
          <w:tcPr>
            <w:tcW w:type="dxa" w:w="24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Unit</w:t>
            </w:r>
          </w:p>
        </w:tc>
      </w:tr>
      <w:tr>
        <w:tc>
          <w:tcPr>
            <w:tcW w:type="dxa" w:w="3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GDP at market prices (chained 2017$)</w:t>
            </w:r>
          </w:p>
        </w:tc>
        <w:tc>
          <w:tcPr>
            <w:tcW w:type="dxa" w:w="18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36-10-0104-01</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Quarterly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Millions CAD</w:t>
            </w:r>
          </w:p>
        </w:tc>
      </w:tr>
      <w:tr>
        <w:tc>
          <w:tcPr>
            <w:tcW w:type="dxa" w:w="3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Consumer Price Index, all-items</w:t>
            </w:r>
          </w:p>
        </w:tc>
        <w:tc>
          <w:tcPr>
            <w:tcW w:type="dxa" w:w="18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18-10-0004-01</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Monthly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Index (2002=100)</w:t>
            </w:r>
          </w:p>
        </w:tc>
      </w:tr>
      <w:tr>
        <w:tc>
          <w:tcPr>
            <w:tcW w:type="dxa" w:w="3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Unemployment rate (LFS)</w:t>
            </w:r>
          </w:p>
        </w:tc>
        <w:tc>
          <w:tcPr>
            <w:tcW w:type="dxa" w:w="18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14-10-0287-01</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Monthly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Percent</w:t>
            </w:r>
          </w:p>
        </w:tc>
      </w:tr>
      <w:tr>
        <w:tc>
          <w:tcPr>
            <w:tcW w:type="dxa" w:w="3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Industrial product price index</w:t>
            </w:r>
          </w:p>
        </w:tc>
        <w:tc>
          <w:tcPr>
            <w:tcW w:type="dxa" w:w="18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18-10-0266-01</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Monthly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Index (2010=100)</w:t>
            </w:r>
          </w:p>
        </w:tc>
      </w:tr>
      <w:tr>
        <w:tc>
          <w:tcPr>
            <w:tcW w:type="dxa" w:w="3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Retail trade sales (seasonally adj.)</w:t>
            </w:r>
          </w:p>
        </w:tc>
        <w:tc>
          <w:tcPr>
            <w:tcW w:type="dxa" w:w="18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20-10-0008-01</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Monthly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Millions CAD</w:t>
            </w:r>
          </w:p>
        </w:tc>
      </w:tr>
    </w:tbl>
    <w:p>
      <w:pPr>
        <w:spacing w:after="24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4.2 Bank of Canada</w:t>
      </w:r>
    </w:p>
    <w:p>
      <w:pPr>
        <w:spacing w:after="160" w:before="0"/>
      </w:pPr>
      <w:r>
        <w:rPr>
          <w:rFonts w:ascii="Arial" w:cs="Arial" w:eastAsia="Arial" w:hAnsi="Arial"/>
          <w:sz w:val="22"/>
          <w:szCs w:val="22"/>
        </w:rPr>
        <w:t xml:space="preserve">The Bank of Canada Valet API provides structured access to monetary policy and financial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160"/>
        <w:gridCol w:w="2400"/>
      </w:tblGrid>
      <w:tr>
        <w:trPr>
          <w:tblHeader/>
        </w:trPr>
        <w:tc>
          <w:tcPr>
            <w:tcW w:type="dxa" w:w="32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Series</w:t>
            </w:r>
          </w:p>
        </w:tc>
        <w:tc>
          <w:tcPr>
            <w:tcW w:type="dxa" w:w="16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Valet Code</w:t>
            </w:r>
          </w:p>
        </w:tc>
        <w:tc>
          <w:tcPr>
            <w:tcW w:type="dxa" w:w="21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Frequency</w:t>
            </w:r>
          </w:p>
        </w:tc>
        <w:tc>
          <w:tcPr>
            <w:tcW w:type="dxa" w:w="24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Unit</w:t>
            </w:r>
          </w:p>
        </w:tc>
      </w:tr>
      <w:tr>
        <w:tc>
          <w:tcPr>
            <w:tcW w:type="dxa" w:w="3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Overnight rate target</w:t>
            </w:r>
          </w:p>
        </w:tc>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V39079</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Daily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Percent</w:t>
            </w:r>
          </w:p>
        </w:tc>
      </w:tr>
      <w:tr>
        <w:tc>
          <w:tcPr>
            <w:tcW w:type="dxa" w:w="3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CAD/USD exchange rate</w:t>
            </w:r>
          </w:p>
        </w:tc>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FXCADUSD</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Daily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Rate</w:t>
            </w:r>
          </w:p>
        </w:tc>
      </w:tr>
      <w:tr>
        <w:tc>
          <w:tcPr>
            <w:tcW w:type="dxa" w:w="3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GoC 10-year benchmark bond yield</w:t>
            </w:r>
          </w:p>
        </w:tc>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V122487</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Daily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Percent</w:t>
            </w:r>
          </w:p>
        </w:tc>
      </w:tr>
      <w:tr>
        <w:tc>
          <w:tcPr>
            <w:tcW w:type="dxa" w:w="3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M2++ broad money supply (SA)</w:t>
            </w:r>
          </w:p>
        </w:tc>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V41552796</w:t>
            </w:r>
          </w:p>
        </w:tc>
        <w:tc>
          <w:tcPr>
            <w:tcW w:type="dxa" w:w="2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Monthly</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Millions CAD</w:t>
            </w:r>
          </w:p>
        </w:tc>
      </w:tr>
    </w:tbl>
    <w:p>
      <w:pPr>
        <w:spacing w:after="24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4.3 Derived Series</w:t>
      </w:r>
    </w:p>
    <w:p>
      <w:pPr>
        <w:spacing w:after="160" w:before="0"/>
      </w:pPr>
      <w:r>
        <w:rPr>
          <w:rFonts w:ascii="Arial" w:cs="Arial" w:eastAsia="Arial" w:hAnsi="Arial"/>
          <w:sz w:val="22"/>
          <w:szCs w:val="22"/>
        </w:rPr>
        <w:t xml:space="preserve">The mart layer computes the following derived indicators from the ingested raw series:</w:t>
      </w:r>
    </w:p>
    <w:p>
      <w:pPr>
        <w:pStyle w:val="ListParagraph"/>
        <w:numPr>
          <w:ilvl w:val="0"/>
          <w:numId w:val="2"/>
        </w:numPr>
        <w:spacing w:after="60" w:before="20"/>
      </w:pPr>
      <w:r>
        <w:rPr>
          <w:rFonts w:ascii="Arial" w:cs="Arial" w:eastAsia="Arial" w:hAnsi="Arial"/>
          <w:sz w:val="22"/>
          <w:szCs w:val="22"/>
        </w:rPr>
        <w:t xml:space="preserve">Yield curve spread (10-year bond yield minus overnight rate) — leading recession indicator</w:t>
      </w:r>
    </w:p>
    <w:p>
      <w:pPr>
        <w:pStyle w:val="ListParagraph"/>
        <w:numPr>
          <w:ilvl w:val="0"/>
          <w:numId w:val="2"/>
        </w:numPr>
        <w:spacing w:after="60" w:before="20"/>
      </w:pPr>
      <w:r>
        <w:rPr>
          <w:rFonts w:ascii="Arial" w:cs="Arial" w:eastAsia="Arial" w:hAnsi="Arial"/>
          <w:sz w:val="22"/>
          <w:szCs w:val="22"/>
        </w:rPr>
        <w:t xml:space="preserve">CPI year-over-year percent change (12-period lag) — inflation measurement</w:t>
      </w:r>
    </w:p>
    <w:p>
      <w:pPr>
        <w:pStyle w:val="ListParagraph"/>
        <w:numPr>
          <w:ilvl w:val="0"/>
          <w:numId w:val="2"/>
        </w:numPr>
        <w:spacing w:after="60" w:before="20"/>
      </w:pPr>
      <w:r>
        <w:rPr>
          <w:rFonts w:ascii="Arial" w:cs="Arial" w:eastAsia="Arial" w:hAnsi="Arial"/>
          <w:sz w:val="22"/>
          <w:szCs w:val="22"/>
        </w:rPr>
        <w:t xml:space="preserve">Unemployment month-over-month delta — labour market momentum</w:t>
      </w:r>
    </w:p>
    <w:p>
      <w:pPr>
        <w:spacing w:after="280" w:before="0"/>
      </w:pPr>
      <w:r>
        <w:rPr>
          <w:rFonts w:ascii="Arial" w:cs="Arial" w:eastAsia="Arial" w:hAnsi="Arial"/>
          <w:sz w:val="22"/>
          <w:szCs w:val="22"/>
        </w:rPr>
        <w:t xml:space="preserve"/>
      </w:r>
    </w:p>
    <w:p>
      <w:pPr>
        <w:pStyle w:val="Heading1"/>
        <w:pBdr>
          <w:bottom w:val="single" w:color="0F62FE" w:sz="8" w:space="4"/>
        </w:pBdr>
        <w:spacing w:after="120" w:before="360"/>
      </w:pPr>
      <w:r>
        <w:rPr>
          <w:rFonts w:ascii="Arial" w:cs="Arial" w:eastAsia="Arial" w:hAnsi="Arial"/>
          <w:b/>
          <w:bCs/>
          <w:color w:val="001D6C"/>
          <w:sz w:val="32"/>
          <w:szCs w:val="32"/>
        </w:rPr>
        <w:t xml:space="preserve">5. Implementation Details</w:t>
      </w:r>
    </w:p>
    <w:p>
      <w:pPr>
        <w:pStyle w:val="Heading2"/>
        <w:spacing w:after="80" w:before="280"/>
      </w:pPr>
      <w:r>
        <w:rPr>
          <w:rFonts w:ascii="Arial" w:cs="Arial" w:eastAsia="Arial" w:hAnsi="Arial"/>
          <w:b/>
          <w:bCs/>
          <w:color w:val="0043CE"/>
          <w:sz w:val="26"/>
          <w:szCs w:val="26"/>
        </w:rPr>
        <w:t xml:space="preserve">5.1 Async HTTP Client Design</w:t>
      </w:r>
    </w:p>
    <w:p>
      <w:pPr>
        <w:spacing w:after="200" w:before="0"/>
      </w:pPr>
      <w:r>
        <w:rPr>
          <w:rFonts w:ascii="Arial" w:cs="Arial" w:eastAsia="Arial" w:hAnsi="Arial"/>
          <w:sz w:val="22"/>
          <w:szCs w:val="22"/>
        </w:rPr>
        <w:t xml:space="preserve">All API calls use </w:t>
      </w:r>
      <w:r>
        <w:rPr>
          <w:rFonts w:ascii="Arial" w:cs="Arial" w:eastAsia="Arial" w:hAnsi="Arial"/>
          <w:b/>
          <w:bCs/>
          <w:sz w:val="22"/>
          <w:szCs w:val="22"/>
        </w:rPr>
        <w:t xml:space="preserve">httpx.AsyncClient</w:t>
      </w:r>
      <w:r>
        <w:rPr>
          <w:rFonts w:ascii="Arial" w:cs="Arial" w:eastAsia="Arial" w:hAnsi="Arial"/>
          <w:sz w:val="22"/>
          <w:szCs w:val="22"/>
        </w:rPr>
        <w:t xml:space="preserve"> with </w:t>
      </w:r>
      <w:r>
        <w:rPr>
          <w:rFonts w:ascii="Arial" w:cs="Arial" w:eastAsia="Arial" w:hAnsi="Arial"/>
          <w:b/>
          <w:bCs/>
          <w:sz w:val="22"/>
          <w:szCs w:val="22"/>
        </w:rPr>
        <w:t xml:space="preserve">tenacity</w:t>
      </w:r>
      <w:r>
        <w:rPr>
          <w:rFonts w:ascii="Arial" w:cs="Arial" w:eastAsia="Arial" w:hAnsi="Arial"/>
          <w:sz w:val="22"/>
          <w:szCs w:val="22"/>
        </w:rPr>
        <w:t xml:space="preserve"> exponential back-off retry (2s minimum, 30s maximum, up to 5 attempts). HTTP 429 responses are handled by reading the </w:t>
      </w:r>
      <w:r>
        <w:rPr>
          <w:rFonts w:ascii="Arial" w:cs="Arial" w:eastAsia="Arial" w:hAnsi="Arial"/>
          <w:b/>
          <w:bCs/>
          <w:sz w:val="22"/>
          <w:szCs w:val="22"/>
        </w:rPr>
        <w:t xml:space="preserve">Retry-After</w:t>
      </w:r>
      <w:r>
        <w:rPr>
          <w:rFonts w:ascii="Arial" w:cs="Arial" w:eastAsia="Arial" w:hAnsi="Arial"/>
          <w:sz w:val="22"/>
          <w:szCs w:val="22"/>
        </w:rPr>
        <w:t xml:space="preserve"> header before re-queuing. StatCan and BoC fetches execute concurrently via </w:t>
      </w:r>
      <w:r>
        <w:rPr>
          <w:rFonts w:ascii="Arial" w:cs="Arial" w:eastAsia="Arial" w:hAnsi="Arial"/>
          <w:b/>
          <w:bCs/>
          <w:sz w:val="22"/>
          <w:szCs w:val="22"/>
        </w:rPr>
        <w:t xml:space="preserve">asyncio.gather()</w:t>
      </w:r>
      <w:r>
        <w:rPr>
          <w:rFonts w:ascii="Arial" w:cs="Arial" w:eastAsia="Arial" w:hAnsi="Arial"/>
          <w:sz w:val="22"/>
          <w:szCs w:val="22"/>
        </w:rPr>
        <w:t xml:space="preserve">, cutting total ingestion wall-clock time roughly in half versus sequential execution.</w:t>
      </w:r>
    </w:p>
    <w:p>
      <w:pPr>
        <w:pStyle w:val="Heading2"/>
        <w:spacing w:after="80" w:before="280"/>
      </w:pPr>
      <w:r>
        <w:rPr>
          <w:rFonts w:ascii="Arial" w:cs="Arial" w:eastAsia="Arial" w:hAnsi="Arial"/>
          <w:b/>
          <w:bCs/>
          <w:color w:val="0043CE"/>
          <w:sz w:val="26"/>
          <w:szCs w:val="26"/>
        </w:rPr>
        <w:t xml:space="preserve">5.2 Idempotent Upsert Strategy</w:t>
      </w:r>
    </w:p>
    <w:p>
      <w:pPr>
        <w:spacing w:after="200" w:before="0"/>
      </w:pPr>
      <w:r>
        <w:rPr>
          <w:rFonts w:ascii="Arial" w:cs="Arial" w:eastAsia="Arial" w:hAnsi="Arial"/>
          <w:sz w:val="22"/>
          <w:szCs w:val="22"/>
        </w:rPr>
        <w:t xml:space="preserve">All raw table inserts use PostgreSQL's </w:t>
      </w:r>
      <w:r>
        <w:rPr>
          <w:rFonts w:ascii="Arial" w:cs="Arial" w:eastAsia="Arial" w:hAnsi="Arial"/>
          <w:b/>
          <w:bCs/>
          <w:sz w:val="22"/>
          <w:szCs w:val="22"/>
        </w:rPr>
        <w:t xml:space="preserve">INSERT ... ON CONFLICT DO UPDATE</w:t>
      </w:r>
      <w:r>
        <w:rPr>
          <w:rFonts w:ascii="Arial" w:cs="Arial" w:eastAsia="Arial" w:hAnsi="Arial"/>
          <w:sz w:val="22"/>
          <w:szCs w:val="22"/>
        </w:rPr>
        <w:t xml:space="preserve"> (UPSERT). The natural conflict key is </w:t>
      </w:r>
      <w:r>
        <w:rPr>
          <w:rFonts w:ascii="Arial" w:cs="Arial" w:eastAsia="Arial" w:hAnsi="Arial"/>
          <w:b/>
          <w:bCs/>
          <w:sz w:val="22"/>
          <w:szCs w:val="22"/>
        </w:rPr>
        <w:t xml:space="preserve">(indicator_key, reference_date)</w:t>
      </w:r>
      <w:r>
        <w:rPr>
          <w:rFonts w:ascii="Arial" w:cs="Arial" w:eastAsia="Arial" w:hAnsi="Arial"/>
          <w:sz w:val="22"/>
          <w:szCs w:val="22"/>
        </w:rPr>
        <w:t xml:space="preserve"> for StatCan and </w:t>
      </w:r>
      <w:r>
        <w:rPr>
          <w:rFonts w:ascii="Arial" w:cs="Arial" w:eastAsia="Arial" w:hAnsi="Arial"/>
          <w:b/>
          <w:bCs/>
          <w:sz w:val="22"/>
          <w:szCs w:val="22"/>
        </w:rPr>
        <w:t xml:space="preserve">(series_key, reference_date)</w:t>
      </w:r>
      <w:r>
        <w:rPr>
          <w:rFonts w:ascii="Arial" w:cs="Arial" w:eastAsia="Arial" w:hAnsi="Arial"/>
          <w:sz w:val="22"/>
          <w:szCs w:val="22"/>
        </w:rPr>
        <w:t xml:space="preserve"> for BoC. This means the pipeline is safe to re-run at any frequency without creating duplicates or losing data. Airflow task retries work correctly without manual rollback logic.</w:t>
      </w:r>
    </w:p>
    <w:p>
      <w:pPr>
        <w:pStyle w:val="Heading2"/>
        <w:spacing w:after="80" w:before="280"/>
      </w:pPr>
      <w:r>
        <w:rPr>
          <w:rFonts w:ascii="Arial" w:cs="Arial" w:eastAsia="Arial" w:hAnsi="Arial"/>
          <w:b/>
          <w:bCs/>
          <w:color w:val="0043CE"/>
          <w:sz w:val="26"/>
          <w:szCs w:val="26"/>
        </w:rPr>
        <w:t xml:space="preserve">5.3 dbt Transformation Layer</w:t>
      </w:r>
    </w:p>
    <w:p>
      <w:pPr>
        <w:spacing w:after="160" w:before="0"/>
      </w:pPr>
      <w:r>
        <w:rPr>
          <w:rFonts w:ascii="Arial" w:cs="Arial" w:eastAsia="Arial" w:hAnsi="Arial"/>
          <w:sz w:val="22"/>
          <w:szCs w:val="22"/>
        </w:rPr>
        <w:t xml:space="preserve">The dbt project implements three model layers:</w:t>
      </w:r>
    </w:p>
    <w:p>
      <w:pPr>
        <w:pStyle w:val="ListParagraph"/>
        <w:numPr>
          <w:ilvl w:val="0"/>
          <w:numId w:val="2"/>
        </w:numPr>
        <w:spacing w:after="60" w:before="20"/>
      </w:pPr>
      <w:r>
        <w:rPr>
          <w:rFonts w:ascii="Arial" w:cs="Arial" w:eastAsia="Arial" w:hAnsi="Arial"/>
          <w:sz w:val="22"/>
          <w:szCs w:val="22"/>
        </w:rPr>
        <w:t xml:space="preserve">stg_statcan_observations: casts types, adds MD5 surrogate key, derives period labels (YYYY-MM / YYYY-Qn), applies minimum date filter, flags reliability (status A or P).</w:t>
      </w:r>
    </w:p>
    <w:p>
      <w:pPr>
        <w:pStyle w:val="ListParagraph"/>
        <w:numPr>
          <w:ilvl w:val="0"/>
          <w:numId w:val="2"/>
        </w:numPr>
        <w:spacing w:after="60" w:before="20"/>
      </w:pPr>
      <w:r>
        <w:rPr>
          <w:rFonts w:ascii="Arial" w:cs="Arial" w:eastAsia="Arial" w:hAnsi="Arial"/>
          <w:sz w:val="22"/>
          <w:szCs w:val="22"/>
        </w:rPr>
        <w:t xml:space="preserve">stg_boc_observations: adds business-day and month-end flags. Month-end flagging enables joining daily BoC series to monthly StatCan data without arbitrary aggregation choices.</w:t>
      </w:r>
    </w:p>
    <w:p>
      <w:pPr>
        <w:pStyle w:val="ListParagraph"/>
        <w:numPr>
          <w:ilvl w:val="0"/>
          <w:numId w:val="2"/>
        </w:numPr>
        <w:spacing w:after="60" w:before="20"/>
      </w:pPr>
      <w:r>
        <w:rPr>
          <w:rFonts w:ascii="Arial" w:cs="Arial" w:eastAsia="Arial" w:hAnsi="Arial"/>
          <w:sz w:val="22"/>
          <w:szCs w:val="22"/>
        </w:rPr>
        <w:t xml:space="preserve">mart_monthly_macro_indicators: wide table with one row per calendar month. Uses a recursive date spine to ensure all months appear even with partial source data. Computes all derived series using window functions.</w:t>
      </w:r>
    </w:p>
    <w:p>
      <w:pPr>
        <w:spacing w:after="20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5.4 Airflow DAG Structure</w:t>
      </w:r>
    </w:p>
    <w:p>
      <w:pPr>
        <w:spacing w:after="160" w:before="0"/>
      </w:pPr>
      <w:r>
        <w:rPr>
          <w:rFonts w:ascii="Arial" w:cs="Arial" w:eastAsia="Arial" w:hAnsi="Arial"/>
          <w:sz w:val="22"/>
          <w:szCs w:val="22"/>
        </w:rPr>
        <w:t xml:space="preserve">The weekly DAG implements a fan-out / fan-in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1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2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start_run</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@task (Python)</w:t>
            </w:r>
          </w:p>
        </w:tc>
        <w:tc>
          <w:tcPr>
            <w:tcW w:type="dxa" w:w="4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Creates meta.pipeline_runs record; returns UUID via XCom</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fetch_statcan</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@task (Python)</w:t>
            </w:r>
          </w:p>
        </w:tc>
        <w:tc>
          <w:tcPr>
            <w:tcW w:type="dxa" w:w="4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Async fetch of all 5 StatCan indicators; serialises to JSON</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fetch_boc</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@task (Python)</w:t>
            </w:r>
          </w:p>
        </w:tc>
        <w:tc>
          <w:tcPr>
            <w:tcW w:type="dxa" w:w="4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Async fetch of all 4 BoC series; runs in parallel with fetch_statcan</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load_statcan</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@task (Python)</w:t>
            </w:r>
          </w:p>
        </w:tc>
        <w:tc>
          <w:tcPr>
            <w:tcW w:type="dxa" w:w="4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Upserts StatCan DataFrame into raw schema in batches of 1,000</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load_boc</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@task (Python)</w:t>
            </w:r>
          </w:p>
        </w:tc>
        <w:tc>
          <w:tcPr>
            <w:tcW w:type="dxa" w:w="4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Upserts BoC DataFrame into raw schema</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run_dbt_staging</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BashOperator</w:t>
            </w:r>
          </w:p>
        </w:tc>
        <w:tc>
          <w:tcPr>
            <w:tcW w:type="dxa" w:w="4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run + dbt test on staging models</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run_dbt_marts</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BashOperator</w:t>
            </w:r>
          </w:p>
        </w:tc>
        <w:tc>
          <w:tcPr>
            <w:tcW w:type="dxa" w:w="4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run + dbt test on mart models</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finish_run</w:t>
            </w:r>
          </w:p>
        </w:tc>
        <w:tc>
          <w:tcPr>
            <w:tcW w:type="dxa" w:w="31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@task (Python)</w:t>
            </w:r>
          </w:p>
        </w:tc>
        <w:tc>
          <w:tcPr>
            <w:tcW w:type="dxa" w:w="4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Updates pipeline_runs: status, row counts, finished_at timestamp</w:t>
            </w:r>
          </w:p>
        </w:tc>
      </w:tr>
    </w:tbl>
    <w:p>
      <w:pPr>
        <w:spacing w:after="280" w:before="0"/>
      </w:pPr>
      <w:r>
        <w:rPr>
          <w:rFonts w:ascii="Arial" w:cs="Arial" w:eastAsia="Arial" w:hAnsi="Arial"/>
          <w:sz w:val="22"/>
          <w:szCs w:val="22"/>
        </w:rPr>
        <w:t xml:space="preserve"/>
      </w:r>
    </w:p>
    <w:p>
      <w:pPr>
        <w:spacing w:after="0" w:before="0"/>
      </w:pPr>
      <w:r>
        <w:br w:type="page"/>
      </w:r>
    </w:p>
    <w:p>
      <w:pPr>
        <w:pStyle w:val="Heading1"/>
        <w:pBdr>
          <w:bottom w:val="single" w:color="0F62FE" w:sz="8" w:space="4"/>
        </w:pBdr>
        <w:spacing w:after="120" w:before="360"/>
      </w:pPr>
      <w:r>
        <w:rPr>
          <w:rFonts w:ascii="Arial" w:cs="Arial" w:eastAsia="Arial" w:hAnsi="Arial"/>
          <w:b/>
          <w:bCs/>
          <w:color w:val="001D6C"/>
          <w:sz w:val="32"/>
          <w:szCs w:val="32"/>
        </w:rPr>
        <w:t xml:space="preserve">6. Data Quality Framework</w:t>
      </w:r>
    </w:p>
    <w:p>
      <w:pPr>
        <w:pStyle w:val="Heading2"/>
        <w:spacing w:after="80" w:before="280"/>
      </w:pPr>
      <w:r>
        <w:rPr>
          <w:rFonts w:ascii="Arial" w:cs="Arial" w:eastAsia="Arial" w:hAnsi="Arial"/>
          <w:b/>
          <w:bCs/>
          <w:color w:val="0043CE"/>
          <w:sz w:val="26"/>
          <w:szCs w:val="26"/>
        </w:rPr>
        <w:t xml:space="preserve">6.1 Testing Strategy</w:t>
      </w:r>
    </w:p>
    <w:p>
      <w:pPr>
        <w:spacing w:after="200" w:before="0"/>
      </w:pPr>
      <w:r>
        <w:rPr>
          <w:rFonts w:ascii="Arial" w:cs="Arial" w:eastAsia="Arial" w:hAnsi="Arial"/>
          <w:sz w:val="22"/>
          <w:szCs w:val="22"/>
        </w:rPr>
        <w:t xml:space="preserve">Data quality is enforced at three levels: database constraints (DDL), dbt schema tests (YAML), and custom dbt tests (SQL). This mirrors the layered DQ approach used in enterprise data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4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Mechanism</w:t>
            </w:r>
          </w:p>
        </w:tc>
        <w:tc>
          <w:tcPr>
            <w:tcW w:type="dxa" w:w="53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r>
      <w:tr>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Database</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PostgreSQL DDL</w:t>
            </w:r>
          </w:p>
        </w:tc>
        <w:tc>
          <w:tcPr>
            <w:tcW w:type="dxa" w:w="5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UNIQUE constraints on natural keys; NOT NULL on required columns; CHECK via triggers</w:t>
            </w:r>
          </w:p>
        </w:tc>
      </w:tr>
      <w:tr>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Ingestion</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Python type validation</w:t>
            </w:r>
          </w:p>
        </w:tc>
        <w:tc>
          <w:tcPr>
            <w:tcW w:type="dxa" w:w="5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Typed dataclasses reject malformed API responses at parse time</w:t>
            </w:r>
          </w:p>
        </w:tc>
      </w:tr>
      <w:tr>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Staging</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schema tests</w:t>
            </w:r>
          </w:p>
        </w:tc>
        <w:tc>
          <w:tcPr>
            <w:tcW w:type="dxa" w:w="5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unique, not_null, accepted_values on every staging model column</w:t>
            </w:r>
          </w:p>
        </w:tc>
      </w:tr>
      <w:tr>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Marts</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custom tests</w:t>
            </w:r>
          </w:p>
        </w:tc>
        <w:tc>
          <w:tcPr>
            <w:tcW w:type="dxa" w:w="5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indicators_populated &gt;= 3 for post-2010 rows; CAD/USD rate BETWEEN 0.5 AND 2.0</w:t>
            </w:r>
          </w:p>
        </w:tc>
      </w:tr>
      <w:tr>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Source</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source freshness</w:t>
            </w:r>
          </w:p>
        </w:tc>
        <w:tc>
          <w:tcPr>
            <w:tcW w:type="dxa" w:w="5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warn_after 8 days, error_after 15 days on raw tables</w:t>
            </w:r>
          </w:p>
        </w:tc>
      </w:tr>
      <w:tr>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Pipeline</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meta.data_quality_checks</w:t>
            </w:r>
          </w:p>
        </w:tc>
        <w:tc>
          <w:tcPr>
            <w:tcW w:type="dxa" w:w="5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Every dbt test result logged with run_id for full auditability</w:t>
            </w:r>
          </w:p>
        </w:tc>
      </w:tr>
    </w:tbl>
    <w:p>
      <w:pPr>
        <w:spacing w:after="28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6.2 Observability</w:t>
      </w:r>
    </w:p>
    <w:p>
      <w:pPr>
        <w:spacing w:after="160" w:before="0"/>
      </w:pPr>
      <w:r>
        <w:rPr>
          <w:rFonts w:ascii="Arial" w:cs="Arial" w:eastAsia="Arial" w:hAnsi="Arial"/>
          <w:sz w:val="22"/>
          <w:szCs w:val="22"/>
        </w:rPr>
        <w:t xml:space="preserve">Every pipeline execution creates a record in meta.pipeline_runs with start/end timestamps, row counts, and error messages. This enables:</w:t>
      </w:r>
    </w:p>
    <w:p>
      <w:pPr>
        <w:pStyle w:val="ListParagraph"/>
        <w:numPr>
          <w:ilvl w:val="0"/>
          <w:numId w:val="2"/>
        </w:numPr>
        <w:spacing w:after="60" w:before="20"/>
      </w:pPr>
      <w:r>
        <w:rPr>
          <w:rFonts w:ascii="Arial" w:cs="Arial" w:eastAsia="Arial" w:hAnsi="Arial"/>
          <w:sz w:val="22"/>
          <w:szCs w:val="22"/>
        </w:rPr>
        <w:t xml:space="preserve">Post-mortem analysis of any failed run without log archaeology</w:t>
      </w:r>
    </w:p>
    <w:p>
      <w:pPr>
        <w:pStyle w:val="ListParagraph"/>
        <w:numPr>
          <w:ilvl w:val="0"/>
          <w:numId w:val="2"/>
        </w:numPr>
        <w:spacing w:after="60" w:before="20"/>
      </w:pPr>
      <w:r>
        <w:rPr>
          <w:rFonts w:ascii="Arial" w:cs="Arial" w:eastAsia="Arial" w:hAnsi="Arial"/>
          <w:sz w:val="22"/>
          <w:szCs w:val="22"/>
        </w:rPr>
        <w:t xml:space="preserve">Row-count trend monitoring to detect upstream API changes (sudden drop signals format change)</w:t>
      </w:r>
    </w:p>
    <w:p>
      <w:pPr>
        <w:pStyle w:val="ListParagraph"/>
        <w:numPr>
          <w:ilvl w:val="0"/>
          <w:numId w:val="2"/>
        </w:numPr>
        <w:spacing w:after="60" w:before="20"/>
      </w:pPr>
      <w:r>
        <w:rPr>
          <w:rFonts w:ascii="Arial" w:cs="Arial" w:eastAsia="Arial" w:hAnsi="Arial"/>
          <w:sz w:val="22"/>
          <w:szCs w:val="22"/>
        </w:rPr>
        <w:t xml:space="preserve">SLA measurement (scheduled vs. actual completion time)</w:t>
      </w:r>
    </w:p>
    <w:p>
      <w:pPr>
        <w:pStyle w:val="ListParagraph"/>
        <w:numPr>
          <w:ilvl w:val="0"/>
          <w:numId w:val="2"/>
        </w:numPr>
        <w:spacing w:after="60" w:before="20"/>
      </w:pPr>
      <w:r>
        <w:rPr>
          <w:rFonts w:ascii="Arial" w:cs="Arial" w:eastAsia="Arial" w:hAnsi="Arial"/>
          <w:sz w:val="22"/>
          <w:szCs w:val="22"/>
        </w:rPr>
        <w:t xml:space="preserve">Audit trail for any data revision — each observation carries pipeline_run_id</w:t>
      </w:r>
    </w:p>
    <w:p>
      <w:pPr>
        <w:spacing w:after="280" w:before="0"/>
      </w:pPr>
      <w:r>
        <w:rPr>
          <w:rFonts w:ascii="Arial" w:cs="Arial" w:eastAsia="Arial" w:hAnsi="Arial"/>
          <w:sz w:val="22"/>
          <w:szCs w:val="22"/>
        </w:rPr>
        <w:t xml:space="preserve"/>
      </w:r>
    </w:p>
    <w:p>
      <w:pPr>
        <w:pStyle w:val="Heading1"/>
        <w:pBdr>
          <w:bottom w:val="single" w:color="0F62FE" w:sz="8" w:space="4"/>
        </w:pBdr>
        <w:spacing w:after="120" w:before="360"/>
      </w:pPr>
      <w:r>
        <w:rPr>
          <w:rFonts w:ascii="Arial" w:cs="Arial" w:eastAsia="Arial" w:hAnsi="Arial"/>
          <w:b/>
          <w:bCs/>
          <w:color w:val="001D6C"/>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4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 / Version</w:t>
            </w:r>
          </w:p>
        </w:tc>
        <w:tc>
          <w:tcPr>
            <w:tcW w:type="dxa" w:w="49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Language</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Python 3.11+</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async/await support; latest type system features (PEP 695); IBM Cloud Functions compatible</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Database</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PostgreSQL 16</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JSON support, window functions, CTEs, UPSERT — production-grade open source RDBMS</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HTTP Client</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httpx 0.27</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Native async; cleaner API than aiohttp; first-class httpx support in respx for testing</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Retry Logic</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tenacity 8.3</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Declarative retry policies; exponential back-off with jitter; widely used in production</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Transformations</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dbt-postgres 1.8</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Industry standard for SQL-based ELT; lineage graph; test framework; documentation generation</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Orchestration</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Apache Airflow 2.9</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IBM uses Airflow in Cloud Pak for Data; TaskFlow API reduces boilerplate significantly</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Config</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pydantic-settings 2.3</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Type-safe env vars; automatic .env loading; validation on startup prevents misconfiguration</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Logging</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structlog 24.1</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JSON output native; context binding; compatible with IBM Cloud Logs aggregator</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Migrations</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Alembic 1.13</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Version-controlled schema history; integrates with SQLAlchemy; autogenerate support</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Testing</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pytest + respx</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respx intercepts httpx at transport level — no monkey-patching; fully async compatible</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CI/CD</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GitHub Actions</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Free for public repos; Postgres service containers built in; widely used in consulting</w:t>
            </w:r>
          </w:p>
        </w:tc>
      </w:tr>
      <w:tr>
        <w:tc>
          <w:tcPr>
            <w:tcW w:type="dxa" w:w="2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Containers</w:t>
            </w:r>
          </w:p>
        </w:tc>
        <w:tc>
          <w:tcPr>
            <w:tcW w:type="dxa" w:w="2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Docker Compose 3</w:t>
            </w:r>
          </w:p>
        </w:tc>
        <w:tc>
          <w:tcPr>
            <w:tcW w:type="dxa" w:w="4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One-command local environment; mirrors cloud deployment structure</w:t>
            </w:r>
          </w:p>
        </w:tc>
      </w:tr>
    </w:tbl>
    <w:p>
      <w:pPr>
        <w:spacing w:after="280" w:before="0"/>
      </w:pPr>
      <w:r>
        <w:rPr>
          <w:rFonts w:ascii="Arial" w:cs="Arial" w:eastAsia="Arial" w:hAnsi="Arial"/>
          <w:sz w:val="22"/>
          <w:szCs w:val="22"/>
        </w:rPr>
        <w:t xml:space="preserve"/>
      </w:r>
    </w:p>
    <w:p>
      <w:pPr>
        <w:spacing w:after="0" w:before="0"/>
      </w:pPr>
      <w:r>
        <w:br w:type="page"/>
      </w:r>
    </w:p>
    <w:p>
      <w:pPr>
        <w:pStyle w:val="Heading1"/>
        <w:pBdr>
          <w:bottom w:val="single" w:color="0F62FE" w:sz="8" w:space="4"/>
        </w:pBdr>
        <w:spacing w:after="120" w:before="360"/>
      </w:pPr>
      <w:r>
        <w:rPr>
          <w:rFonts w:ascii="Arial" w:cs="Arial" w:eastAsia="Arial" w:hAnsi="Arial"/>
          <w:b/>
          <w:bCs/>
          <w:color w:val="001D6C"/>
          <w:sz w:val="32"/>
          <w:szCs w:val="32"/>
        </w:rPr>
        <w:t xml:space="preserve">8. Project Roadmap</w:t>
      </w:r>
    </w:p>
    <w:p>
      <w:pPr>
        <w:pStyle w:val="Heading2"/>
        <w:spacing w:after="80" w:before="280"/>
      </w:pPr>
      <w:r>
        <w:rPr>
          <w:rFonts w:ascii="Arial" w:cs="Arial" w:eastAsia="Arial" w:hAnsi="Arial"/>
          <w:b/>
          <w:bCs/>
          <w:color w:val="0043CE"/>
          <w:sz w:val="26"/>
          <w:szCs w:val="26"/>
        </w:rPr>
        <w:t xml:space="preserve">8.1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360"/>
        <w:gridCol w:w="4400"/>
      </w:tblGrid>
      <w:tr>
        <w:trPr>
          <w:tblHeader/>
        </w:trPr>
        <w:tc>
          <w:tcPr>
            <w:tcW w:type="dxa" w:w="10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16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Weeks</w:t>
            </w:r>
          </w:p>
        </w:tc>
        <w:tc>
          <w:tcPr>
            <w:tcW w:type="dxa" w:w="23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44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Deliverables</w:t>
            </w:r>
          </w:p>
        </w:tc>
      </w:tr>
      <w:tr>
        <w:tc>
          <w:tcPr>
            <w:tcW w:type="dxa" w:w="1000"/>
            <w:tcBorders>
              <w:top w:val="single" w:color="DDE1E6" w:sz="4"/>
              <w:left w:val="single" w:color="DDE1E6" w:sz="4"/>
              <w:bottom w:val="single" w:color="DDE1E6" w:sz="4"/>
              <w:right w:val="single" w:color="DDE1E6" w:sz="4"/>
            </w:tcBorders>
            <w:shd w:fill="0F62FE"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1</w:t>
            </w:r>
          </w:p>
        </w:tc>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198038"/>
                <w:sz w:val="20"/>
                <w:szCs w:val="20"/>
              </w:rPr>
              <w:t xml:space="preserve">1 – 3 [NOW]</w:t>
            </w:r>
          </w:p>
        </w:tc>
        <w:tc>
          <w:tcPr>
            <w:tcW w:type="dxa" w:w="2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Data Engineering Foundation</w:t>
            </w:r>
          </w:p>
        </w:tc>
        <w:tc>
          <w:tcPr>
            <w:tcW w:type="dxa" w:w="4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StatCan + BoC ingestion, PostgreSQL warehouse, dbt models, Airflow DAG, CI/CD, Docker</w:t>
            </w:r>
          </w:p>
        </w:tc>
      </w:tr>
      <w:tr>
        <w:tc>
          <w:tcPr>
            <w:tcW w:type="dxa" w:w="1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2</w:t>
            </w:r>
          </w:p>
        </w:tc>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4 – 6</w:t>
            </w:r>
          </w:p>
        </w:tc>
        <w:tc>
          <w:tcPr>
            <w:tcW w:type="dxa" w:w="2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Econometric Modelling</w:t>
            </w:r>
          </w:p>
        </w:tc>
        <w:tc>
          <w:tcPr>
            <w:tcW w:type="dxa" w:w="4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VAR/VECM forecasting, XGBoost ensembles, SHAP explainability, MLflow tracking, Monte Carlo simulation</w:t>
            </w:r>
          </w:p>
        </w:tc>
      </w:tr>
      <w:tr>
        <w:tc>
          <w:tcPr>
            <w:tcW w:type="dxa" w:w="1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3</w:t>
            </w:r>
          </w:p>
        </w:tc>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7 – 9</w:t>
            </w:r>
          </w:p>
        </w:tc>
        <w:tc>
          <w:tcPr>
            <w:tcW w:type="dxa" w:w="2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Consulting Interface</w:t>
            </w:r>
          </w:p>
        </w:tc>
        <w:tc>
          <w:tcPr>
            <w:tcW w:type="dxa" w:w="4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FastAPI backend, React dashboard, RAG natural-language query, PDF report generator</w:t>
            </w:r>
          </w:p>
        </w:tc>
      </w:tr>
      <w:tr>
        <w:tc>
          <w:tcPr>
            <w:tcW w:type="dxa" w:w="10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4</w:t>
            </w:r>
          </w:p>
        </w:tc>
        <w:tc>
          <w:tcPr>
            <w:tcW w:type="dxa" w:w="1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10 – 12</w:t>
            </w:r>
          </w:p>
        </w:tc>
        <w:tc>
          <w:tcPr>
            <w:tcW w:type="dxa" w:w="23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Production &amp; Storytelling</w:t>
            </w:r>
          </w:p>
        </w:tc>
        <w:tc>
          <w:tcPr>
            <w:tcW w:type="dxa" w:w="44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IBM Cloud Kubernetes deployment, full CI/CD, consulting deck PDF, Loom demo video</w:t>
            </w:r>
          </w:p>
        </w:tc>
      </w:tr>
    </w:tbl>
    <w:p>
      <w:pPr>
        <w:spacing w:after="28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8.2 Phase 1 Milestone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rPr>
          <w:tblHeader/>
        </w:trPr>
        <w:tc>
          <w:tcPr>
            <w:tcW w:type="dxa" w:w="69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Milestone</w:t>
            </w:r>
          </w:p>
        </w:tc>
        <w:tc>
          <w:tcPr>
            <w:tcW w:type="dxa" w:w="12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2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Project structure, pyproject.toml, pydantic-settings config</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1</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StatCan async client with typed dataclasses</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1</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Bank of Canada Valet async client</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1</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Base HTTP client with tenacity retry + 429 handling</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1</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PostgreSQL schema DDL (raw + staging + meta schemas)</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2</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Idempotent upsert loader with batch chunking</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2</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staging models (stg_statcan, stg_boc)</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2</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mart model (mart_monthly_macro_indicators)</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2</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schema.yml with 20+ quality tests</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2</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Airflow DAG with TaskFlow API + parallel fetch</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3</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GitHub Actions CI pipeline (lint + test + dbt parse)</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3</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Docker Compose local dev environment</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3</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pytest suite with respx HTTP mocking</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3</w:t>
            </w:r>
          </w:p>
        </w:tc>
      </w:tr>
      <w:tr>
        <w:tc>
          <w:tcPr>
            <w:tcW w:type="dxa" w:w="6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Phase 1 README in consulting engagement style</w:t>
            </w:r>
          </w:p>
        </w:tc>
        <w:tc>
          <w:tcPr>
            <w:tcW w:type="dxa" w:w="12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Done</w:t>
            </w:r>
          </w:p>
        </w:tc>
        <w:tc>
          <w:tcPr>
            <w:tcW w:type="dxa" w:w="12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3</w:t>
            </w:r>
          </w:p>
        </w:tc>
      </w:tr>
    </w:tbl>
    <w:p>
      <w:pPr>
        <w:spacing w:after="280" w:before="0"/>
      </w:pPr>
      <w:r>
        <w:rPr>
          <w:rFonts w:ascii="Arial" w:cs="Arial" w:eastAsia="Arial" w:hAnsi="Arial"/>
          <w:sz w:val="22"/>
          <w:szCs w:val="22"/>
        </w:rPr>
        <w:t xml:space="preserve"/>
      </w:r>
    </w:p>
    <w:p>
      <w:pPr>
        <w:pStyle w:val="Heading1"/>
        <w:pBdr>
          <w:bottom w:val="single" w:color="0F62FE" w:sz="8" w:space="4"/>
        </w:pBdr>
        <w:spacing w:after="120" w:before="360"/>
      </w:pPr>
      <w:r>
        <w:rPr>
          <w:rFonts w:ascii="Arial" w:cs="Arial" w:eastAsia="Arial" w:hAnsi="Arial"/>
          <w:b/>
          <w:bCs/>
          <w:color w:val="001D6C"/>
          <w:sz w:val="32"/>
          <w:szCs w:val="32"/>
        </w:rPr>
        <w:t xml:space="preserve">9. Key Design Decisions</w:t>
      </w:r>
    </w:p>
    <w:p>
      <w:pPr>
        <w:pStyle w:val="Heading2"/>
        <w:spacing w:after="80" w:before="280"/>
      </w:pPr>
      <w:r>
        <w:rPr>
          <w:rFonts w:ascii="Arial" w:cs="Arial" w:eastAsia="Arial" w:hAnsi="Arial"/>
          <w:b/>
          <w:bCs/>
          <w:color w:val="0043CE"/>
          <w:sz w:val="26"/>
          <w:szCs w:val="26"/>
        </w:rPr>
        <w:t xml:space="preserve">9.1 Why Async Over Sync HTTP?</w:t>
      </w:r>
    </w:p>
    <w:p>
      <w:pPr>
        <w:spacing w:after="200" w:before="0"/>
      </w:pPr>
      <w:r>
        <w:rPr>
          <w:rFonts w:ascii="Arial" w:cs="Arial" w:eastAsia="Arial" w:hAnsi="Arial"/>
          <w:sz w:val="22"/>
          <w:szCs w:val="22"/>
        </w:rPr>
        <w:t xml:space="preserve">StatCan and BoC are independent sources. Sequential fetching would mean waiting for one API before starting the other. With </w:t>
      </w:r>
      <w:r>
        <w:rPr>
          <w:rFonts w:ascii="Arial" w:cs="Arial" w:eastAsia="Arial" w:hAnsi="Arial"/>
          <w:b/>
          <w:bCs/>
          <w:sz w:val="22"/>
          <w:szCs w:val="22"/>
        </w:rPr>
        <w:t xml:space="preserve">asyncio.gather()</w:t>
      </w:r>
      <w:r>
        <w:rPr>
          <w:rFonts w:ascii="Arial" w:cs="Arial" w:eastAsia="Arial" w:hAnsi="Arial"/>
          <w:sz w:val="22"/>
          <w:szCs w:val="22"/>
        </w:rPr>
        <w:t xml:space="preserve">, both execute concurrently. At the current scale (9 indicators), the time saving is modest. As Phase 2 adds more series and Phase 3 adds real-time queries, async becomes essential for acceptable response times.</w:t>
      </w:r>
    </w:p>
    <w:p>
      <w:pPr>
        <w:pStyle w:val="Heading2"/>
        <w:spacing w:after="80" w:before="280"/>
      </w:pPr>
      <w:r>
        <w:rPr>
          <w:rFonts w:ascii="Arial" w:cs="Arial" w:eastAsia="Arial" w:hAnsi="Arial"/>
          <w:b/>
          <w:bCs/>
          <w:color w:val="0043CE"/>
          <w:sz w:val="26"/>
          <w:szCs w:val="26"/>
        </w:rPr>
        <w:t xml:space="preserve">9.2 Why dbt Views for Staging?</w:t>
      </w:r>
    </w:p>
    <w:p>
      <w:pPr>
        <w:spacing w:after="200" w:before="0"/>
      </w:pPr>
      <w:r>
        <w:rPr>
          <w:rFonts w:ascii="Arial" w:cs="Arial" w:eastAsia="Arial" w:hAnsi="Arial"/>
          <w:sz w:val="22"/>
          <w:szCs w:val="22"/>
        </w:rPr>
        <w:t xml:space="preserve">Materialising staging as views costs nothing to store and ensures every query always sees the most current raw data. Only marts — which are queried at API response time — are materialised as tables for query performance. The </w:t>
      </w:r>
      <w:r>
        <w:rPr>
          <w:rFonts w:ascii="Arial" w:cs="Arial" w:eastAsia="Arial" w:hAnsi="Arial"/>
          <w:b/>
          <w:bCs/>
          <w:sz w:val="22"/>
          <w:szCs w:val="22"/>
        </w:rPr>
        <w:t xml:space="preserve">ANALYZE</w:t>
      </w:r>
      <w:r>
        <w:rPr>
          <w:rFonts w:ascii="Arial" w:cs="Arial" w:eastAsia="Arial" w:hAnsi="Arial"/>
          <w:sz w:val="22"/>
          <w:szCs w:val="22"/>
        </w:rPr>
        <w:t xml:space="preserve"> post-hook on mart tables keeps PostgreSQL planner statistics current, preventing plan regression after large data loads.</w:t>
      </w:r>
    </w:p>
    <w:p>
      <w:pPr>
        <w:pStyle w:val="Heading2"/>
        <w:spacing w:after="80" w:before="280"/>
      </w:pPr>
      <w:r>
        <w:rPr>
          <w:rFonts w:ascii="Arial" w:cs="Arial" w:eastAsia="Arial" w:hAnsi="Arial"/>
          <w:b/>
          <w:bCs/>
          <w:color w:val="0043CE"/>
          <w:sz w:val="26"/>
          <w:szCs w:val="26"/>
        </w:rPr>
        <w:t xml:space="preserve">9.3 Why PostgreSQL Over a Cloud Data Warehouse?</w:t>
      </w:r>
    </w:p>
    <w:p>
      <w:pPr>
        <w:spacing w:after="200" w:before="0"/>
      </w:pPr>
      <w:r>
        <w:rPr>
          <w:rFonts w:ascii="Arial" w:cs="Arial" w:eastAsia="Arial" w:hAnsi="Arial"/>
          <w:sz w:val="22"/>
          <w:szCs w:val="22"/>
        </w:rPr>
        <w:t xml:space="preserve">PostgreSQL 16 runs locally in Docker, has no query cost, and supports all SQL features required for this project (window functions, CTEs, JSONB, recursive queries). The dbt models are written in standard SQL and are portable to BigQuery, Redshift, or Snowflake by changing the profile target — relevant for Phase 4's IBM Cloud deployment.</w:t>
      </w:r>
    </w:p>
    <w:p>
      <w:pPr>
        <w:pStyle w:val="Heading2"/>
        <w:spacing w:after="80" w:before="280"/>
      </w:pPr>
      <w:r>
        <w:rPr>
          <w:rFonts w:ascii="Arial" w:cs="Arial" w:eastAsia="Arial" w:hAnsi="Arial"/>
          <w:b/>
          <w:bCs/>
          <w:color w:val="0043CE"/>
          <w:sz w:val="26"/>
          <w:szCs w:val="26"/>
        </w:rPr>
        <w:t xml:space="preserve">9.4 Why Not Truncate-Reload?</w:t>
      </w:r>
    </w:p>
    <w:p>
      <w:pPr>
        <w:spacing w:after="280" w:before="0"/>
      </w:pPr>
      <w:r>
        <w:rPr>
          <w:rFonts w:ascii="Arial" w:cs="Arial" w:eastAsia="Arial" w:hAnsi="Arial"/>
          <w:sz w:val="22"/>
          <w:szCs w:val="22"/>
        </w:rPr>
        <w:t xml:space="preserve">Truncate-reload destroys the audit trail: it is impossible to determine what value an indicator had on a specific pipeline run. Upsert preserves every revision with its </w:t>
      </w:r>
      <w:r>
        <w:rPr>
          <w:rFonts w:ascii="Arial" w:cs="Arial" w:eastAsia="Arial" w:hAnsi="Arial"/>
          <w:b/>
          <w:bCs/>
          <w:sz w:val="22"/>
          <w:szCs w:val="22"/>
        </w:rPr>
        <w:t xml:space="preserve">ingested_at</w:t>
      </w:r>
      <w:r>
        <w:rPr>
          <w:rFonts w:ascii="Arial" w:cs="Arial" w:eastAsia="Arial" w:hAnsi="Arial"/>
          <w:sz w:val="22"/>
          <w:szCs w:val="22"/>
        </w:rPr>
        <w:t xml:space="preserve"> and </w:t>
      </w:r>
      <w:r>
        <w:rPr>
          <w:rFonts w:ascii="Arial" w:cs="Arial" w:eastAsia="Arial" w:hAnsi="Arial"/>
          <w:b/>
          <w:bCs/>
          <w:sz w:val="22"/>
          <w:szCs w:val="22"/>
        </w:rPr>
        <w:t xml:space="preserve">pipeline_run_id</w:t>
      </w:r>
      <w:r>
        <w:rPr>
          <w:rFonts w:ascii="Arial" w:cs="Arial" w:eastAsia="Arial" w:hAnsi="Arial"/>
          <w:sz w:val="22"/>
          <w:szCs w:val="22"/>
        </w:rPr>
        <w:t xml:space="preserve"> timestamps, enabling full temporal audit — a requirement in regulated industries IBM serves (financial services, healthcare, government).</w:t>
      </w:r>
    </w:p>
    <w:p>
      <w:pPr>
        <w:spacing w:after="0" w:before="0"/>
      </w:pPr>
      <w:r>
        <w:br w:type="page"/>
      </w:r>
    </w:p>
    <w:p>
      <w:pPr>
        <w:pStyle w:val="Heading1"/>
        <w:pBdr>
          <w:bottom w:val="single" w:color="0F62FE" w:sz="8" w:space="4"/>
        </w:pBdr>
        <w:spacing w:after="120" w:before="360"/>
      </w:pPr>
      <w:r>
        <w:rPr>
          <w:rFonts w:ascii="Arial" w:cs="Arial" w:eastAsia="Arial" w:hAnsi="Arial"/>
          <w:b/>
          <w:bCs/>
          <w:color w:val="001D6C"/>
          <w:sz w:val="32"/>
          <w:szCs w:val="32"/>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4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Likelihood</w:t>
            </w:r>
          </w:p>
        </w:tc>
        <w:tc>
          <w:tcPr>
            <w:tcW w:type="dxa" w:w="14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c>
          <w:tcPr>
            <w:tcW w:type="dxa" w:w="39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StatCan API schema change (field rename, PID change)</w:t>
            </w:r>
          </w:p>
        </w:tc>
        <w:tc>
          <w:tcPr>
            <w:tcW w:type="dxa" w:w="1400"/>
            <w:tcBorders>
              <w:top w:val="single" w:color="DDE1E6" w:sz="4"/>
              <w:left w:val="single" w:color="DDE1E6" w:sz="4"/>
              <w:bottom w:val="single" w:color="DDE1E6" w:sz="4"/>
              <w:right w:val="single" w:color="DDE1E6" w:sz="4"/>
            </w:tcBorders>
            <w:shd w:fill="FFF3E0" w:val="clear"/>
            <w:tcMar>
              <w:top w:type="dxa" w:w="80"/>
              <w:left w:type="dxa" w:w="120"/>
              <w:bottom w:type="dxa" w:w="80"/>
              <w:right w:type="dxa" w:w="120"/>
            </w:tcMar>
          </w:tcPr>
          <w:p>
            <w:pPr>
              <w:spacing w:after="0" w:before="0"/>
              <w:jc w:val="center"/>
            </w:pPr>
            <w:r>
              <w:rPr>
                <w:rFonts w:ascii="Arial" w:cs="Arial" w:eastAsia="Arial" w:hAnsi="Arial"/>
                <w:b/>
                <w:bCs/>
                <w:color w:val="FF832B"/>
                <w:sz w:val="20"/>
                <w:szCs w:val="20"/>
              </w:rPr>
              <w:t xml:space="preserve">Medium</w:t>
            </w:r>
          </w:p>
        </w:tc>
        <w:tc>
          <w:tcPr>
            <w:tcW w:type="dxa" w:w="1400"/>
            <w:tcBorders>
              <w:top w:val="single" w:color="DDE1E6" w:sz="4"/>
              <w:left w:val="single" w:color="DDE1E6" w:sz="4"/>
              <w:bottom w:val="single" w:color="DDE1E6" w:sz="4"/>
              <w:right w:val="single" w:color="DDE1E6" w:sz="4"/>
            </w:tcBorders>
            <w:shd w:fill="FEE8E8" w:val="clear"/>
            <w:tcMar>
              <w:top w:type="dxa" w:w="80"/>
              <w:left w:type="dxa" w:w="120"/>
              <w:bottom w:type="dxa" w:w="80"/>
              <w:right w:type="dxa" w:w="120"/>
            </w:tcMar>
          </w:tcPr>
          <w:p>
            <w:pPr>
              <w:spacing w:after="0" w:before="0"/>
              <w:jc w:val="center"/>
            </w:pPr>
            <w:r>
              <w:rPr>
                <w:rFonts w:ascii="Arial" w:cs="Arial" w:eastAsia="Arial" w:hAnsi="Arial"/>
                <w:b/>
                <w:bCs/>
                <w:color w:val="DA1E28"/>
                <w:sz w:val="20"/>
                <w:szCs w:val="20"/>
              </w:rPr>
              <w:t xml:space="preserve">High</w:t>
            </w:r>
          </w:p>
        </w:tc>
        <w:tc>
          <w:tcPr>
            <w:tcW w:type="dxa" w:w="3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INDICATOR registry in meta schema; schema tests catch format changes on next run; Slack alert fires within 24h</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API rate limiting (429 responses)</w:t>
            </w:r>
          </w:p>
        </w:tc>
        <w:tc>
          <w:tcPr>
            <w:tcW w:type="dxa" w:w="14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Low</w:t>
            </w:r>
          </w:p>
        </w:tc>
        <w:tc>
          <w:tcPr>
            <w:tcW w:type="dxa" w:w="1400"/>
            <w:tcBorders>
              <w:top w:val="single" w:color="DDE1E6" w:sz="4"/>
              <w:left w:val="single" w:color="DDE1E6" w:sz="4"/>
              <w:bottom w:val="single" w:color="DDE1E6" w:sz="4"/>
              <w:right w:val="single" w:color="DDE1E6" w:sz="4"/>
            </w:tcBorders>
            <w:shd w:fill="FFF3E0" w:val="clear"/>
            <w:tcMar>
              <w:top w:type="dxa" w:w="80"/>
              <w:left w:type="dxa" w:w="120"/>
              <w:bottom w:type="dxa" w:w="80"/>
              <w:right w:type="dxa" w:w="120"/>
            </w:tcMar>
          </w:tcPr>
          <w:p>
            <w:pPr>
              <w:spacing w:after="0" w:before="0"/>
              <w:jc w:val="center"/>
            </w:pPr>
            <w:r>
              <w:rPr>
                <w:rFonts w:ascii="Arial" w:cs="Arial" w:eastAsia="Arial" w:hAnsi="Arial"/>
                <w:b/>
                <w:bCs/>
                <w:color w:val="FF832B"/>
                <w:sz w:val="20"/>
                <w:szCs w:val="20"/>
              </w:rPr>
              <w:t xml:space="preserve">Medium</w:t>
            </w:r>
          </w:p>
        </w:tc>
        <w:tc>
          <w:tcPr>
            <w:tcW w:type="dxa" w:w="3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Retry-After header read; tenacity exponential back-off; weekly schedule avoids burst patterns</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Database migration conflict in team setting</w:t>
            </w:r>
          </w:p>
        </w:tc>
        <w:tc>
          <w:tcPr>
            <w:tcW w:type="dxa" w:w="14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Low</w:t>
            </w:r>
          </w:p>
        </w:tc>
        <w:tc>
          <w:tcPr>
            <w:tcW w:type="dxa" w:w="1400"/>
            <w:tcBorders>
              <w:top w:val="single" w:color="DDE1E6" w:sz="4"/>
              <w:left w:val="single" w:color="DDE1E6" w:sz="4"/>
              <w:bottom w:val="single" w:color="DDE1E6" w:sz="4"/>
              <w:right w:val="single" w:color="DDE1E6" w:sz="4"/>
            </w:tcBorders>
            <w:shd w:fill="FFF3E0" w:val="clear"/>
            <w:tcMar>
              <w:top w:type="dxa" w:w="80"/>
              <w:left w:type="dxa" w:w="120"/>
              <w:bottom w:type="dxa" w:w="80"/>
              <w:right w:type="dxa" w:w="120"/>
            </w:tcMar>
          </w:tcPr>
          <w:p>
            <w:pPr>
              <w:spacing w:after="0" w:before="0"/>
              <w:jc w:val="center"/>
            </w:pPr>
            <w:r>
              <w:rPr>
                <w:rFonts w:ascii="Arial" w:cs="Arial" w:eastAsia="Arial" w:hAnsi="Arial"/>
                <w:b/>
                <w:bCs/>
                <w:color w:val="FF832B"/>
                <w:sz w:val="20"/>
                <w:szCs w:val="20"/>
              </w:rPr>
              <w:t xml:space="preserve">Medium</w:t>
            </w:r>
          </w:p>
        </w:tc>
        <w:tc>
          <w:tcPr>
            <w:tcW w:type="dxa" w:w="3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Alembic version-controlled migrations; CI applies migrations to fresh Postgres on every PR</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Data quality regression (dbt test failure)</w:t>
            </w:r>
          </w:p>
        </w:tc>
        <w:tc>
          <w:tcPr>
            <w:tcW w:type="dxa" w:w="1400"/>
            <w:tcBorders>
              <w:top w:val="single" w:color="DDE1E6" w:sz="4"/>
              <w:left w:val="single" w:color="DDE1E6" w:sz="4"/>
              <w:bottom w:val="single" w:color="DDE1E6" w:sz="4"/>
              <w:right w:val="single" w:color="DDE1E6" w:sz="4"/>
            </w:tcBorders>
            <w:shd w:fill="FFF3E0" w:val="clear"/>
            <w:tcMar>
              <w:top w:type="dxa" w:w="80"/>
              <w:left w:type="dxa" w:w="120"/>
              <w:bottom w:type="dxa" w:w="80"/>
              <w:right w:type="dxa" w:w="120"/>
            </w:tcMar>
          </w:tcPr>
          <w:p>
            <w:pPr>
              <w:spacing w:after="0" w:before="0"/>
              <w:jc w:val="center"/>
            </w:pPr>
            <w:r>
              <w:rPr>
                <w:rFonts w:ascii="Arial" w:cs="Arial" w:eastAsia="Arial" w:hAnsi="Arial"/>
                <w:b/>
                <w:bCs/>
                <w:color w:val="FF832B"/>
                <w:sz w:val="20"/>
                <w:szCs w:val="20"/>
              </w:rPr>
              <w:t xml:space="preserve">Medium</w:t>
            </w:r>
          </w:p>
        </w:tc>
        <w:tc>
          <w:tcPr>
            <w:tcW w:type="dxa" w:w="1400"/>
            <w:tcBorders>
              <w:top w:val="single" w:color="DDE1E6" w:sz="4"/>
              <w:left w:val="single" w:color="DDE1E6" w:sz="4"/>
              <w:bottom w:val="single" w:color="DDE1E6" w:sz="4"/>
              <w:right w:val="single" w:color="DDE1E6" w:sz="4"/>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198038"/>
                <w:sz w:val="20"/>
                <w:szCs w:val="20"/>
              </w:rPr>
              <w:t xml:space="preserve">Low</w:t>
            </w:r>
          </w:p>
        </w:tc>
        <w:tc>
          <w:tcPr>
            <w:tcW w:type="dxa" w:w="39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dbt test failures block mart materialisation; logged to meta.data_quality_checks; Airflow marks task failed</w:t>
            </w:r>
          </w:p>
        </w:tc>
      </w:tr>
    </w:tbl>
    <w:p>
      <w:pPr>
        <w:spacing w:after="280" w:before="0"/>
      </w:pPr>
      <w:r>
        <w:rPr>
          <w:rFonts w:ascii="Arial" w:cs="Arial" w:eastAsia="Arial" w:hAnsi="Arial"/>
          <w:sz w:val="22"/>
          <w:szCs w:val="22"/>
        </w:rPr>
        <w:t xml:space="preserve"/>
      </w:r>
    </w:p>
    <w:p>
      <w:pPr>
        <w:pStyle w:val="Heading1"/>
        <w:pBdr>
          <w:bottom w:val="single" w:color="0F62FE" w:sz="8" w:space="4"/>
        </w:pBdr>
        <w:spacing w:after="120" w:before="360"/>
      </w:pPr>
      <w:r>
        <w:rPr>
          <w:rFonts w:ascii="Arial" w:cs="Arial" w:eastAsia="Arial" w:hAnsi="Arial"/>
          <w:b/>
          <w:bCs/>
          <w:color w:val="001D6C"/>
          <w:sz w:val="32"/>
          <w:szCs w:val="32"/>
        </w:rPr>
        <w:t xml:space="preserve">11. IBM Consulting Alignment</w:t>
      </w:r>
    </w:p>
    <w:p>
      <w:pPr>
        <w:pStyle w:val="Heading2"/>
        <w:spacing w:after="80" w:before="280"/>
      </w:pPr>
      <w:r>
        <w:rPr>
          <w:rFonts w:ascii="Arial" w:cs="Arial" w:eastAsia="Arial" w:hAnsi="Arial"/>
          <w:b/>
          <w:bCs/>
          <w:color w:val="0043CE"/>
          <w:sz w:val="26"/>
          <w:szCs w:val="26"/>
        </w:rPr>
        <w:t xml:space="preserve">11.1 Strategy Consulting Competencies Demonstrated</w:t>
      </w:r>
    </w:p>
    <w:p>
      <w:pPr>
        <w:pStyle w:val="ListParagraph"/>
        <w:numPr>
          <w:ilvl w:val="0"/>
          <w:numId w:val="2"/>
        </w:numPr>
        <w:spacing w:after="60" w:before="20"/>
      </w:pPr>
      <w:r>
        <w:rPr>
          <w:rFonts w:ascii="Arial" w:cs="Arial" w:eastAsia="Arial" w:hAnsi="Arial"/>
          <w:b/>
          <w:bCs/>
          <w:sz w:val="22"/>
          <w:szCs w:val="22"/>
        </w:rPr>
        <w:t xml:space="preserve">clearly defined business problem (SME macro intelligence gap) with quantified scope (98% of Canadian businesses)</w:t>
      </w:r>
      <w:r>
        <w:rPr>
          <w:rFonts w:ascii="Arial" w:cs="Arial" w:eastAsia="Arial" w:hAnsi="Arial"/>
          <w:sz w:val="22"/>
          <w:szCs w:val="22"/>
        </w:rPr>
        <w:t xml:space="preserve">Problem framing: </w:t>
      </w:r>
    </w:p>
    <w:p>
      <w:pPr>
        <w:pStyle w:val="ListParagraph"/>
        <w:numPr>
          <w:ilvl w:val="0"/>
          <w:numId w:val="2"/>
        </w:numPr>
        <w:spacing w:after="60" w:before="20"/>
      </w:pPr>
      <w:r>
        <w:rPr>
          <w:rFonts w:ascii="Arial" w:cs="Arial" w:eastAsia="Arial" w:hAnsi="Arial"/>
          <w:b/>
          <w:bCs/>
          <w:sz w:val="22"/>
          <w:szCs w:val="22"/>
        </w:rPr>
        <w:t xml:space="preserve">Medallion Architecture maps directly to IBM's data fabric methodology</w:t>
      </w:r>
      <w:r>
        <w:rPr>
          <w:rFonts w:ascii="Arial" w:cs="Arial" w:eastAsia="Arial" w:hAnsi="Arial"/>
          <w:sz w:val="22"/>
          <w:szCs w:val="22"/>
        </w:rPr>
        <w:t xml:space="preserve">Structured thinking: </w:t>
      </w:r>
    </w:p>
    <w:p>
      <w:pPr>
        <w:pStyle w:val="ListParagraph"/>
        <w:numPr>
          <w:ilvl w:val="0"/>
          <w:numId w:val="2"/>
        </w:numPr>
        <w:spacing w:after="60" w:before="20"/>
      </w:pPr>
      <w:r>
        <w:rPr>
          <w:rFonts w:ascii="Arial" w:cs="Arial" w:eastAsia="Arial" w:hAnsi="Arial"/>
          <w:b/>
          <w:bCs/>
          <w:sz w:val="22"/>
          <w:szCs w:val="22"/>
        </w:rPr>
        <w:t xml:space="preserve">every component designed around what a client would receive, not just what works internally</w:t>
      </w:r>
      <w:r>
        <w:rPr>
          <w:rFonts w:ascii="Arial" w:cs="Arial" w:eastAsia="Arial" w:hAnsi="Arial"/>
          <w:sz w:val="22"/>
          <w:szCs w:val="22"/>
        </w:rPr>
        <w:t xml:space="preserve">Client deliverable orientation: </w:t>
      </w:r>
    </w:p>
    <w:p>
      <w:pPr>
        <w:pStyle w:val="ListParagraph"/>
        <w:numPr>
          <w:ilvl w:val="0"/>
          <w:numId w:val="2"/>
        </w:numPr>
        <w:spacing w:after="60" w:before="20"/>
      </w:pPr>
      <w:r>
        <w:rPr>
          <w:rFonts w:ascii="Arial" w:cs="Arial" w:eastAsia="Arial" w:hAnsi="Arial"/>
          <w:b/>
          <w:bCs/>
          <w:sz w:val="22"/>
          <w:szCs w:val="22"/>
        </w:rPr>
        <w:t xml:space="preserve">README written as an engagement overview; this PDR structured as an IBM-style project document</w:t>
      </w:r>
      <w:r>
        <w:rPr>
          <w:rFonts w:ascii="Arial" w:cs="Arial" w:eastAsia="Arial" w:hAnsi="Arial"/>
          <w:sz w:val="22"/>
          <w:szCs w:val="22"/>
        </w:rPr>
        <w:t xml:space="preserve">Communication: </w:t>
      </w:r>
    </w:p>
    <w:p>
      <w:pPr>
        <w:spacing w:after="16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11.2 Data Consulting Competencies Demonstrated</w:t>
      </w:r>
    </w:p>
    <w:p>
      <w:pPr>
        <w:pStyle w:val="ListParagraph"/>
        <w:numPr>
          <w:ilvl w:val="0"/>
          <w:numId w:val="2"/>
        </w:numPr>
        <w:spacing w:after="60" w:before="20"/>
      </w:pPr>
      <w:r>
        <w:rPr>
          <w:rFonts w:ascii="Arial" w:cs="Arial" w:eastAsia="Arial" w:hAnsi="Arial"/>
          <w:b/>
          <w:bCs/>
          <w:sz w:val="22"/>
          <w:szCs w:val="22"/>
        </w:rPr>
        <w:t xml:space="preserve">production-grade async ingestion, idempotent upsert, batched loading</w:t>
      </w:r>
      <w:r>
        <w:rPr>
          <w:rFonts w:ascii="Arial" w:cs="Arial" w:eastAsia="Arial" w:hAnsi="Arial"/>
          <w:sz w:val="22"/>
          <w:szCs w:val="22"/>
        </w:rPr>
        <w:t xml:space="preserve">Data engineering: </w:t>
      </w:r>
    </w:p>
    <w:p>
      <w:pPr>
        <w:pStyle w:val="ListParagraph"/>
        <w:numPr>
          <w:ilvl w:val="0"/>
          <w:numId w:val="2"/>
        </w:numPr>
        <w:spacing w:after="60" w:before="20"/>
      </w:pPr>
      <w:r>
        <w:rPr>
          <w:rFonts w:ascii="Arial" w:cs="Arial" w:eastAsia="Arial" w:hAnsi="Arial"/>
          <w:b/>
          <w:bCs/>
          <w:sz w:val="22"/>
          <w:szCs w:val="22"/>
        </w:rPr>
        <w:t xml:space="preserve">normalised schema with proper indexes, constraints, and audit tables</w:t>
      </w:r>
      <w:r>
        <w:rPr>
          <w:rFonts w:ascii="Arial" w:cs="Arial" w:eastAsia="Arial" w:hAnsi="Arial"/>
          <w:sz w:val="22"/>
          <w:szCs w:val="22"/>
        </w:rPr>
        <w:t xml:space="preserve">Warehouse design: </w:t>
      </w:r>
    </w:p>
    <w:p>
      <w:pPr>
        <w:pStyle w:val="ListParagraph"/>
        <w:numPr>
          <w:ilvl w:val="0"/>
          <w:numId w:val="2"/>
        </w:numPr>
        <w:spacing w:after="60" w:before="20"/>
      </w:pPr>
      <w:r>
        <w:rPr>
          <w:rFonts w:ascii="Arial" w:cs="Arial" w:eastAsia="Arial" w:hAnsi="Arial"/>
          <w:b/>
          <w:bCs/>
          <w:sz w:val="22"/>
          <w:szCs w:val="22"/>
        </w:rPr>
        <w:t xml:space="preserve">dbt models with lineage, tests, and macros — matching IBM Cloud Pak for Data patterns</w:t>
      </w:r>
      <w:r>
        <w:rPr>
          <w:rFonts w:ascii="Arial" w:cs="Arial" w:eastAsia="Arial" w:hAnsi="Arial"/>
          <w:sz w:val="22"/>
          <w:szCs w:val="22"/>
        </w:rPr>
        <w:t xml:space="preserve">Transformation modelling: </w:t>
      </w:r>
    </w:p>
    <w:p>
      <w:pPr>
        <w:pStyle w:val="ListParagraph"/>
        <w:numPr>
          <w:ilvl w:val="0"/>
          <w:numId w:val="2"/>
        </w:numPr>
        <w:spacing w:after="60" w:before="20"/>
      </w:pPr>
      <w:r>
        <w:rPr>
          <w:rFonts w:ascii="Arial" w:cs="Arial" w:eastAsia="Arial" w:hAnsi="Arial"/>
          <w:b/>
          <w:bCs/>
          <w:sz w:val="22"/>
          <w:szCs w:val="22"/>
        </w:rPr>
        <w:t xml:space="preserve">structured JSON logging, pipeline run audit table, data quality check log</w:t>
      </w:r>
      <w:r>
        <w:rPr>
          <w:rFonts w:ascii="Arial" w:cs="Arial" w:eastAsia="Arial" w:hAnsi="Arial"/>
          <w:sz w:val="22"/>
          <w:szCs w:val="22"/>
        </w:rPr>
        <w:t xml:space="preserve">Observability: </w:t>
      </w:r>
    </w:p>
    <w:p>
      <w:pPr>
        <w:pStyle w:val="ListParagraph"/>
        <w:numPr>
          <w:ilvl w:val="0"/>
          <w:numId w:val="2"/>
        </w:numPr>
        <w:spacing w:after="60" w:before="20"/>
      </w:pPr>
      <w:r>
        <w:rPr>
          <w:rFonts w:ascii="Arial" w:cs="Arial" w:eastAsia="Arial" w:hAnsi="Arial"/>
          <w:b/>
          <w:bCs/>
          <w:sz w:val="22"/>
          <w:szCs w:val="22"/>
        </w:rPr>
        <w:t xml:space="preserve">CI/CD with GitHub Actions, Docker Compose, multi-environment config via pydantic-settings</w:t>
      </w:r>
      <w:r>
        <w:rPr>
          <w:rFonts w:ascii="Arial" w:cs="Arial" w:eastAsia="Arial" w:hAnsi="Arial"/>
          <w:sz w:val="22"/>
          <w:szCs w:val="22"/>
        </w:rPr>
        <w:t xml:space="preserve">DevOps: </w:t>
      </w:r>
    </w:p>
    <w:p>
      <w:pPr>
        <w:spacing w:after="160" w:before="0"/>
      </w:pPr>
      <w:r>
        <w:rPr>
          <w:rFonts w:ascii="Arial" w:cs="Arial" w:eastAsia="Arial" w:hAnsi="Arial"/>
          <w:sz w:val="22"/>
          <w:szCs w:val="22"/>
        </w:rPr>
        <w:t xml:space="preserve"/>
      </w:r>
    </w:p>
    <w:p>
      <w:pPr>
        <w:pStyle w:val="Heading2"/>
        <w:spacing w:after="80" w:before="280"/>
      </w:pPr>
      <w:r>
        <w:rPr>
          <w:rFonts w:ascii="Arial" w:cs="Arial" w:eastAsia="Arial" w:hAnsi="Arial"/>
          <w:b/>
          <w:bCs/>
          <w:color w:val="0043CE"/>
          <w:sz w:val="26"/>
          <w:szCs w:val="26"/>
        </w:rPr>
        <w:t xml:space="preserve">11.3 McGill Double Major Advantage</w:t>
      </w:r>
    </w:p>
    <w:p>
      <w:pPr>
        <w:spacing w:after="280" w:before="0"/>
      </w:pPr>
      <w:r>
        <w:rPr>
          <w:rFonts w:ascii="Arial" w:cs="Arial" w:eastAsia="Arial" w:hAnsi="Arial"/>
          <w:sz w:val="22"/>
          <w:szCs w:val="22"/>
        </w:rPr>
        <w:t xml:space="preserve">The choice of macro indicators is not arbitrary — GDP, CPI, unemployment rate, yield curve spread, and M2++ are the five core variables in standard IS-LM and AD-AS macroeconomic models taught in ECON 230 and ECON 330 at McGill. The mart layer's derived series (YoY inflation, yield curve spread) directly encode this economic intuition. Most CS candidates cannot explain why the yield curve spread matters as a recession predictor; this project demonstrates that the author can.</w:t>
      </w:r>
    </w:p>
    <w:p>
      <w:pPr>
        <w:pStyle w:val="Heading1"/>
        <w:pBdr>
          <w:bottom w:val="single" w:color="0F62FE" w:sz="8" w:space="4"/>
        </w:pBdr>
        <w:spacing w:after="120" w:before="360"/>
      </w:pPr>
      <w:r>
        <w:rPr>
          <w:rFonts w:ascii="Arial" w:cs="Arial" w:eastAsia="Arial" w:hAnsi="Arial"/>
          <w:b/>
          <w:bCs/>
          <w:color w:val="001D6C"/>
          <w:sz w:val="32"/>
          <w:szCs w:val="32"/>
        </w:rPr>
        <w:t xml:space="preserve">12. Next Steps — Phase 2 Preview</w:t>
      </w:r>
    </w:p>
    <w:p>
      <w:pPr>
        <w:spacing w:after="200" w:before="0"/>
      </w:pPr>
      <w:r>
        <w:rPr>
          <w:rFonts w:ascii="Arial" w:cs="Arial" w:eastAsia="Arial" w:hAnsi="Arial"/>
          <w:sz w:val="22"/>
          <w:szCs w:val="22"/>
        </w:rPr>
        <w:t xml:space="preserve">Phase 2 will build the econometric and machine learning modelling layer on top of the data foundation established in Phase 1. Planned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760"/>
            <w:tcBorders>
              <w:top w:val="single" w:color="DDE1E6" w:sz="4"/>
              <w:left w:val="single" w:color="DDE1E6" w:sz="4"/>
              <w:bottom w:val="single" w:color="DDE1E6" w:sz="4"/>
              <w:right w:val="single" w:color="DDE1E6" w:sz="4"/>
            </w:tcBorders>
            <w:shd w:fill="001D6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VAR / VECM Models</w:t>
            </w:r>
          </w:p>
        </w:tc>
        <w:tc>
          <w:tcPr>
            <w:tcW w:type="dxa" w:w="67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Vector Autoregression for multi-variable macro forecasting. VECM for cointegrated series (e.g. GDP and M2++). Implemented in statsmodels with impulse response functions and forecast error variance decomposition.</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XGBoost Ensembles</w:t>
            </w:r>
          </w:p>
        </w:tc>
        <w:tc>
          <w:tcPr>
            <w:tcW w:type="dxa" w:w="67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Gradient-boosted trees for non-linear relationships and sector-level forecasting. Trained on the mart_monthly_macro_indicators table with lag features.</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SHAP Explainability</w:t>
            </w:r>
          </w:p>
        </w:tc>
        <w:tc>
          <w:tcPr>
            <w:tcW w:type="dxa" w:w="67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SHAP (SHapley Additive exPlanations) values on every XGBoost prediction. Critical for consulting: clients need to understand why a forecast was made, not just what it is.</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MLflow Tracking</w:t>
            </w:r>
          </w:p>
        </w:tc>
        <w:tc>
          <w:tcPr>
            <w:tcW w:type="dxa" w:w="67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Experiment versioning, metric logging, artifact storage, and model registry. Enables reproducibility and model comparison across runs.</w:t>
            </w:r>
          </w:p>
        </w:tc>
      </w:tr>
      <w:tr>
        <w:tc>
          <w:tcPr>
            <w:tcW w:type="dxa" w:w="260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bCs/>
                <w:color w:val="21272A"/>
                <w:sz w:val="20"/>
                <w:szCs w:val="20"/>
              </w:rPr>
              <w:t xml:space="preserve">Monte Carlo Simulation</w:t>
            </w:r>
          </w:p>
        </w:tc>
        <w:tc>
          <w:tcPr>
            <w:tcW w:type="dxa" w:w="6760"/>
            <w:tcBorders>
              <w:top w:val="single" w:color="DDE1E6" w:sz="4"/>
              <w:left w:val="single" w:color="DDE1E6" w:sz="4"/>
              <w:bottom w:val="single" w:color="DDE1E6" w:sz="4"/>
              <w:right w:val="single" w:color="DDE1E6"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1272A"/>
                <w:sz w:val="20"/>
                <w:szCs w:val="20"/>
              </w:rPr>
              <w:t xml:space="preserve">Scenario planning via Monte Carlo simulation on VAR forecast distributions. Produces P10/P50/P90 confidence intervals for client presentations.</w:t>
            </w:r>
          </w:p>
        </w:tc>
      </w:tr>
    </w:tbl>
    <w:p>
      <w:pPr>
        <w:spacing w:after="4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none" w:color="FFFFFF" w:sz="0"/>
              <w:bottom w:val="none" w:color="FFFFFF" w:sz="0"/>
              <w:right w:val="none" w:color="FFFFFF" w:sz="0"/>
            </w:tcBorders>
            <w:shd w:fill="EFF4FF" w:val="clear"/>
            <w:tcMar>
              <w:top w:type="dxa" w:w="200"/>
              <w:left w:type="dxa" w:w="320"/>
              <w:bottom w:type="dxa" w:w="200"/>
              <w:right w:type="dxa" w:w="320"/>
            </w:tcMar>
          </w:tcPr>
          <w:p>
            <w:pPr>
              <w:spacing w:after="120" w:before="0"/>
            </w:pPr>
            <w:r>
              <w:rPr>
                <w:rFonts w:ascii="Arial" w:cs="Arial" w:eastAsia="Arial" w:hAnsi="Arial"/>
                <w:b/>
                <w:bCs/>
                <w:color w:val="001D6C"/>
                <w:sz w:val="22"/>
                <w:szCs w:val="22"/>
              </w:rPr>
              <w:t xml:space="preserve">EconSight Project Design Report</w:t>
            </w:r>
          </w:p>
          <w:p>
            <w:pPr>
              <w:spacing w:after="120" w:before="0"/>
            </w:pPr>
            <w:r>
              <w:rPr>
                <w:rFonts w:ascii="Arial" w:cs="Arial" w:eastAsia="Arial" w:hAnsi="Arial"/>
                <w:color w:val="697077"/>
                <w:sz w:val="20"/>
                <w:szCs w:val="20"/>
              </w:rPr>
              <w:t xml:space="preserve">Phase 1: Data Engineering Foundation  |  Version 1.0  |  June 2025</w:t>
            </w:r>
          </w:p>
          <w:p>
            <w:pPr>
              <w:spacing w:after="0" w:before="0"/>
            </w:pPr>
            <w:r>
              <w:rPr>
                <w:rFonts w:ascii="Arial" w:cs="Arial" w:eastAsia="Arial" w:hAnsi="Arial"/>
                <w:color w:val="697077"/>
                <w:sz w:val="20"/>
                <w:szCs w:val="20"/>
              </w:rPr>
              <w:t xml:space="preserve">Prepared for: IBM Montreal — Strategy &amp; Data Consulting Portfolio Review</w:t>
            </w:r>
          </w:p>
        </w:tc>
      </w:tr>
    </w:tbl>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6" w:sz="4" w:space="4"/>
      </w:pBdr>
      <w:tabs>
        <w:tab w:val="right" w:pos="9026"/>
      </w:tabs>
      <w:spacing w:after="0" w:before="80"/>
    </w:pPr>
    <w:r>
      <w:rPr>
        <w:rFonts w:ascii="Arial" w:cs="Arial" w:eastAsia="Arial" w:hAnsi="Arial"/>
        <w:color w:val="697077"/>
        <w:sz w:val="18"/>
        <w:szCs w:val="18"/>
      </w:rPr>
      <w:t xml:space="preserve">Confidential — EconSight Portfolio Project</w:t>
    </w:r>
    <w:r>
      <w:rPr>
        <w:rFonts w:ascii="Arial" w:cs="Arial" w:eastAsia="Arial" w:hAnsi="Arial"/>
        <w:color w:val="6970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6" w:sz="4" w:space="6"/>
      </w:pBdr>
      <w:spacing w:after="80" w:before="0"/>
    </w:pPr>
    <w:r>
      <w:rPr>
        <w:rFonts w:ascii="Arial" w:cs="Arial" w:eastAsia="Arial" w:hAnsi="Arial"/>
        <w:b/>
        <w:bCs/>
        <w:color w:val="0F62FE"/>
        <w:sz w:val="18"/>
        <w:szCs w:val="18"/>
      </w:rPr>
      <w:t xml:space="preserve">EconSight</w:t>
    </w:r>
    <w:r>
      <w:rPr>
        <w:rFonts w:ascii="Arial" w:cs="Arial" w:eastAsia="Arial" w:hAnsi="Arial"/>
        <w:color w:val="697077"/>
        <w:sz w:val="18"/>
        <w:szCs w:val="18"/>
      </w:rPr>
      <w:t xml:space="preserve">  |  Project Design Report  |  Phase 1: Data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1D6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043C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12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2026-06-01T07:50:55.334Z</dcterms:created>
  <dcterms:modified xsi:type="dcterms:W3CDTF">2026-06-01T07:50:55.335Z</dcterms:modified>
</cp:coreProperties>
</file>

<file path=docProps/custom.xml><?xml version="1.0" encoding="utf-8"?>
<Properties xmlns="http://schemas.openxmlformats.org/officeDocument/2006/custom-properties" xmlns:vt="http://schemas.openxmlformats.org/officeDocument/2006/docPropsVTypes"/>
</file>