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9AC41" w14:textId="77777777" w:rsidR="004323A9" w:rsidRDefault="00000000">
      <w:pPr>
        <w:spacing w:after="40"/>
      </w:pPr>
      <w:r>
        <w:rPr>
          <w:b/>
          <w:bCs/>
          <w:color w:val="0F172A"/>
          <w:sz w:val="34"/>
          <w:szCs w:val="34"/>
        </w:rPr>
        <w:t>How automated CDM review tools handle findings</w:t>
      </w:r>
    </w:p>
    <w:p w14:paraId="3739AC42" w14:textId="77777777" w:rsidR="004323A9" w:rsidRDefault="00000000">
      <w:pPr>
        <w:spacing w:after="60"/>
      </w:pPr>
      <w:r>
        <w:rPr>
          <w:color w:val="1F6FD4"/>
          <w:sz w:val="26"/>
          <w:szCs w:val="26"/>
        </w:rPr>
        <w:t>And where ChargeGuard works differently</w:t>
      </w:r>
    </w:p>
    <w:p w14:paraId="3739AC43" w14:textId="77777777" w:rsidR="004323A9" w:rsidRDefault="00000000">
      <w:pPr>
        <w:pBdr>
          <w:bottom w:val="single" w:sz="6" w:space="6" w:color="1F6FD4"/>
        </w:pBdr>
        <w:spacing w:after="220"/>
      </w:pPr>
      <w:r>
        <w:rPr>
          <w:i/>
          <w:iCs/>
          <w:sz w:val="18"/>
          <w:szCs w:val="18"/>
        </w:rPr>
        <w:t>Competitive review. September 2026.</w:t>
      </w:r>
    </w:p>
    <w:p w14:paraId="3739AC44" w14:textId="77777777" w:rsidR="004323A9" w:rsidRDefault="00000000">
      <w:pPr>
        <w:pStyle w:val="Heading2"/>
      </w:pPr>
      <w:r>
        <w:t xml:space="preserve">What </w:t>
      </w:r>
      <w:proofErr w:type="gramStart"/>
      <w:r>
        <w:t>this covers</w:t>
      </w:r>
      <w:proofErr w:type="gramEnd"/>
    </w:p>
    <w:p w14:paraId="3739AC45" w14:textId="77777777" w:rsidR="004323A9" w:rsidRDefault="00000000">
      <w:pPr>
        <w:spacing w:after="140" w:line="276" w:lineRule="auto"/>
      </w:pPr>
      <w:r>
        <w:t xml:space="preserve">I looked at how the main automated chargemaster </w:t>
      </w:r>
      <w:proofErr w:type="gramStart"/>
      <w:r>
        <w:t>review</w:t>
      </w:r>
      <w:proofErr w:type="gramEnd"/>
      <w:r>
        <w:t xml:space="preserve"> products surface findings and, more importantly, what happens after a finding is raised: how a reviewer dispositions it, whether the change gets pushed back to the billing system, and whether the tool tracks a finding across review cycles. Then I lined that up against how ChargeGuard does the same things. Most vendors publish plenty about detection and very little about the post-</w:t>
      </w:r>
      <w:proofErr w:type="gramStart"/>
      <w:r>
        <w:t>findings</w:t>
      </w:r>
      <w:proofErr w:type="gramEnd"/>
      <w:r>
        <w:t xml:space="preserve"> workflow, so where a capability is not documented </w:t>
      </w:r>
      <w:proofErr w:type="gramStart"/>
      <w:r>
        <w:t>publicly</w:t>
      </w:r>
      <w:proofErr w:type="gramEnd"/>
      <w:r>
        <w:t xml:space="preserve"> I say so rather than assume it.</w:t>
      </w:r>
    </w:p>
    <w:p w14:paraId="3739AC46" w14:textId="77777777" w:rsidR="004323A9" w:rsidRDefault="00000000">
      <w:pPr>
        <w:pStyle w:val="Heading2"/>
      </w:pPr>
      <w:r>
        <w:t>The short answer</w:t>
      </w:r>
    </w:p>
    <w:p w14:paraId="3739AC47" w14:textId="77777777" w:rsidR="004323A9" w:rsidRDefault="00000000">
      <w:pPr>
        <w:spacing w:after="140" w:line="276" w:lineRule="auto"/>
      </w:pPr>
      <w:r>
        <w:t xml:space="preserve">Every serious tool flags the same broad problems: outdated or missing HCPCS and CPT codes, coding and compliance edits, and pricing outliers. The detection is largely a commodity. Where they split is the workflow after the flag. Craneware is the one competitor with a real, documented </w:t>
      </w:r>
      <w:proofErr w:type="gramStart"/>
      <w:r>
        <w:t>write-back</w:t>
      </w:r>
      <w:proofErr w:type="gramEnd"/>
      <w:r>
        <w:t xml:space="preserve">: its Trisus Integration engine syncs approved CDM changes into Epic, Oracle Health (Cerner), and Meditech </w:t>
      </w:r>
      <w:proofErr w:type="gramStart"/>
      <w:r>
        <w:t>on a daily basis</w:t>
      </w:r>
      <w:proofErr w:type="gramEnd"/>
      <w:r>
        <w:t>. That is its biggest edge and the thing ChargeGuard does not do. Health Catalyst VitalCDM has the best-documented review workflow, with named queues, approvals, and sign-off, but its sync to the billing system is file based, like ChargeGuard's.</w:t>
      </w:r>
    </w:p>
    <w:p w14:paraId="3739AC48" w14:textId="77777777" w:rsidR="004323A9" w:rsidRDefault="00000000">
      <w:pPr>
        <w:spacing w:after="140" w:line="276" w:lineRule="auto"/>
      </w:pPr>
      <w:r>
        <w:t xml:space="preserve">The gap almost nobody fills is recurrence: tracking whether a finding is brand new, was accepted before, or was already declined, and whether an approved fix </w:t>
      </w:r>
      <w:proofErr w:type="gramStart"/>
      <w:r>
        <w:t>actually landed</w:t>
      </w:r>
      <w:proofErr w:type="gramEnd"/>
      <w:r>
        <w:t xml:space="preserve"> in the EHR. ChargeGuard treats that as a first-class feature through the tier system and carry-forward dispositions. Among the competitors, only VitalCDM's import reconciliation and MDaudit's repeat-finding metrics come close, and MDaudit is a coding-audit tool, not a chargemaster tool.</w:t>
      </w:r>
    </w:p>
    <w:p w14:paraId="3739AC49" w14:textId="77777777" w:rsidR="004323A9" w:rsidRDefault="00000000">
      <w:pPr>
        <w:pStyle w:val="Heading2"/>
      </w:pPr>
      <w:r>
        <w:t>How ChargeGuard handles findings today</w:t>
      </w:r>
    </w:p>
    <w:p w14:paraId="3739AC4A" w14:textId="77777777" w:rsidR="004323A9" w:rsidRDefault="004323A9">
      <w:pPr>
        <w:spacing w:after="140" w:line="276" w:lineRule="auto"/>
      </w:pPr>
    </w:p>
    <w:p w14:paraId="3739AC4B" w14:textId="77777777" w:rsidR="004323A9" w:rsidRDefault="00000000">
      <w:pPr>
        <w:pStyle w:val="ListParagraph"/>
        <w:numPr>
          <w:ilvl w:val="0"/>
          <w:numId w:val="1"/>
        </w:numPr>
        <w:spacing w:after="90" w:line="272" w:lineRule="auto"/>
      </w:pPr>
      <w:r>
        <w:rPr>
          <w:b/>
          <w:bCs/>
          <w:color w:val="0F172A"/>
        </w:rPr>
        <w:t xml:space="preserve">Disposition per finding. </w:t>
      </w:r>
      <w:r>
        <w:t>Every finding carries a status: Open, Under Review, Accepted, Denied, or N/A, plus a reviewer note. Accepting a finding stages a pending entry in the Change Log rather than silently editing anything.</w:t>
      </w:r>
    </w:p>
    <w:p w14:paraId="3739AC4C" w14:textId="77777777" w:rsidR="004323A9" w:rsidRDefault="00000000">
      <w:pPr>
        <w:pStyle w:val="ListParagraph"/>
        <w:numPr>
          <w:ilvl w:val="0"/>
          <w:numId w:val="1"/>
        </w:numPr>
        <w:spacing w:after="90" w:line="272" w:lineRule="auto"/>
      </w:pPr>
      <w:r>
        <w:rPr>
          <w:b/>
          <w:bCs/>
          <w:color w:val="0F172A"/>
        </w:rPr>
        <w:t xml:space="preserve">Tiers for recurrence. </w:t>
      </w:r>
      <w:r>
        <w:t xml:space="preserve">On each new run a finding is stamped T1 new, T2 accepted before, T3 denied before, or T4 marked N/A before, based on how the same line and rule were dispositioned in a prior run. A reviewer can </w:t>
      </w:r>
      <w:proofErr w:type="gramStart"/>
      <w:r>
        <w:t>filter to</w:t>
      </w:r>
      <w:proofErr w:type="gramEnd"/>
      <w:r>
        <w:t xml:space="preserve"> just the new issues or just the ones that keep coming back.</w:t>
      </w:r>
    </w:p>
    <w:p w14:paraId="3739AC4D" w14:textId="77777777" w:rsidR="004323A9" w:rsidRDefault="00000000">
      <w:pPr>
        <w:pStyle w:val="ListParagraph"/>
        <w:numPr>
          <w:ilvl w:val="0"/>
          <w:numId w:val="1"/>
        </w:numPr>
        <w:spacing w:after="90" w:line="272" w:lineRule="auto"/>
      </w:pPr>
      <w:r>
        <w:rPr>
          <w:b/>
          <w:bCs/>
          <w:color w:val="0F172A"/>
        </w:rPr>
        <w:t xml:space="preserve">Carry-forward. </w:t>
      </w:r>
      <w:r>
        <w:t>A denied or N/A finding is carried forward automatically on the next run with its original reason, so nobody re-litigates the same line every quarter.</w:t>
      </w:r>
    </w:p>
    <w:p w14:paraId="3739AC4E" w14:textId="77777777" w:rsidR="004323A9" w:rsidRDefault="00000000">
      <w:pPr>
        <w:pStyle w:val="ListParagraph"/>
        <w:numPr>
          <w:ilvl w:val="0"/>
          <w:numId w:val="1"/>
        </w:numPr>
        <w:spacing w:after="90" w:line="272" w:lineRule="auto"/>
      </w:pPr>
      <w:r>
        <w:rPr>
          <w:b/>
          <w:bCs/>
          <w:color w:val="0F172A"/>
        </w:rPr>
        <w:t xml:space="preserve">Reconcile on re-upload. </w:t>
      </w:r>
      <w:r>
        <w:t xml:space="preserve">When the next CDM is uploaded, ChargeGuard checks whether the changes it recommended and the reviewer approved </w:t>
      </w:r>
      <w:proofErr w:type="gramStart"/>
      <w:r>
        <w:t>actually appear</w:t>
      </w:r>
      <w:proofErr w:type="gramEnd"/>
      <w:r>
        <w:t>. Fixes that landed are marked implemented. Approved fixes still missing surface as pending EHR sync so they do not get lost.</w:t>
      </w:r>
    </w:p>
    <w:p w14:paraId="3739AC4F" w14:textId="77777777" w:rsidR="004323A9" w:rsidRDefault="00000000">
      <w:pPr>
        <w:spacing w:after="140" w:line="276" w:lineRule="auto"/>
      </w:pPr>
      <w:r>
        <w:t>ChargeGuard does not write back to the EHR directly. It produces an updated CDM and a change file for the hospital to load, then reconciles on the next upload. It is a firm-run, multi-client SaaS: findings are scoped to the client you are viewing, and pricing benchmarks come from public machine-readable transparency files plus RVU volumes rather than a licensed claims database.</w:t>
      </w:r>
    </w:p>
    <w:p w14:paraId="3739AC50" w14:textId="77777777" w:rsidR="004323A9" w:rsidRDefault="00000000">
      <w:pPr>
        <w:pStyle w:val="Heading2"/>
      </w:pPr>
      <w:r>
        <w:lastRenderedPageBreak/>
        <w:t>Craneware, the market leader</w:t>
      </w:r>
    </w:p>
    <w:p w14:paraId="3739AC51" w14:textId="77777777" w:rsidR="004323A9" w:rsidRDefault="00000000">
      <w:pPr>
        <w:spacing w:after="140" w:line="276" w:lineRule="auto"/>
      </w:pPr>
      <w:r>
        <w:t>Craneware, now branded The Craneware Group, is the category leader and has won Best in KLAS for chargemaster management for fifteen years running, including 2026. Its cloud platform is Trisus, and the flagship product is Trisus Chargemaster, the web successor to the older Chargemaster Toolkit desktop app.</w:t>
      </w:r>
    </w:p>
    <w:p w14:paraId="3739AC53" w14:textId="02129C7F" w:rsidR="004323A9" w:rsidRDefault="00000000">
      <w:pPr>
        <w:spacing w:after="140" w:line="276" w:lineRule="auto"/>
      </w:pPr>
      <w:r>
        <w:rPr>
          <w:b/>
          <w:bCs/>
          <w:color w:val="0F172A"/>
        </w:rPr>
        <w:t xml:space="preserve">Findings. </w:t>
      </w:r>
      <w:r>
        <w:t>Trisus runs an automated line-item audit driven by Craneware's proprietary data and flags both revenue opportunities and compliance issues: missing codes, coding validation errors, pricing problems, and conflicts with CMS guidance. Issues surface through a CDM health dashboard with trend lines and filterable issue views rather than a formally named worklist. Flagging also happens inline when a change is requested.</w:t>
      </w:r>
    </w:p>
    <w:p w14:paraId="3739AC54" w14:textId="77777777" w:rsidR="004323A9" w:rsidRDefault="00000000">
      <w:pPr>
        <w:spacing w:after="140" w:line="276" w:lineRule="auto"/>
      </w:pPr>
      <w:r>
        <w:rPr>
          <w:b/>
          <w:bCs/>
          <w:color w:val="0F172A"/>
        </w:rPr>
        <w:t xml:space="preserve">After acceptance. </w:t>
      </w:r>
      <w:r>
        <w:t xml:space="preserve">This is Craneware's real advantage. Trisus Integration pushes CDM changes back to the patient accounting system and keeps them in sync daily, across more than thirty systems including Epic, Oracle Health (Cerner), and Meditech. The push is user controlled, so you can send all changes, one department's section, or a single price or code change. Reference and regulatory content </w:t>
      </w:r>
      <w:proofErr w:type="gramStart"/>
      <w:r>
        <w:t>is</w:t>
      </w:r>
      <w:proofErr w:type="gramEnd"/>
      <w:r>
        <w:t xml:space="preserve"> updated continuously by a dedicated data team, and there is an AI assistant, Trisus Assist, that answers coding and compliance questions from CMS documentation. It is positioned as research help, not an autonomous change-maker.</w:t>
      </w:r>
    </w:p>
    <w:p w14:paraId="3739AC55" w14:textId="77777777" w:rsidR="004323A9" w:rsidRDefault="00000000">
      <w:pPr>
        <w:spacing w:after="140" w:line="276" w:lineRule="auto"/>
      </w:pPr>
      <w:r>
        <w:rPr>
          <w:b/>
          <w:bCs/>
          <w:color w:val="0F172A"/>
        </w:rPr>
        <w:t xml:space="preserve">What it does not clearly do. </w:t>
      </w:r>
      <w:r>
        <w:t xml:space="preserve">Effective dating of future changes, an explicit recurring-versus-new classification, and a report on whether a recommendation was </w:t>
      </w:r>
      <w:proofErr w:type="gramStart"/>
      <w:r>
        <w:t>actually implemented</w:t>
      </w:r>
      <w:proofErr w:type="gramEnd"/>
      <w:r>
        <w:t xml:space="preserve"> are not documented publicly. The dashboard trend lines and the PAS reconciliation are the closest published mechanisms.</w:t>
      </w:r>
    </w:p>
    <w:p w14:paraId="3739AC56" w14:textId="77777777" w:rsidR="004323A9" w:rsidRDefault="00000000">
      <w:pPr>
        <w:pStyle w:val="Heading2"/>
      </w:pPr>
      <w:r>
        <w:t>The rest of the field</w:t>
      </w:r>
    </w:p>
    <w:p w14:paraId="3739AC57" w14:textId="77777777" w:rsidR="004323A9" w:rsidRDefault="00000000">
      <w:pPr>
        <w:spacing w:after="140" w:line="276" w:lineRule="auto"/>
      </w:pPr>
      <w:r>
        <w:rPr>
          <w:b/>
          <w:bCs/>
          <w:color w:val="0F172A"/>
        </w:rPr>
        <w:t xml:space="preserve">FinThrive CDM Management. </w:t>
      </w:r>
      <w:r>
        <w:t xml:space="preserve">The </w:t>
      </w:r>
      <w:proofErr w:type="gramStart"/>
      <w:r>
        <w:t>descendant</w:t>
      </w:r>
      <w:proofErr w:type="gramEnd"/>
      <w:r>
        <w:t xml:space="preserve"> of the MedAssets and nThrive chargemaster tool, now an independent Clearlake-backed company, not Optum despite the common assumption. It has an interactive KPI dashboard, coding analysis that drills into worklists, and benchmarks from more than </w:t>
      </w:r>
      <w:proofErr w:type="gramStart"/>
      <w:r>
        <w:t>550,000 line</w:t>
      </w:r>
      <w:proofErr w:type="gramEnd"/>
      <w:r>
        <w:t xml:space="preserve"> items. It claims EHR and patient-accounting integration to remove dual maintenance, which implies write-back, but the mechanism is not detailed publicly. The legacy CDM Master product retires at the end of 2026.</w:t>
      </w:r>
    </w:p>
    <w:p w14:paraId="3739AC58" w14:textId="77777777" w:rsidR="004323A9" w:rsidRDefault="00000000">
      <w:pPr>
        <w:spacing w:after="140" w:line="276" w:lineRule="auto"/>
      </w:pPr>
      <w:r>
        <w:rPr>
          <w:b/>
          <w:bCs/>
          <w:color w:val="0F172A"/>
        </w:rPr>
        <w:t xml:space="preserve">Health Catalyst VitalCDM. </w:t>
      </w:r>
      <w:r>
        <w:t xml:space="preserve">The nearest thing to ChargeGuard's model, and the best-documented workflow of the group. Its VitalWorkflow change control routes requests through configurable queues with real states (Draft, Submitted, Approved, Denied, Hold, Archived), email notifications, and sign-off. Its Import Reconciliation re-imports the source CDM and flags additions, changes, reactivations, and inactivations, which is how it catches whether an approved change </w:t>
      </w:r>
      <w:proofErr w:type="gramStart"/>
      <w:r>
        <w:t>actually landed</w:t>
      </w:r>
      <w:proofErr w:type="gramEnd"/>
      <w:r>
        <w:t xml:space="preserve">. </w:t>
      </w:r>
      <w:proofErr w:type="gramStart"/>
      <w:r>
        <w:t>Write-back</w:t>
      </w:r>
      <w:proofErr w:type="gramEnd"/>
      <w:r>
        <w:t xml:space="preserve"> to the billing system is file based, not an automated push. Ownership moved from Health Catalyst to Med-Metrix in mid-2026.</w:t>
      </w:r>
    </w:p>
    <w:p w14:paraId="3739AC59" w14:textId="77777777" w:rsidR="004323A9" w:rsidRDefault="00000000">
      <w:pPr>
        <w:spacing w:after="140" w:line="276" w:lineRule="auto"/>
      </w:pPr>
      <w:r>
        <w:rPr>
          <w:b/>
          <w:bCs/>
          <w:color w:val="0F172A"/>
        </w:rPr>
        <w:t xml:space="preserve">Optum ChargemasterExpert. </w:t>
      </w:r>
      <w:r>
        <w:t xml:space="preserve">A self-service web tool that scans for around twenty coding and billing problems, supports </w:t>
      </w:r>
      <w:proofErr w:type="gramStart"/>
      <w:r>
        <w:t>approve</w:t>
      </w:r>
      <w:proofErr w:type="gramEnd"/>
      <w:r>
        <w:t xml:space="preserve"> or deny of changes, keeps </w:t>
      </w:r>
      <w:proofErr w:type="gramStart"/>
      <w:r>
        <w:t>edit</w:t>
      </w:r>
      <w:proofErr w:type="gramEnd"/>
      <w:r>
        <w:t xml:space="preserve"> overrides, maps facilities to a corporate standard, and does effective dating with an audit trail. It shows conflicts between an incoming host file and the CDM, but a direct </w:t>
      </w:r>
      <w:proofErr w:type="gramStart"/>
      <w:r>
        <w:t>write-back</w:t>
      </w:r>
      <w:proofErr w:type="gramEnd"/>
      <w:r>
        <w:t xml:space="preserve"> to Epic, Cerner, or Meditech is not confirmed. Optum Advisory offers a parallel services-led option.</w:t>
      </w:r>
    </w:p>
    <w:p w14:paraId="3739AC5A" w14:textId="77777777" w:rsidR="004323A9" w:rsidRDefault="00000000">
      <w:pPr>
        <w:spacing w:after="140" w:line="276" w:lineRule="auto"/>
      </w:pPr>
      <w:r>
        <w:rPr>
          <w:b/>
          <w:bCs/>
          <w:color w:val="0F172A"/>
        </w:rPr>
        <w:t xml:space="preserve">Panacea ChargeAssist. </w:t>
      </w:r>
      <w:r>
        <w:t>Software plus consulting. Its Change Monitor module handles the charge-change workflow, tracking, and compliance logs, with department-level data ownership. Actual remediation and synchronization lean on Panacea services such as CDMsync. There is no public statement of write-back to a live billing system, and no confirmed recurring-versus-new tagging.</w:t>
      </w:r>
    </w:p>
    <w:p w14:paraId="3739AC5B" w14:textId="77777777" w:rsidR="004323A9" w:rsidRDefault="00000000">
      <w:pPr>
        <w:spacing w:after="140" w:line="276" w:lineRule="auto"/>
      </w:pPr>
      <w:r>
        <w:rPr>
          <w:b/>
          <w:bCs/>
          <w:color w:val="0F172A"/>
        </w:rPr>
        <w:t xml:space="preserve">MDaudit. </w:t>
      </w:r>
      <w:r>
        <w:t>The strongest post-findings loop of anyone here, but it audits coding and claims, not the chargemaster itself. It has full internal audit workflows with assignment, annotation, root cause, a coder review-and-rebuttal dialogue, and sign-off, plus corrective-action tasks and provider education. It publishes a decline-in-repeat-</w:t>
      </w:r>
      <w:proofErr w:type="gramStart"/>
      <w:r>
        <w:t>findings</w:t>
      </w:r>
      <w:proofErr w:type="gramEnd"/>
      <w:r>
        <w:t xml:space="preserve"> </w:t>
      </w:r>
      <w:r>
        <w:lastRenderedPageBreak/>
        <w:t>metric and schedules re-audits based on prior results, which is genuine recurrence tracking. Its correction path is pre-bill, before the claim goes out, rather than a write-back to the CDM master.</w:t>
      </w:r>
    </w:p>
    <w:p w14:paraId="3739AC5C" w14:textId="77777777" w:rsidR="004323A9" w:rsidRDefault="00000000">
      <w:pPr>
        <w:spacing w:after="140" w:line="276" w:lineRule="auto"/>
      </w:pPr>
      <w:r>
        <w:rPr>
          <w:b/>
          <w:bCs/>
          <w:color w:val="0F172A"/>
        </w:rPr>
        <w:t xml:space="preserve">TruBridge and Cleverley. </w:t>
      </w:r>
      <w:r>
        <w:t>Both are services-led. TruBridge, now part of IKS Health, has no self-service CDM product: a consultant reviews the CDM, builds a worklist, and follows up to make sure corrections are made, while the CDM itself lives in the Evident or TruBridge EHR item master. Cleverley is a consulting and benchmarking firm whose deliverables are analysis reports the client implements, not a findings workflow.</w:t>
      </w:r>
    </w:p>
    <w:p w14:paraId="3739AC5D" w14:textId="77777777" w:rsidR="004323A9" w:rsidRDefault="00000000">
      <w:pPr>
        <w:spacing w:after="140" w:line="276" w:lineRule="auto"/>
      </w:pPr>
      <w:r>
        <w:rPr>
          <w:b/>
          <w:bCs/>
          <w:color w:val="0F172A"/>
        </w:rPr>
        <w:t xml:space="preserve">Adjacent, not the same category. </w:t>
      </w:r>
      <w:r>
        <w:t>Waystar Charge Integrity and R1 with Cloudmed work at the claim and charge-capture level, not the CDM master, and both correct by rebilling. Worth watching, but they solve a different problem.</w:t>
      </w:r>
    </w:p>
    <w:p w14:paraId="3739AC5E" w14:textId="77777777" w:rsidR="004323A9" w:rsidRDefault="00000000">
      <w:pPr>
        <w:pStyle w:val="Heading2"/>
      </w:pPr>
      <w:r>
        <w:t>Side by side</w:t>
      </w:r>
    </w:p>
    <w:p w14:paraId="3739AC5F" w14:textId="77777777" w:rsidR="004323A9" w:rsidRDefault="004323A9">
      <w:pPr>
        <w:spacing w:after="140" w:line="276" w:lineRule="auto"/>
      </w:pPr>
    </w:p>
    <w:tbl>
      <w:tblPr>
        <w:tblW w:w="10080" w:type="dxa"/>
        <w:tblBorders>
          <w:top w:val="single" w:sz="2" w:space="0" w:color="E2E8F0"/>
          <w:left w:val="single" w:sz="2" w:space="0" w:color="E2E8F0"/>
          <w:bottom w:val="single" w:sz="2" w:space="0" w:color="E2E8F0"/>
          <w:right w:val="single" w:sz="2" w:space="0" w:color="E2E8F0"/>
          <w:insideH w:val="single" w:sz="1" w:space="0" w:color="E2E8F0"/>
          <w:insideV w:val="single" w:sz="1" w:space="0" w:color="E2E8F0"/>
        </w:tblBorders>
        <w:tblCellMar>
          <w:left w:w="10" w:type="dxa"/>
          <w:right w:w="10" w:type="dxa"/>
        </w:tblCellMar>
        <w:tblLook w:val="04A0" w:firstRow="1" w:lastRow="0" w:firstColumn="1" w:lastColumn="0" w:noHBand="0" w:noVBand="1"/>
      </w:tblPr>
      <w:tblGrid>
        <w:gridCol w:w="1624"/>
        <w:gridCol w:w="2344"/>
        <w:gridCol w:w="2192"/>
        <w:gridCol w:w="2392"/>
        <w:gridCol w:w="1528"/>
      </w:tblGrid>
      <w:tr w:rsidR="004323A9" w14:paraId="3739AC65" w14:textId="77777777">
        <w:tblPrEx>
          <w:tblCellMar>
            <w:top w:w="0" w:type="dxa"/>
            <w:bottom w:w="0" w:type="dxa"/>
          </w:tblCellMar>
        </w:tblPrEx>
        <w:trPr>
          <w:tblHeader/>
        </w:trPr>
        <w:tc>
          <w:tcPr>
            <w:tcW w:w="1600" w:type="dxa"/>
            <w:shd w:val="clear" w:color="auto" w:fill="1F6FD4"/>
            <w:tcMar>
              <w:top w:w="60" w:type="dxa"/>
              <w:left w:w="90" w:type="dxa"/>
              <w:bottom w:w="60" w:type="dxa"/>
              <w:right w:w="90" w:type="dxa"/>
            </w:tcMar>
          </w:tcPr>
          <w:p w14:paraId="3739AC60" w14:textId="77777777" w:rsidR="004323A9" w:rsidRDefault="00000000">
            <w:pPr>
              <w:spacing w:line="250" w:lineRule="auto"/>
            </w:pPr>
            <w:r>
              <w:rPr>
                <w:b/>
                <w:bCs/>
                <w:color w:val="FFFFFF"/>
                <w:sz w:val="17"/>
                <w:szCs w:val="17"/>
              </w:rPr>
              <w:t>Tool</w:t>
            </w:r>
          </w:p>
        </w:tc>
        <w:tc>
          <w:tcPr>
            <w:tcW w:w="2350" w:type="dxa"/>
            <w:shd w:val="clear" w:color="auto" w:fill="1F6FD4"/>
            <w:tcMar>
              <w:top w:w="60" w:type="dxa"/>
              <w:left w:w="90" w:type="dxa"/>
              <w:bottom w:w="60" w:type="dxa"/>
              <w:right w:w="90" w:type="dxa"/>
            </w:tcMar>
          </w:tcPr>
          <w:p w14:paraId="3739AC61" w14:textId="77777777" w:rsidR="004323A9" w:rsidRDefault="00000000">
            <w:pPr>
              <w:spacing w:line="250" w:lineRule="auto"/>
            </w:pPr>
            <w:r>
              <w:rPr>
                <w:b/>
                <w:bCs/>
                <w:color w:val="FFFFFF"/>
                <w:sz w:val="17"/>
                <w:szCs w:val="17"/>
              </w:rPr>
              <w:t>Disposition and routing</w:t>
            </w:r>
          </w:p>
        </w:tc>
        <w:tc>
          <w:tcPr>
            <w:tcW w:w="2200" w:type="dxa"/>
            <w:shd w:val="clear" w:color="auto" w:fill="1F6FD4"/>
            <w:tcMar>
              <w:top w:w="60" w:type="dxa"/>
              <w:left w:w="90" w:type="dxa"/>
              <w:bottom w:w="60" w:type="dxa"/>
              <w:right w:w="90" w:type="dxa"/>
            </w:tcMar>
          </w:tcPr>
          <w:p w14:paraId="3739AC62" w14:textId="77777777" w:rsidR="004323A9" w:rsidRDefault="00000000">
            <w:pPr>
              <w:spacing w:line="250" w:lineRule="auto"/>
            </w:pPr>
            <w:r>
              <w:rPr>
                <w:b/>
                <w:bCs/>
                <w:color w:val="FFFFFF"/>
                <w:sz w:val="17"/>
                <w:szCs w:val="17"/>
              </w:rPr>
              <w:t>Change gets to the EHR</w:t>
            </w:r>
          </w:p>
        </w:tc>
        <w:tc>
          <w:tcPr>
            <w:tcW w:w="2400" w:type="dxa"/>
            <w:shd w:val="clear" w:color="auto" w:fill="1F6FD4"/>
            <w:tcMar>
              <w:top w:w="60" w:type="dxa"/>
              <w:left w:w="90" w:type="dxa"/>
              <w:bottom w:w="60" w:type="dxa"/>
              <w:right w:w="90" w:type="dxa"/>
            </w:tcMar>
          </w:tcPr>
          <w:p w14:paraId="3739AC63" w14:textId="77777777" w:rsidR="004323A9" w:rsidRDefault="00000000">
            <w:pPr>
              <w:spacing w:line="250" w:lineRule="auto"/>
            </w:pPr>
            <w:r>
              <w:rPr>
                <w:b/>
                <w:bCs/>
                <w:color w:val="FFFFFF"/>
                <w:sz w:val="17"/>
                <w:szCs w:val="17"/>
              </w:rPr>
              <w:t>Recurring vs new, and did the fix land</w:t>
            </w:r>
          </w:p>
        </w:tc>
        <w:tc>
          <w:tcPr>
            <w:tcW w:w="1530" w:type="dxa"/>
            <w:shd w:val="clear" w:color="auto" w:fill="1F6FD4"/>
            <w:tcMar>
              <w:top w:w="60" w:type="dxa"/>
              <w:left w:w="90" w:type="dxa"/>
              <w:bottom w:w="60" w:type="dxa"/>
              <w:right w:w="90" w:type="dxa"/>
            </w:tcMar>
          </w:tcPr>
          <w:p w14:paraId="3739AC64" w14:textId="77777777" w:rsidR="004323A9" w:rsidRDefault="00000000">
            <w:pPr>
              <w:spacing w:line="250" w:lineRule="auto"/>
            </w:pPr>
            <w:r>
              <w:rPr>
                <w:b/>
                <w:bCs/>
                <w:color w:val="FFFFFF"/>
                <w:sz w:val="17"/>
                <w:szCs w:val="17"/>
              </w:rPr>
              <w:t>Model</w:t>
            </w:r>
          </w:p>
        </w:tc>
      </w:tr>
      <w:tr w:rsidR="004323A9" w14:paraId="3739AC6B" w14:textId="77777777">
        <w:tblPrEx>
          <w:tblCellMar>
            <w:top w:w="0" w:type="dxa"/>
            <w:bottom w:w="0" w:type="dxa"/>
          </w:tblCellMar>
        </w:tblPrEx>
        <w:tc>
          <w:tcPr>
            <w:tcW w:w="1600" w:type="dxa"/>
            <w:shd w:val="clear" w:color="auto" w:fill="F4F7FB"/>
            <w:tcMar>
              <w:top w:w="60" w:type="dxa"/>
              <w:left w:w="90" w:type="dxa"/>
              <w:bottom w:w="60" w:type="dxa"/>
              <w:right w:w="90" w:type="dxa"/>
            </w:tcMar>
          </w:tcPr>
          <w:p w14:paraId="3739AC66" w14:textId="77777777" w:rsidR="004323A9" w:rsidRDefault="00000000">
            <w:pPr>
              <w:spacing w:line="250" w:lineRule="auto"/>
            </w:pPr>
            <w:r>
              <w:rPr>
                <w:b/>
                <w:bCs/>
                <w:color w:val="0F172A"/>
                <w:sz w:val="17"/>
                <w:szCs w:val="17"/>
              </w:rPr>
              <w:t>ChargeGuard</w:t>
            </w:r>
          </w:p>
        </w:tc>
        <w:tc>
          <w:tcPr>
            <w:tcW w:w="2350" w:type="dxa"/>
            <w:tcMar>
              <w:top w:w="60" w:type="dxa"/>
              <w:left w:w="90" w:type="dxa"/>
              <w:bottom w:w="60" w:type="dxa"/>
              <w:right w:w="90" w:type="dxa"/>
            </w:tcMar>
          </w:tcPr>
          <w:p w14:paraId="3739AC67" w14:textId="77777777" w:rsidR="004323A9" w:rsidRDefault="00000000">
            <w:pPr>
              <w:spacing w:line="250" w:lineRule="auto"/>
            </w:pPr>
            <w:r>
              <w:rPr>
                <w:sz w:val="17"/>
                <w:szCs w:val="17"/>
              </w:rPr>
              <w:t>Per-finding Open, Under Review, Accepted, Denied, N/A with notes. Accept stages a Change Log entry.</w:t>
            </w:r>
          </w:p>
        </w:tc>
        <w:tc>
          <w:tcPr>
            <w:tcW w:w="2200" w:type="dxa"/>
            <w:tcMar>
              <w:top w:w="60" w:type="dxa"/>
              <w:left w:w="90" w:type="dxa"/>
              <w:bottom w:w="60" w:type="dxa"/>
              <w:right w:w="90" w:type="dxa"/>
            </w:tcMar>
          </w:tcPr>
          <w:p w14:paraId="3739AC68" w14:textId="77777777" w:rsidR="004323A9" w:rsidRDefault="00000000">
            <w:pPr>
              <w:spacing w:line="250" w:lineRule="auto"/>
            </w:pPr>
            <w:r>
              <w:rPr>
                <w:sz w:val="17"/>
                <w:szCs w:val="17"/>
              </w:rPr>
              <w:t xml:space="preserve">No direct write-back. </w:t>
            </w:r>
            <w:proofErr w:type="gramStart"/>
            <w:r>
              <w:rPr>
                <w:sz w:val="17"/>
                <w:szCs w:val="17"/>
              </w:rPr>
              <w:t>Exports</w:t>
            </w:r>
            <w:proofErr w:type="gramEnd"/>
            <w:r>
              <w:rPr>
                <w:sz w:val="17"/>
                <w:szCs w:val="17"/>
              </w:rPr>
              <w:t xml:space="preserve"> an updated CDM and change file, then </w:t>
            </w:r>
            <w:proofErr w:type="gramStart"/>
            <w:r>
              <w:rPr>
                <w:sz w:val="17"/>
                <w:szCs w:val="17"/>
              </w:rPr>
              <w:t>reconciles</w:t>
            </w:r>
            <w:proofErr w:type="gramEnd"/>
            <w:r>
              <w:rPr>
                <w:sz w:val="17"/>
                <w:szCs w:val="17"/>
              </w:rPr>
              <w:t xml:space="preserve"> on the next upload.</w:t>
            </w:r>
          </w:p>
        </w:tc>
        <w:tc>
          <w:tcPr>
            <w:tcW w:w="2400" w:type="dxa"/>
            <w:tcMar>
              <w:top w:w="60" w:type="dxa"/>
              <w:left w:w="90" w:type="dxa"/>
              <w:bottom w:w="60" w:type="dxa"/>
              <w:right w:w="90" w:type="dxa"/>
            </w:tcMar>
          </w:tcPr>
          <w:p w14:paraId="3739AC69" w14:textId="77777777" w:rsidR="004323A9" w:rsidRDefault="00000000">
            <w:pPr>
              <w:spacing w:line="250" w:lineRule="auto"/>
            </w:pPr>
            <w:r>
              <w:rPr>
                <w:sz w:val="17"/>
                <w:szCs w:val="17"/>
              </w:rPr>
              <w:t>First-class. T1 to T4 tiers by prior disposition, denied and N/A carry forward, re-upload marks fixes implemented or pending EHR sync.</w:t>
            </w:r>
          </w:p>
        </w:tc>
        <w:tc>
          <w:tcPr>
            <w:tcW w:w="1530" w:type="dxa"/>
            <w:tcMar>
              <w:top w:w="60" w:type="dxa"/>
              <w:left w:w="90" w:type="dxa"/>
              <w:bottom w:w="60" w:type="dxa"/>
              <w:right w:w="90" w:type="dxa"/>
            </w:tcMar>
          </w:tcPr>
          <w:p w14:paraId="3739AC6A" w14:textId="77777777" w:rsidR="004323A9" w:rsidRDefault="00000000">
            <w:pPr>
              <w:spacing w:line="250" w:lineRule="auto"/>
            </w:pPr>
            <w:r>
              <w:rPr>
                <w:sz w:val="17"/>
                <w:szCs w:val="17"/>
              </w:rPr>
              <w:t>Firm-run multi-client SaaS.</w:t>
            </w:r>
          </w:p>
        </w:tc>
      </w:tr>
      <w:tr w:rsidR="004323A9" w14:paraId="3739AC71" w14:textId="77777777">
        <w:tblPrEx>
          <w:tblCellMar>
            <w:top w:w="0" w:type="dxa"/>
            <w:bottom w:w="0" w:type="dxa"/>
          </w:tblCellMar>
        </w:tblPrEx>
        <w:tc>
          <w:tcPr>
            <w:tcW w:w="1600" w:type="dxa"/>
            <w:shd w:val="clear" w:color="auto" w:fill="F4F7FB"/>
            <w:tcMar>
              <w:top w:w="60" w:type="dxa"/>
              <w:left w:w="90" w:type="dxa"/>
              <w:bottom w:w="60" w:type="dxa"/>
              <w:right w:w="90" w:type="dxa"/>
            </w:tcMar>
          </w:tcPr>
          <w:p w14:paraId="3739AC6C" w14:textId="77777777" w:rsidR="004323A9" w:rsidRDefault="00000000">
            <w:pPr>
              <w:spacing w:line="250" w:lineRule="auto"/>
            </w:pPr>
            <w:r>
              <w:rPr>
                <w:b/>
                <w:bCs/>
                <w:color w:val="0F172A"/>
                <w:sz w:val="17"/>
                <w:szCs w:val="17"/>
              </w:rPr>
              <w:t>Craneware Trisus</w:t>
            </w:r>
          </w:p>
        </w:tc>
        <w:tc>
          <w:tcPr>
            <w:tcW w:w="2350" w:type="dxa"/>
            <w:tcMar>
              <w:top w:w="60" w:type="dxa"/>
              <w:left w:w="90" w:type="dxa"/>
              <w:bottom w:w="60" w:type="dxa"/>
              <w:right w:w="90" w:type="dxa"/>
            </w:tcMar>
          </w:tcPr>
          <w:p w14:paraId="3739AC6D" w14:textId="77777777" w:rsidR="004323A9" w:rsidRDefault="00000000">
            <w:pPr>
              <w:spacing w:line="250" w:lineRule="auto"/>
            </w:pPr>
            <w:r>
              <w:rPr>
                <w:sz w:val="17"/>
                <w:szCs w:val="17"/>
              </w:rPr>
              <w:t>Change-request forms, interdepartmental routing, approvals, audit trail. Per-flag states not public.</w:t>
            </w:r>
          </w:p>
        </w:tc>
        <w:tc>
          <w:tcPr>
            <w:tcW w:w="2200" w:type="dxa"/>
            <w:tcMar>
              <w:top w:w="60" w:type="dxa"/>
              <w:left w:w="90" w:type="dxa"/>
              <w:bottom w:w="60" w:type="dxa"/>
              <w:right w:w="90" w:type="dxa"/>
            </w:tcMar>
          </w:tcPr>
          <w:p w14:paraId="3739AC6E" w14:textId="77777777" w:rsidR="004323A9" w:rsidRDefault="00000000">
            <w:pPr>
              <w:spacing w:line="250" w:lineRule="auto"/>
            </w:pPr>
            <w:r>
              <w:rPr>
                <w:sz w:val="17"/>
                <w:szCs w:val="17"/>
              </w:rPr>
              <w:t>Yes. Trisus Integration syncs to Epic, Oracle Health, Meditech daily, user-controlled push.</w:t>
            </w:r>
          </w:p>
        </w:tc>
        <w:tc>
          <w:tcPr>
            <w:tcW w:w="2400" w:type="dxa"/>
            <w:tcMar>
              <w:top w:w="60" w:type="dxa"/>
              <w:left w:w="90" w:type="dxa"/>
              <w:bottom w:w="60" w:type="dxa"/>
              <w:right w:w="90" w:type="dxa"/>
            </w:tcMar>
          </w:tcPr>
          <w:p w14:paraId="3739AC6F" w14:textId="77777777" w:rsidR="004323A9" w:rsidRDefault="00000000">
            <w:pPr>
              <w:spacing w:line="250" w:lineRule="auto"/>
            </w:pPr>
            <w:r>
              <w:rPr>
                <w:sz w:val="17"/>
                <w:szCs w:val="17"/>
              </w:rPr>
              <w:t>CDM health dashboard, trend lines, PAS reconciliation. Explicit recurring tag not public.</w:t>
            </w:r>
          </w:p>
        </w:tc>
        <w:tc>
          <w:tcPr>
            <w:tcW w:w="1530" w:type="dxa"/>
            <w:tcMar>
              <w:top w:w="60" w:type="dxa"/>
              <w:left w:w="90" w:type="dxa"/>
              <w:bottom w:w="60" w:type="dxa"/>
              <w:right w:w="90" w:type="dxa"/>
            </w:tcMar>
          </w:tcPr>
          <w:p w14:paraId="3739AC70" w14:textId="77777777" w:rsidR="004323A9" w:rsidRDefault="00000000">
            <w:pPr>
              <w:spacing w:line="250" w:lineRule="auto"/>
            </w:pPr>
            <w:r>
              <w:rPr>
                <w:sz w:val="17"/>
                <w:szCs w:val="17"/>
              </w:rPr>
              <w:t>Self-service SaaS plus data team.</w:t>
            </w:r>
          </w:p>
        </w:tc>
      </w:tr>
      <w:tr w:rsidR="004323A9" w14:paraId="3739AC77" w14:textId="77777777">
        <w:tblPrEx>
          <w:tblCellMar>
            <w:top w:w="0" w:type="dxa"/>
            <w:bottom w:w="0" w:type="dxa"/>
          </w:tblCellMar>
        </w:tblPrEx>
        <w:tc>
          <w:tcPr>
            <w:tcW w:w="1600" w:type="dxa"/>
            <w:shd w:val="clear" w:color="auto" w:fill="F4F7FB"/>
            <w:tcMar>
              <w:top w:w="60" w:type="dxa"/>
              <w:left w:w="90" w:type="dxa"/>
              <w:bottom w:w="60" w:type="dxa"/>
              <w:right w:w="90" w:type="dxa"/>
            </w:tcMar>
          </w:tcPr>
          <w:p w14:paraId="3739AC72" w14:textId="77777777" w:rsidR="004323A9" w:rsidRDefault="00000000">
            <w:pPr>
              <w:spacing w:line="250" w:lineRule="auto"/>
            </w:pPr>
            <w:r>
              <w:rPr>
                <w:b/>
                <w:bCs/>
                <w:color w:val="0F172A"/>
                <w:sz w:val="17"/>
                <w:szCs w:val="17"/>
              </w:rPr>
              <w:t>Health Catalyst VitalCDM</w:t>
            </w:r>
          </w:p>
        </w:tc>
        <w:tc>
          <w:tcPr>
            <w:tcW w:w="2350" w:type="dxa"/>
            <w:tcMar>
              <w:top w:w="60" w:type="dxa"/>
              <w:left w:w="90" w:type="dxa"/>
              <w:bottom w:w="60" w:type="dxa"/>
              <w:right w:w="90" w:type="dxa"/>
            </w:tcMar>
          </w:tcPr>
          <w:p w14:paraId="3739AC73" w14:textId="77777777" w:rsidR="004323A9" w:rsidRDefault="00000000">
            <w:pPr>
              <w:spacing w:line="250" w:lineRule="auto"/>
            </w:pPr>
            <w:r>
              <w:rPr>
                <w:sz w:val="17"/>
                <w:szCs w:val="17"/>
              </w:rPr>
              <w:t>VitalWorkflow queues with real states and sign-off. Best documented of the group.</w:t>
            </w:r>
          </w:p>
        </w:tc>
        <w:tc>
          <w:tcPr>
            <w:tcW w:w="2200" w:type="dxa"/>
            <w:tcMar>
              <w:top w:w="60" w:type="dxa"/>
              <w:left w:w="90" w:type="dxa"/>
              <w:bottom w:w="60" w:type="dxa"/>
              <w:right w:w="90" w:type="dxa"/>
            </w:tcMar>
          </w:tcPr>
          <w:p w14:paraId="3739AC74" w14:textId="77777777" w:rsidR="004323A9" w:rsidRDefault="00000000">
            <w:pPr>
              <w:spacing w:line="250" w:lineRule="auto"/>
            </w:pPr>
            <w:r>
              <w:rPr>
                <w:sz w:val="17"/>
                <w:szCs w:val="17"/>
              </w:rPr>
              <w:t>File based import, reconcile, export. No confirmed automated push.</w:t>
            </w:r>
          </w:p>
        </w:tc>
        <w:tc>
          <w:tcPr>
            <w:tcW w:w="2400" w:type="dxa"/>
            <w:tcMar>
              <w:top w:w="60" w:type="dxa"/>
              <w:left w:w="90" w:type="dxa"/>
              <w:bottom w:w="60" w:type="dxa"/>
              <w:right w:w="90" w:type="dxa"/>
            </w:tcMar>
          </w:tcPr>
          <w:p w14:paraId="3739AC75" w14:textId="77777777" w:rsidR="004323A9" w:rsidRDefault="00000000">
            <w:pPr>
              <w:spacing w:line="250" w:lineRule="auto"/>
            </w:pPr>
            <w:r>
              <w:rPr>
                <w:sz w:val="17"/>
                <w:szCs w:val="17"/>
              </w:rPr>
              <w:t>Import Reconciliation flags adds, changes, reactivations, inactivations. Closest analog to ChargeGuard.</w:t>
            </w:r>
          </w:p>
        </w:tc>
        <w:tc>
          <w:tcPr>
            <w:tcW w:w="1530" w:type="dxa"/>
            <w:tcMar>
              <w:top w:w="60" w:type="dxa"/>
              <w:left w:w="90" w:type="dxa"/>
              <w:bottom w:w="60" w:type="dxa"/>
              <w:right w:w="90" w:type="dxa"/>
            </w:tcMar>
          </w:tcPr>
          <w:p w14:paraId="3739AC76" w14:textId="77777777" w:rsidR="004323A9" w:rsidRDefault="00000000">
            <w:pPr>
              <w:spacing w:line="250" w:lineRule="auto"/>
            </w:pPr>
            <w:r>
              <w:rPr>
                <w:sz w:val="17"/>
                <w:szCs w:val="17"/>
              </w:rPr>
              <w:t>Self-service SaaS plus advisory. Now Med-Metrix owned.</w:t>
            </w:r>
          </w:p>
        </w:tc>
      </w:tr>
      <w:tr w:rsidR="004323A9" w14:paraId="3739AC7D" w14:textId="77777777">
        <w:tblPrEx>
          <w:tblCellMar>
            <w:top w:w="0" w:type="dxa"/>
            <w:bottom w:w="0" w:type="dxa"/>
          </w:tblCellMar>
        </w:tblPrEx>
        <w:tc>
          <w:tcPr>
            <w:tcW w:w="1600" w:type="dxa"/>
            <w:shd w:val="clear" w:color="auto" w:fill="F4F7FB"/>
            <w:tcMar>
              <w:top w:w="60" w:type="dxa"/>
              <w:left w:w="90" w:type="dxa"/>
              <w:bottom w:w="60" w:type="dxa"/>
              <w:right w:w="90" w:type="dxa"/>
            </w:tcMar>
          </w:tcPr>
          <w:p w14:paraId="3739AC78" w14:textId="77777777" w:rsidR="004323A9" w:rsidRDefault="00000000">
            <w:pPr>
              <w:spacing w:line="250" w:lineRule="auto"/>
            </w:pPr>
            <w:r>
              <w:rPr>
                <w:b/>
                <w:bCs/>
                <w:color w:val="0F172A"/>
                <w:sz w:val="17"/>
                <w:szCs w:val="17"/>
              </w:rPr>
              <w:t>FinThrive CDM Management</w:t>
            </w:r>
          </w:p>
        </w:tc>
        <w:tc>
          <w:tcPr>
            <w:tcW w:w="2350" w:type="dxa"/>
            <w:tcMar>
              <w:top w:w="60" w:type="dxa"/>
              <w:left w:w="90" w:type="dxa"/>
              <w:bottom w:w="60" w:type="dxa"/>
              <w:right w:w="90" w:type="dxa"/>
            </w:tcMar>
          </w:tcPr>
          <w:p w14:paraId="3739AC79" w14:textId="77777777" w:rsidR="004323A9" w:rsidRDefault="00000000">
            <w:pPr>
              <w:spacing w:line="250" w:lineRule="auto"/>
            </w:pPr>
            <w:r>
              <w:rPr>
                <w:sz w:val="17"/>
                <w:szCs w:val="17"/>
              </w:rPr>
              <w:t>KPI dashboard, coding analysis drills to worklists. Detailed states not public.</w:t>
            </w:r>
          </w:p>
        </w:tc>
        <w:tc>
          <w:tcPr>
            <w:tcW w:w="2200" w:type="dxa"/>
            <w:tcMar>
              <w:top w:w="60" w:type="dxa"/>
              <w:left w:w="90" w:type="dxa"/>
              <w:bottom w:w="60" w:type="dxa"/>
              <w:right w:w="90" w:type="dxa"/>
            </w:tcMar>
          </w:tcPr>
          <w:p w14:paraId="3739AC7A" w14:textId="77777777" w:rsidR="004323A9" w:rsidRDefault="00000000">
            <w:pPr>
              <w:spacing w:line="250" w:lineRule="auto"/>
            </w:pPr>
            <w:r>
              <w:rPr>
                <w:sz w:val="17"/>
                <w:szCs w:val="17"/>
              </w:rPr>
              <w:t>Claims EHR and patient-accounting integration. Mechanism not detailed.</w:t>
            </w:r>
          </w:p>
        </w:tc>
        <w:tc>
          <w:tcPr>
            <w:tcW w:w="2400" w:type="dxa"/>
            <w:tcMar>
              <w:top w:w="60" w:type="dxa"/>
              <w:left w:w="90" w:type="dxa"/>
              <w:bottom w:w="60" w:type="dxa"/>
              <w:right w:w="90" w:type="dxa"/>
            </w:tcMar>
          </w:tcPr>
          <w:p w14:paraId="3739AC7B" w14:textId="77777777" w:rsidR="004323A9" w:rsidRDefault="00000000">
            <w:pPr>
              <w:spacing w:line="250" w:lineRule="auto"/>
            </w:pPr>
            <w:r>
              <w:rPr>
                <w:sz w:val="17"/>
                <w:szCs w:val="17"/>
              </w:rPr>
              <w:t>Not public.</w:t>
            </w:r>
          </w:p>
        </w:tc>
        <w:tc>
          <w:tcPr>
            <w:tcW w:w="1530" w:type="dxa"/>
            <w:tcMar>
              <w:top w:w="60" w:type="dxa"/>
              <w:left w:w="90" w:type="dxa"/>
              <w:bottom w:w="60" w:type="dxa"/>
              <w:right w:w="90" w:type="dxa"/>
            </w:tcMar>
          </w:tcPr>
          <w:p w14:paraId="3739AC7C" w14:textId="77777777" w:rsidR="004323A9" w:rsidRDefault="00000000">
            <w:pPr>
              <w:spacing w:line="250" w:lineRule="auto"/>
            </w:pPr>
            <w:r>
              <w:rPr>
                <w:sz w:val="17"/>
                <w:szCs w:val="17"/>
              </w:rPr>
              <w:t>Self-service SaaS.</w:t>
            </w:r>
          </w:p>
        </w:tc>
      </w:tr>
      <w:tr w:rsidR="004323A9" w14:paraId="3739AC83" w14:textId="77777777">
        <w:tblPrEx>
          <w:tblCellMar>
            <w:top w:w="0" w:type="dxa"/>
            <w:bottom w:w="0" w:type="dxa"/>
          </w:tblCellMar>
        </w:tblPrEx>
        <w:tc>
          <w:tcPr>
            <w:tcW w:w="1600" w:type="dxa"/>
            <w:shd w:val="clear" w:color="auto" w:fill="F4F7FB"/>
            <w:tcMar>
              <w:top w:w="60" w:type="dxa"/>
              <w:left w:w="90" w:type="dxa"/>
              <w:bottom w:w="60" w:type="dxa"/>
              <w:right w:w="90" w:type="dxa"/>
            </w:tcMar>
          </w:tcPr>
          <w:p w14:paraId="3739AC7E" w14:textId="77777777" w:rsidR="004323A9" w:rsidRDefault="00000000">
            <w:pPr>
              <w:spacing w:line="250" w:lineRule="auto"/>
            </w:pPr>
            <w:r>
              <w:rPr>
                <w:b/>
                <w:bCs/>
                <w:color w:val="0F172A"/>
                <w:sz w:val="17"/>
                <w:szCs w:val="17"/>
              </w:rPr>
              <w:t>Optum ChargemasterExpert</w:t>
            </w:r>
          </w:p>
        </w:tc>
        <w:tc>
          <w:tcPr>
            <w:tcW w:w="2350" w:type="dxa"/>
            <w:tcMar>
              <w:top w:w="60" w:type="dxa"/>
              <w:left w:w="90" w:type="dxa"/>
              <w:bottom w:w="60" w:type="dxa"/>
              <w:right w:w="90" w:type="dxa"/>
            </w:tcMar>
          </w:tcPr>
          <w:p w14:paraId="3739AC7F" w14:textId="77777777" w:rsidR="004323A9" w:rsidRDefault="00000000">
            <w:pPr>
              <w:spacing w:line="250" w:lineRule="auto"/>
            </w:pPr>
            <w:r>
              <w:rPr>
                <w:sz w:val="17"/>
                <w:szCs w:val="17"/>
              </w:rPr>
              <w:t xml:space="preserve">Approve or deny changes, </w:t>
            </w:r>
            <w:proofErr w:type="gramStart"/>
            <w:r>
              <w:rPr>
                <w:sz w:val="17"/>
                <w:szCs w:val="17"/>
              </w:rPr>
              <w:t>keeps</w:t>
            </w:r>
            <w:proofErr w:type="gramEnd"/>
            <w:r>
              <w:rPr>
                <w:sz w:val="17"/>
                <w:szCs w:val="17"/>
              </w:rPr>
              <w:t xml:space="preserve"> </w:t>
            </w:r>
            <w:proofErr w:type="gramStart"/>
            <w:r>
              <w:rPr>
                <w:sz w:val="17"/>
                <w:szCs w:val="17"/>
              </w:rPr>
              <w:t>edit</w:t>
            </w:r>
            <w:proofErr w:type="gramEnd"/>
            <w:r>
              <w:rPr>
                <w:sz w:val="17"/>
                <w:szCs w:val="17"/>
              </w:rPr>
              <w:t xml:space="preserve"> overrides, corporate-standard mapping.</w:t>
            </w:r>
          </w:p>
        </w:tc>
        <w:tc>
          <w:tcPr>
            <w:tcW w:w="2200" w:type="dxa"/>
            <w:tcMar>
              <w:top w:w="60" w:type="dxa"/>
              <w:left w:w="90" w:type="dxa"/>
              <w:bottom w:w="60" w:type="dxa"/>
              <w:right w:w="90" w:type="dxa"/>
            </w:tcMar>
          </w:tcPr>
          <w:p w14:paraId="3739AC80" w14:textId="77777777" w:rsidR="004323A9" w:rsidRDefault="00000000">
            <w:pPr>
              <w:spacing w:line="250" w:lineRule="auto"/>
            </w:pPr>
            <w:r>
              <w:rPr>
                <w:sz w:val="17"/>
                <w:szCs w:val="17"/>
              </w:rPr>
              <w:t>Effective dating and audit trail. Shows host-file conflicts. Direct write-back not confirmed.</w:t>
            </w:r>
          </w:p>
        </w:tc>
        <w:tc>
          <w:tcPr>
            <w:tcW w:w="2400" w:type="dxa"/>
            <w:tcMar>
              <w:top w:w="60" w:type="dxa"/>
              <w:left w:w="90" w:type="dxa"/>
              <w:bottom w:w="60" w:type="dxa"/>
              <w:right w:w="90" w:type="dxa"/>
            </w:tcMar>
          </w:tcPr>
          <w:p w14:paraId="3739AC81" w14:textId="77777777" w:rsidR="004323A9" w:rsidRDefault="00000000">
            <w:pPr>
              <w:spacing w:line="250" w:lineRule="auto"/>
            </w:pPr>
            <w:r>
              <w:rPr>
                <w:sz w:val="17"/>
                <w:szCs w:val="17"/>
              </w:rPr>
              <w:t>Change history and conflict compare. No cross-cycle tracker confirmed.</w:t>
            </w:r>
          </w:p>
        </w:tc>
        <w:tc>
          <w:tcPr>
            <w:tcW w:w="1530" w:type="dxa"/>
            <w:tcMar>
              <w:top w:w="60" w:type="dxa"/>
              <w:left w:w="90" w:type="dxa"/>
              <w:bottom w:w="60" w:type="dxa"/>
              <w:right w:w="90" w:type="dxa"/>
            </w:tcMar>
          </w:tcPr>
          <w:p w14:paraId="3739AC82" w14:textId="77777777" w:rsidR="004323A9" w:rsidRDefault="00000000">
            <w:pPr>
              <w:spacing w:line="250" w:lineRule="auto"/>
            </w:pPr>
            <w:r>
              <w:rPr>
                <w:sz w:val="17"/>
                <w:szCs w:val="17"/>
              </w:rPr>
              <w:t>Self-service SaaS plus Optum Advisory.</w:t>
            </w:r>
          </w:p>
        </w:tc>
      </w:tr>
      <w:tr w:rsidR="004323A9" w14:paraId="3739AC89" w14:textId="77777777">
        <w:tblPrEx>
          <w:tblCellMar>
            <w:top w:w="0" w:type="dxa"/>
            <w:bottom w:w="0" w:type="dxa"/>
          </w:tblCellMar>
        </w:tblPrEx>
        <w:tc>
          <w:tcPr>
            <w:tcW w:w="1600" w:type="dxa"/>
            <w:shd w:val="clear" w:color="auto" w:fill="F4F7FB"/>
            <w:tcMar>
              <w:top w:w="60" w:type="dxa"/>
              <w:left w:w="90" w:type="dxa"/>
              <w:bottom w:w="60" w:type="dxa"/>
              <w:right w:w="90" w:type="dxa"/>
            </w:tcMar>
          </w:tcPr>
          <w:p w14:paraId="3739AC84" w14:textId="77777777" w:rsidR="004323A9" w:rsidRDefault="00000000">
            <w:pPr>
              <w:spacing w:line="250" w:lineRule="auto"/>
            </w:pPr>
            <w:r>
              <w:rPr>
                <w:b/>
                <w:bCs/>
                <w:color w:val="0F172A"/>
                <w:sz w:val="17"/>
                <w:szCs w:val="17"/>
              </w:rPr>
              <w:t>Panacea ChargeAssist</w:t>
            </w:r>
          </w:p>
        </w:tc>
        <w:tc>
          <w:tcPr>
            <w:tcW w:w="2350" w:type="dxa"/>
            <w:tcMar>
              <w:top w:w="60" w:type="dxa"/>
              <w:left w:w="90" w:type="dxa"/>
              <w:bottom w:w="60" w:type="dxa"/>
              <w:right w:w="90" w:type="dxa"/>
            </w:tcMar>
          </w:tcPr>
          <w:p w14:paraId="3739AC85" w14:textId="77777777" w:rsidR="004323A9" w:rsidRDefault="00000000">
            <w:pPr>
              <w:spacing w:line="250" w:lineRule="auto"/>
            </w:pPr>
            <w:r>
              <w:rPr>
                <w:sz w:val="17"/>
                <w:szCs w:val="17"/>
              </w:rPr>
              <w:t>Change Monitor: workflow, tracking, compliance logs, department ownership.</w:t>
            </w:r>
          </w:p>
        </w:tc>
        <w:tc>
          <w:tcPr>
            <w:tcW w:w="2200" w:type="dxa"/>
            <w:tcMar>
              <w:top w:w="60" w:type="dxa"/>
              <w:left w:w="90" w:type="dxa"/>
              <w:bottom w:w="60" w:type="dxa"/>
              <w:right w:w="90" w:type="dxa"/>
            </w:tcMar>
          </w:tcPr>
          <w:p w14:paraId="3739AC86" w14:textId="77777777" w:rsidR="004323A9" w:rsidRDefault="00000000">
            <w:pPr>
              <w:spacing w:line="250" w:lineRule="auto"/>
            </w:pPr>
            <w:r>
              <w:rPr>
                <w:sz w:val="17"/>
                <w:szCs w:val="17"/>
              </w:rPr>
              <w:t xml:space="preserve">No public </w:t>
            </w:r>
            <w:proofErr w:type="gramStart"/>
            <w:r>
              <w:rPr>
                <w:sz w:val="17"/>
                <w:szCs w:val="17"/>
              </w:rPr>
              <w:t>write-back</w:t>
            </w:r>
            <w:proofErr w:type="gramEnd"/>
            <w:r>
              <w:rPr>
                <w:sz w:val="17"/>
                <w:szCs w:val="17"/>
              </w:rPr>
              <w:t>. Remediation is services-led (CDMsync).</w:t>
            </w:r>
          </w:p>
        </w:tc>
        <w:tc>
          <w:tcPr>
            <w:tcW w:w="2400" w:type="dxa"/>
            <w:tcMar>
              <w:top w:w="60" w:type="dxa"/>
              <w:left w:w="90" w:type="dxa"/>
              <w:bottom w:w="60" w:type="dxa"/>
              <w:right w:w="90" w:type="dxa"/>
            </w:tcMar>
          </w:tcPr>
          <w:p w14:paraId="3739AC87" w14:textId="77777777" w:rsidR="004323A9" w:rsidRDefault="00000000">
            <w:pPr>
              <w:spacing w:line="250" w:lineRule="auto"/>
            </w:pPr>
            <w:r>
              <w:rPr>
                <w:sz w:val="17"/>
                <w:szCs w:val="17"/>
              </w:rPr>
              <w:t xml:space="preserve">Recurring review cadence. Explicit tagging </w:t>
            </w:r>
            <w:proofErr w:type="gramStart"/>
            <w:r>
              <w:rPr>
                <w:sz w:val="17"/>
                <w:szCs w:val="17"/>
              </w:rPr>
              <w:t>not</w:t>
            </w:r>
            <w:proofErr w:type="gramEnd"/>
            <w:r>
              <w:rPr>
                <w:sz w:val="17"/>
                <w:szCs w:val="17"/>
              </w:rPr>
              <w:t xml:space="preserve"> public.</w:t>
            </w:r>
          </w:p>
        </w:tc>
        <w:tc>
          <w:tcPr>
            <w:tcW w:w="1530" w:type="dxa"/>
            <w:tcMar>
              <w:top w:w="60" w:type="dxa"/>
              <w:left w:w="90" w:type="dxa"/>
              <w:bottom w:w="60" w:type="dxa"/>
              <w:right w:w="90" w:type="dxa"/>
            </w:tcMar>
          </w:tcPr>
          <w:p w14:paraId="3739AC88" w14:textId="77777777" w:rsidR="004323A9" w:rsidRDefault="00000000">
            <w:pPr>
              <w:spacing w:line="250" w:lineRule="auto"/>
            </w:pPr>
            <w:r>
              <w:rPr>
                <w:sz w:val="17"/>
                <w:szCs w:val="17"/>
              </w:rPr>
              <w:t>Software plus consulting.</w:t>
            </w:r>
          </w:p>
        </w:tc>
      </w:tr>
      <w:tr w:rsidR="004323A9" w14:paraId="3739AC8F" w14:textId="77777777">
        <w:tblPrEx>
          <w:tblCellMar>
            <w:top w:w="0" w:type="dxa"/>
            <w:bottom w:w="0" w:type="dxa"/>
          </w:tblCellMar>
        </w:tblPrEx>
        <w:tc>
          <w:tcPr>
            <w:tcW w:w="1600" w:type="dxa"/>
            <w:shd w:val="clear" w:color="auto" w:fill="F4F7FB"/>
            <w:tcMar>
              <w:top w:w="60" w:type="dxa"/>
              <w:left w:w="90" w:type="dxa"/>
              <w:bottom w:w="60" w:type="dxa"/>
              <w:right w:w="90" w:type="dxa"/>
            </w:tcMar>
          </w:tcPr>
          <w:p w14:paraId="3739AC8A" w14:textId="77777777" w:rsidR="004323A9" w:rsidRDefault="00000000">
            <w:pPr>
              <w:spacing w:line="250" w:lineRule="auto"/>
            </w:pPr>
            <w:r>
              <w:rPr>
                <w:b/>
                <w:bCs/>
                <w:color w:val="0F172A"/>
                <w:sz w:val="17"/>
                <w:szCs w:val="17"/>
              </w:rPr>
              <w:t>MDaudit</w:t>
            </w:r>
          </w:p>
        </w:tc>
        <w:tc>
          <w:tcPr>
            <w:tcW w:w="2350" w:type="dxa"/>
            <w:tcMar>
              <w:top w:w="60" w:type="dxa"/>
              <w:left w:w="90" w:type="dxa"/>
              <w:bottom w:w="60" w:type="dxa"/>
              <w:right w:w="90" w:type="dxa"/>
            </w:tcMar>
          </w:tcPr>
          <w:p w14:paraId="3739AC8B" w14:textId="77777777" w:rsidR="004323A9" w:rsidRDefault="00000000">
            <w:pPr>
              <w:spacing w:line="250" w:lineRule="auto"/>
            </w:pPr>
            <w:r>
              <w:rPr>
                <w:sz w:val="17"/>
                <w:szCs w:val="17"/>
              </w:rPr>
              <w:t>Full audit workflows: assign, annotate, root cause, coder rebuttal, sign-off. Coding audit, not CDM.</w:t>
            </w:r>
          </w:p>
        </w:tc>
        <w:tc>
          <w:tcPr>
            <w:tcW w:w="2200" w:type="dxa"/>
            <w:tcMar>
              <w:top w:w="60" w:type="dxa"/>
              <w:left w:w="90" w:type="dxa"/>
              <w:bottom w:w="60" w:type="dxa"/>
              <w:right w:w="90" w:type="dxa"/>
            </w:tcMar>
          </w:tcPr>
          <w:p w14:paraId="3739AC8C" w14:textId="77777777" w:rsidR="004323A9" w:rsidRDefault="00000000">
            <w:pPr>
              <w:spacing w:line="250" w:lineRule="auto"/>
            </w:pPr>
            <w:r>
              <w:rPr>
                <w:sz w:val="17"/>
                <w:szCs w:val="17"/>
              </w:rPr>
              <w:t>Pre-bill correction before the claim. No CDM-master write-back.</w:t>
            </w:r>
          </w:p>
        </w:tc>
        <w:tc>
          <w:tcPr>
            <w:tcW w:w="2400" w:type="dxa"/>
            <w:tcMar>
              <w:top w:w="60" w:type="dxa"/>
              <w:left w:w="90" w:type="dxa"/>
              <w:bottom w:w="60" w:type="dxa"/>
              <w:right w:w="90" w:type="dxa"/>
            </w:tcMar>
          </w:tcPr>
          <w:p w14:paraId="3739AC8D" w14:textId="77777777" w:rsidR="004323A9" w:rsidRDefault="00000000">
            <w:pPr>
              <w:spacing w:line="250" w:lineRule="auto"/>
            </w:pPr>
            <w:r>
              <w:rPr>
                <w:sz w:val="17"/>
                <w:szCs w:val="17"/>
              </w:rPr>
              <w:t>Publishes a repeat-findings metric and schedules re-audits. Strongest loop overall.</w:t>
            </w:r>
          </w:p>
        </w:tc>
        <w:tc>
          <w:tcPr>
            <w:tcW w:w="1530" w:type="dxa"/>
            <w:tcMar>
              <w:top w:w="60" w:type="dxa"/>
              <w:left w:w="90" w:type="dxa"/>
              <w:bottom w:w="60" w:type="dxa"/>
              <w:right w:w="90" w:type="dxa"/>
            </w:tcMar>
          </w:tcPr>
          <w:p w14:paraId="3739AC8E" w14:textId="77777777" w:rsidR="004323A9" w:rsidRDefault="00000000">
            <w:pPr>
              <w:spacing w:line="250" w:lineRule="auto"/>
            </w:pPr>
            <w:r>
              <w:rPr>
                <w:sz w:val="17"/>
                <w:szCs w:val="17"/>
              </w:rPr>
              <w:t>Self-service SaaS.</w:t>
            </w:r>
          </w:p>
        </w:tc>
      </w:tr>
      <w:tr w:rsidR="004323A9" w14:paraId="3739AC95" w14:textId="77777777">
        <w:tblPrEx>
          <w:tblCellMar>
            <w:top w:w="0" w:type="dxa"/>
            <w:bottom w:w="0" w:type="dxa"/>
          </w:tblCellMar>
        </w:tblPrEx>
        <w:tc>
          <w:tcPr>
            <w:tcW w:w="1600" w:type="dxa"/>
            <w:shd w:val="clear" w:color="auto" w:fill="F4F7FB"/>
            <w:tcMar>
              <w:top w:w="60" w:type="dxa"/>
              <w:left w:w="90" w:type="dxa"/>
              <w:bottom w:w="60" w:type="dxa"/>
              <w:right w:w="90" w:type="dxa"/>
            </w:tcMar>
          </w:tcPr>
          <w:p w14:paraId="3739AC90" w14:textId="77777777" w:rsidR="004323A9" w:rsidRDefault="00000000">
            <w:pPr>
              <w:spacing w:line="250" w:lineRule="auto"/>
            </w:pPr>
            <w:r>
              <w:rPr>
                <w:b/>
                <w:bCs/>
                <w:color w:val="0F172A"/>
                <w:sz w:val="17"/>
                <w:szCs w:val="17"/>
              </w:rPr>
              <w:t>TruBridge (IKS Health)</w:t>
            </w:r>
          </w:p>
        </w:tc>
        <w:tc>
          <w:tcPr>
            <w:tcW w:w="2350" w:type="dxa"/>
            <w:tcMar>
              <w:top w:w="60" w:type="dxa"/>
              <w:left w:w="90" w:type="dxa"/>
              <w:bottom w:w="60" w:type="dxa"/>
              <w:right w:w="90" w:type="dxa"/>
            </w:tcMar>
          </w:tcPr>
          <w:p w14:paraId="3739AC91" w14:textId="77777777" w:rsidR="004323A9" w:rsidRDefault="00000000">
            <w:pPr>
              <w:spacing w:line="250" w:lineRule="auto"/>
            </w:pPr>
            <w:r>
              <w:rPr>
                <w:sz w:val="17"/>
                <w:szCs w:val="17"/>
              </w:rPr>
              <w:t>Consultant builds a worklist and follows up. No self-serve engine.</w:t>
            </w:r>
          </w:p>
        </w:tc>
        <w:tc>
          <w:tcPr>
            <w:tcW w:w="2200" w:type="dxa"/>
            <w:tcMar>
              <w:top w:w="60" w:type="dxa"/>
              <w:left w:w="90" w:type="dxa"/>
              <w:bottom w:w="60" w:type="dxa"/>
              <w:right w:w="90" w:type="dxa"/>
            </w:tcMar>
          </w:tcPr>
          <w:p w14:paraId="3739AC92" w14:textId="77777777" w:rsidR="004323A9" w:rsidRDefault="00000000">
            <w:pPr>
              <w:spacing w:line="250" w:lineRule="auto"/>
            </w:pPr>
            <w:r>
              <w:rPr>
                <w:sz w:val="17"/>
                <w:szCs w:val="17"/>
              </w:rPr>
              <w:t>Manual edits in the EHR item master, which holds the CDM. Effective and term dating.</w:t>
            </w:r>
          </w:p>
        </w:tc>
        <w:tc>
          <w:tcPr>
            <w:tcW w:w="2400" w:type="dxa"/>
            <w:tcMar>
              <w:top w:w="60" w:type="dxa"/>
              <w:left w:w="90" w:type="dxa"/>
              <w:bottom w:w="60" w:type="dxa"/>
              <w:right w:w="90" w:type="dxa"/>
            </w:tcMar>
          </w:tcPr>
          <w:p w14:paraId="3739AC93" w14:textId="77777777" w:rsidR="004323A9" w:rsidRDefault="00000000">
            <w:pPr>
              <w:spacing w:line="250" w:lineRule="auto"/>
            </w:pPr>
            <w:r>
              <w:rPr>
                <w:sz w:val="17"/>
                <w:szCs w:val="17"/>
              </w:rPr>
              <w:t xml:space="preserve">Consultant </w:t>
            </w:r>
            <w:proofErr w:type="gramStart"/>
            <w:r>
              <w:rPr>
                <w:sz w:val="17"/>
                <w:szCs w:val="17"/>
              </w:rPr>
              <w:t>follow-up</w:t>
            </w:r>
            <w:proofErr w:type="gramEnd"/>
            <w:r>
              <w:rPr>
                <w:sz w:val="17"/>
                <w:szCs w:val="17"/>
              </w:rPr>
              <w:t xml:space="preserve"> to confirm corrections. Quarterly files.</w:t>
            </w:r>
          </w:p>
        </w:tc>
        <w:tc>
          <w:tcPr>
            <w:tcW w:w="1530" w:type="dxa"/>
            <w:tcMar>
              <w:top w:w="60" w:type="dxa"/>
              <w:left w:w="90" w:type="dxa"/>
              <w:bottom w:w="60" w:type="dxa"/>
              <w:right w:w="90" w:type="dxa"/>
            </w:tcMar>
          </w:tcPr>
          <w:p w14:paraId="3739AC94" w14:textId="77777777" w:rsidR="004323A9" w:rsidRDefault="00000000">
            <w:pPr>
              <w:spacing w:line="250" w:lineRule="auto"/>
            </w:pPr>
            <w:r>
              <w:rPr>
                <w:sz w:val="17"/>
                <w:szCs w:val="17"/>
              </w:rPr>
              <w:t>Services-led plus EHR item master.</w:t>
            </w:r>
          </w:p>
        </w:tc>
      </w:tr>
      <w:tr w:rsidR="004323A9" w14:paraId="3739AC9B" w14:textId="77777777">
        <w:tblPrEx>
          <w:tblCellMar>
            <w:top w:w="0" w:type="dxa"/>
            <w:bottom w:w="0" w:type="dxa"/>
          </w:tblCellMar>
        </w:tblPrEx>
        <w:tc>
          <w:tcPr>
            <w:tcW w:w="1600" w:type="dxa"/>
            <w:shd w:val="clear" w:color="auto" w:fill="F4F7FB"/>
            <w:tcMar>
              <w:top w:w="60" w:type="dxa"/>
              <w:left w:w="90" w:type="dxa"/>
              <w:bottom w:w="60" w:type="dxa"/>
              <w:right w:w="90" w:type="dxa"/>
            </w:tcMar>
          </w:tcPr>
          <w:p w14:paraId="3739AC96" w14:textId="77777777" w:rsidR="004323A9" w:rsidRDefault="00000000">
            <w:pPr>
              <w:spacing w:line="250" w:lineRule="auto"/>
            </w:pPr>
            <w:r>
              <w:rPr>
                <w:b/>
                <w:bCs/>
                <w:color w:val="0F172A"/>
                <w:sz w:val="17"/>
                <w:szCs w:val="17"/>
              </w:rPr>
              <w:t>Cleverley</w:t>
            </w:r>
          </w:p>
        </w:tc>
        <w:tc>
          <w:tcPr>
            <w:tcW w:w="2350" w:type="dxa"/>
            <w:tcMar>
              <w:top w:w="60" w:type="dxa"/>
              <w:left w:w="90" w:type="dxa"/>
              <w:bottom w:w="60" w:type="dxa"/>
              <w:right w:w="90" w:type="dxa"/>
            </w:tcMar>
          </w:tcPr>
          <w:p w14:paraId="3739AC97" w14:textId="77777777" w:rsidR="004323A9" w:rsidRDefault="00000000">
            <w:pPr>
              <w:spacing w:line="250" w:lineRule="auto"/>
            </w:pPr>
            <w:r>
              <w:rPr>
                <w:sz w:val="17"/>
                <w:szCs w:val="17"/>
              </w:rPr>
              <w:t>None. Deliverables are consulting reports.</w:t>
            </w:r>
          </w:p>
        </w:tc>
        <w:tc>
          <w:tcPr>
            <w:tcW w:w="2200" w:type="dxa"/>
            <w:tcMar>
              <w:top w:w="60" w:type="dxa"/>
              <w:left w:w="90" w:type="dxa"/>
              <w:bottom w:w="60" w:type="dxa"/>
              <w:right w:w="90" w:type="dxa"/>
            </w:tcMar>
          </w:tcPr>
          <w:p w14:paraId="3739AC98" w14:textId="77777777" w:rsidR="004323A9" w:rsidRDefault="00000000">
            <w:pPr>
              <w:spacing w:line="250" w:lineRule="auto"/>
            </w:pPr>
            <w:r>
              <w:rPr>
                <w:sz w:val="17"/>
                <w:szCs w:val="17"/>
              </w:rPr>
              <w:t xml:space="preserve">Client </w:t>
            </w:r>
            <w:proofErr w:type="gramStart"/>
            <w:r>
              <w:rPr>
                <w:sz w:val="17"/>
                <w:szCs w:val="17"/>
              </w:rPr>
              <w:t>implements from</w:t>
            </w:r>
            <w:proofErr w:type="gramEnd"/>
            <w:r>
              <w:rPr>
                <w:sz w:val="17"/>
                <w:szCs w:val="17"/>
              </w:rPr>
              <w:t xml:space="preserve"> the report.</w:t>
            </w:r>
          </w:p>
        </w:tc>
        <w:tc>
          <w:tcPr>
            <w:tcW w:w="2400" w:type="dxa"/>
            <w:tcMar>
              <w:top w:w="60" w:type="dxa"/>
              <w:left w:w="90" w:type="dxa"/>
              <w:bottom w:w="60" w:type="dxa"/>
              <w:right w:w="90" w:type="dxa"/>
            </w:tcMar>
          </w:tcPr>
          <w:p w14:paraId="3739AC99" w14:textId="77777777" w:rsidR="004323A9" w:rsidRDefault="00000000">
            <w:pPr>
              <w:spacing w:line="250" w:lineRule="auto"/>
            </w:pPr>
            <w:r>
              <w:rPr>
                <w:sz w:val="17"/>
                <w:szCs w:val="17"/>
              </w:rPr>
              <w:t>Not applicable.</w:t>
            </w:r>
          </w:p>
        </w:tc>
        <w:tc>
          <w:tcPr>
            <w:tcW w:w="1530" w:type="dxa"/>
            <w:tcMar>
              <w:top w:w="60" w:type="dxa"/>
              <w:left w:w="90" w:type="dxa"/>
              <w:bottom w:w="60" w:type="dxa"/>
              <w:right w:w="90" w:type="dxa"/>
            </w:tcMar>
          </w:tcPr>
          <w:p w14:paraId="3739AC9A" w14:textId="77777777" w:rsidR="004323A9" w:rsidRDefault="00000000">
            <w:pPr>
              <w:spacing w:line="250" w:lineRule="auto"/>
            </w:pPr>
            <w:r>
              <w:rPr>
                <w:sz w:val="17"/>
                <w:szCs w:val="17"/>
              </w:rPr>
              <w:t>Consulting and benchmarking.</w:t>
            </w:r>
          </w:p>
        </w:tc>
      </w:tr>
    </w:tbl>
    <w:p w14:paraId="3739AC9C" w14:textId="77777777" w:rsidR="004323A9" w:rsidRDefault="00000000">
      <w:pPr>
        <w:pStyle w:val="Heading2"/>
      </w:pPr>
      <w:r>
        <w:t>Where ChargeGuard is genuinely different</w:t>
      </w:r>
    </w:p>
    <w:p w14:paraId="3739AC9D" w14:textId="77777777" w:rsidR="004323A9" w:rsidRDefault="00000000">
      <w:pPr>
        <w:pStyle w:val="ListParagraph"/>
        <w:numPr>
          <w:ilvl w:val="0"/>
          <w:numId w:val="1"/>
        </w:numPr>
        <w:spacing w:after="90" w:line="272" w:lineRule="auto"/>
      </w:pPr>
      <w:r>
        <w:rPr>
          <w:b/>
          <w:bCs/>
          <w:color w:val="0F172A"/>
        </w:rPr>
        <w:lastRenderedPageBreak/>
        <w:t xml:space="preserve">Recurrence is built in, not bolted on. </w:t>
      </w:r>
      <w:r>
        <w:t>The tier system and carry-forward dispositions answer new, seen-before, or already-declined on every finding. Most competitors leave that to a human reading a dashboard. Only VitalCDM and MDaudit have anything comparable, and neither presents it per finding the way ChargeGuard does.</w:t>
      </w:r>
    </w:p>
    <w:p w14:paraId="3739AC9E" w14:textId="77777777" w:rsidR="004323A9" w:rsidRDefault="00000000">
      <w:pPr>
        <w:pStyle w:val="ListParagraph"/>
        <w:numPr>
          <w:ilvl w:val="0"/>
          <w:numId w:val="1"/>
        </w:numPr>
        <w:spacing w:after="90" w:line="272" w:lineRule="auto"/>
      </w:pPr>
      <w:r>
        <w:rPr>
          <w:b/>
          <w:bCs/>
          <w:color w:val="0F172A"/>
        </w:rPr>
        <w:t xml:space="preserve">The approved-but-missing check. </w:t>
      </w:r>
      <w:r>
        <w:t>Marking an approved fix as pending EHR sync when it is absent from the next upload is close to unique. VitalCDM's import reconciliation is the only real peer, and Craneware handles it through daily PAS sync instead of a reconciliation report.</w:t>
      </w:r>
    </w:p>
    <w:p w14:paraId="3739AC9F" w14:textId="77777777" w:rsidR="004323A9" w:rsidRDefault="00000000">
      <w:pPr>
        <w:pStyle w:val="ListParagraph"/>
        <w:numPr>
          <w:ilvl w:val="0"/>
          <w:numId w:val="1"/>
        </w:numPr>
        <w:spacing w:after="90" w:line="272" w:lineRule="auto"/>
      </w:pPr>
      <w:r>
        <w:rPr>
          <w:b/>
          <w:bCs/>
          <w:color w:val="0F172A"/>
        </w:rPr>
        <w:t xml:space="preserve">Public transparency data for peer pricing. </w:t>
      </w:r>
      <w:r>
        <w:t xml:space="preserve">ChargeGuard benchmarks against </w:t>
      </w:r>
      <w:proofErr w:type="gramStart"/>
      <w:r>
        <w:t>hospitals'</w:t>
      </w:r>
      <w:proofErr w:type="gramEnd"/>
      <w:r>
        <w:t xml:space="preserve"> published machine-readable files. Craneware, VitalCDM, and FinThrive use licensed claims or SAF data. The public-file approach is cheaper to keep current and easy for a client to verify.</w:t>
      </w:r>
    </w:p>
    <w:p w14:paraId="3739ACA0" w14:textId="77777777" w:rsidR="004323A9" w:rsidRDefault="00000000">
      <w:pPr>
        <w:pStyle w:val="ListParagraph"/>
        <w:numPr>
          <w:ilvl w:val="0"/>
          <w:numId w:val="1"/>
        </w:numPr>
        <w:spacing w:after="90" w:line="272" w:lineRule="auto"/>
      </w:pPr>
      <w:r>
        <w:rPr>
          <w:b/>
          <w:bCs/>
          <w:color w:val="0F172A"/>
        </w:rPr>
        <w:t xml:space="preserve">Documentation-only Change Log entries. </w:t>
      </w:r>
      <w:r>
        <w:t xml:space="preserve">A reviewer can </w:t>
      </w:r>
      <w:proofErr w:type="gramStart"/>
      <w:r>
        <w:t>log</w:t>
      </w:r>
      <w:proofErr w:type="gramEnd"/>
      <w:r>
        <w:t xml:space="preserve"> a </w:t>
      </w:r>
      <w:proofErr w:type="gramStart"/>
      <w:r>
        <w:t>CDM</w:t>
      </w:r>
      <w:proofErr w:type="gramEnd"/>
      <w:r>
        <w:t xml:space="preserve"> change the tool did not flag, for the audit trail, without it polluting the analysis. That is a small thing the enterprise tools bury inside heavier change-request systems.</w:t>
      </w:r>
    </w:p>
    <w:p w14:paraId="3739ACA1" w14:textId="77777777" w:rsidR="004323A9" w:rsidRDefault="00000000">
      <w:pPr>
        <w:pStyle w:val="Heading2"/>
      </w:pPr>
      <w:r>
        <w:t>Where the competition is ahead</w:t>
      </w:r>
    </w:p>
    <w:p w14:paraId="3739ACA2" w14:textId="77777777" w:rsidR="004323A9" w:rsidRDefault="00000000">
      <w:pPr>
        <w:pStyle w:val="ListParagraph"/>
        <w:numPr>
          <w:ilvl w:val="0"/>
          <w:numId w:val="1"/>
        </w:numPr>
        <w:spacing w:after="90" w:line="272" w:lineRule="auto"/>
      </w:pPr>
      <w:r>
        <w:rPr>
          <w:b/>
          <w:bCs/>
          <w:color w:val="0F172A"/>
        </w:rPr>
        <w:t xml:space="preserve">Direct write-back to the EHR. </w:t>
      </w:r>
      <w:r>
        <w:t xml:space="preserve">Craneware's daily sync into Epic, Oracle Health, and Meditech is the clearest capability gap. ChargeGuard stops at an export and </w:t>
      </w:r>
      <w:proofErr w:type="gramStart"/>
      <w:r>
        <w:t>a reconcile</w:t>
      </w:r>
      <w:proofErr w:type="gramEnd"/>
      <w:r>
        <w:t>. If a client's main pain is the manual reload, this is the first thing they will ask about.</w:t>
      </w:r>
    </w:p>
    <w:p w14:paraId="3739ACA3" w14:textId="77777777" w:rsidR="004323A9" w:rsidRDefault="00000000">
      <w:pPr>
        <w:pStyle w:val="ListParagraph"/>
        <w:numPr>
          <w:ilvl w:val="0"/>
          <w:numId w:val="1"/>
        </w:numPr>
        <w:spacing w:after="90" w:line="272" w:lineRule="auto"/>
      </w:pPr>
      <w:r>
        <w:rPr>
          <w:b/>
          <w:bCs/>
          <w:color w:val="0F172A"/>
        </w:rPr>
        <w:t xml:space="preserve">Formal routing and sign-off. </w:t>
      </w:r>
      <w:r>
        <w:t>VitalCDM's named queues, approvals, and per-queue timers, and Craneware's interdepartmental routing, are more mature than ChargeGuard's disposition-plus-notes. Larger clients with several departments will expect assignment and an approval gate.</w:t>
      </w:r>
    </w:p>
    <w:p w14:paraId="3739ACA4" w14:textId="77777777" w:rsidR="004323A9" w:rsidRDefault="00000000">
      <w:pPr>
        <w:pStyle w:val="ListParagraph"/>
        <w:numPr>
          <w:ilvl w:val="0"/>
          <w:numId w:val="1"/>
        </w:numPr>
        <w:spacing w:after="90" w:line="272" w:lineRule="auto"/>
      </w:pPr>
      <w:r>
        <w:rPr>
          <w:b/>
          <w:bCs/>
          <w:color w:val="0F172A"/>
        </w:rPr>
        <w:t xml:space="preserve">Reference-data operations. </w:t>
      </w:r>
      <w:r>
        <w:t>Craneware runs a data team that pushes CMS, HCPCS, and CPT updates into the product continuously and ships features every two weeks. ChargeGuard automates reference refresh, but this is an area to keep investing in.</w:t>
      </w:r>
    </w:p>
    <w:p w14:paraId="3739ACA5" w14:textId="77777777" w:rsidR="004323A9" w:rsidRDefault="00000000">
      <w:pPr>
        <w:pStyle w:val="ListParagraph"/>
        <w:numPr>
          <w:ilvl w:val="0"/>
          <w:numId w:val="1"/>
        </w:numPr>
        <w:spacing w:after="90" w:line="272" w:lineRule="auto"/>
      </w:pPr>
      <w:r>
        <w:rPr>
          <w:b/>
          <w:bCs/>
          <w:color w:val="0F172A"/>
        </w:rPr>
        <w:t xml:space="preserve">An AI assistant. </w:t>
      </w:r>
      <w:r>
        <w:t>Trisus Assist and MDaudit's Auditor Assist answer coding and compliance questions in context. ChargeGuard has no equivalent yet.</w:t>
      </w:r>
    </w:p>
    <w:p w14:paraId="3739ACA6" w14:textId="77777777" w:rsidR="004323A9" w:rsidRDefault="00000000">
      <w:pPr>
        <w:pStyle w:val="Heading2"/>
      </w:pPr>
      <w:r>
        <w:t>What I would take from this</w:t>
      </w:r>
    </w:p>
    <w:p w14:paraId="3739ACA7" w14:textId="77777777" w:rsidR="004323A9" w:rsidRDefault="00000000">
      <w:pPr>
        <w:spacing w:after="140" w:line="276" w:lineRule="auto"/>
      </w:pPr>
      <w:r>
        <w:t xml:space="preserve">ChargeGuard's recurrence model and its approved-but-missing check are real differentiators, and they are exactly the parts of the workflow the </w:t>
      </w:r>
      <w:proofErr w:type="gramStart"/>
      <w:r>
        <w:t>competitors</w:t>
      </w:r>
      <w:proofErr w:type="gramEnd"/>
      <w:r>
        <w:t xml:space="preserve"> document least. The honest gap is write-back. A practical middle step, short of building live EHR integrations, is a clean, EHR-ready change file per system plus the reconciliation ChargeGuard already does, positioned as load-and-verify rather than manual re-entry. The routing and sign-off gap </w:t>
      </w:r>
      <w:proofErr w:type="gramStart"/>
      <w:r>
        <w:t>matters</w:t>
      </w:r>
      <w:proofErr w:type="gramEnd"/>
      <w:r>
        <w:t xml:space="preserve"> mainly for multi-department clients, and it is a smaller build than integration.</w:t>
      </w:r>
    </w:p>
    <w:p w14:paraId="3739ACA8" w14:textId="77777777" w:rsidR="004323A9" w:rsidRDefault="00000000">
      <w:pPr>
        <w:pStyle w:val="Heading2"/>
      </w:pPr>
      <w:r>
        <w:t>Sources</w:t>
      </w:r>
    </w:p>
    <w:p w14:paraId="3739ACA9" w14:textId="77777777" w:rsidR="004323A9" w:rsidRDefault="00000000">
      <w:pPr>
        <w:pStyle w:val="ListParagraph"/>
        <w:numPr>
          <w:ilvl w:val="0"/>
          <w:numId w:val="1"/>
        </w:numPr>
        <w:spacing w:after="90" w:line="272" w:lineRule="auto"/>
      </w:pPr>
      <w:r>
        <w:rPr>
          <w:sz w:val="17"/>
          <w:szCs w:val="17"/>
        </w:rPr>
        <w:t>Craneware Trisus Chargemaster product page and datasheet, thecranewaregroup.com/solutions/revenue/trisus-chargemaster.</w:t>
      </w:r>
    </w:p>
    <w:p w14:paraId="3739ACAA" w14:textId="77777777" w:rsidR="004323A9" w:rsidRDefault="00000000">
      <w:pPr>
        <w:pStyle w:val="ListParagraph"/>
        <w:numPr>
          <w:ilvl w:val="0"/>
          <w:numId w:val="1"/>
        </w:numPr>
        <w:spacing w:after="90" w:line="272" w:lineRule="auto"/>
      </w:pPr>
      <w:r>
        <w:rPr>
          <w:sz w:val="17"/>
          <w:szCs w:val="17"/>
        </w:rPr>
        <w:t>Craneware customer FAQ (change requests, PAS sync, audit trails, user tiers) and 2026 Best in KLAS infographic, thecranewaregroup.com.</w:t>
      </w:r>
    </w:p>
    <w:p w14:paraId="3739ACAB" w14:textId="77777777" w:rsidR="004323A9" w:rsidRDefault="00000000">
      <w:pPr>
        <w:pStyle w:val="ListParagraph"/>
        <w:numPr>
          <w:ilvl w:val="0"/>
          <w:numId w:val="1"/>
        </w:numPr>
        <w:spacing w:after="90" w:line="272" w:lineRule="auto"/>
      </w:pPr>
      <w:r>
        <w:rPr>
          <w:sz w:val="17"/>
          <w:szCs w:val="17"/>
        </w:rPr>
        <w:t>TechTarget, leading hospital chargemaster software products, competitor roundup with KLAS scores.</w:t>
      </w:r>
    </w:p>
    <w:p w14:paraId="3739ACAC" w14:textId="77777777" w:rsidR="004323A9" w:rsidRDefault="00000000">
      <w:pPr>
        <w:pStyle w:val="ListParagraph"/>
        <w:numPr>
          <w:ilvl w:val="0"/>
          <w:numId w:val="1"/>
        </w:numPr>
        <w:spacing w:after="90" w:line="272" w:lineRule="auto"/>
      </w:pPr>
      <w:r>
        <w:rPr>
          <w:sz w:val="17"/>
          <w:szCs w:val="17"/>
        </w:rPr>
        <w:t>Health Catalyst VitalCDM workflow and reconciliation docs, docs.healthcatalyst.com/vitalcdm. VitalWare sale to Med-Metrix, ir.healthcatalyst.com.</w:t>
      </w:r>
    </w:p>
    <w:p w14:paraId="3739ACAD" w14:textId="77777777" w:rsidR="004323A9" w:rsidRDefault="00000000">
      <w:pPr>
        <w:pStyle w:val="ListParagraph"/>
        <w:numPr>
          <w:ilvl w:val="0"/>
          <w:numId w:val="1"/>
        </w:numPr>
        <w:spacing w:after="90" w:line="272" w:lineRule="auto"/>
      </w:pPr>
      <w:r>
        <w:rPr>
          <w:sz w:val="17"/>
          <w:szCs w:val="17"/>
        </w:rPr>
        <w:t>FinThrive CDM Management, finthrive.com/solutions/revenue-integrity/cdm-management. nThrive to FinThrive rebrand (Clearlake).</w:t>
      </w:r>
    </w:p>
    <w:p w14:paraId="3739ACAE" w14:textId="77777777" w:rsidR="004323A9" w:rsidRDefault="00000000">
      <w:pPr>
        <w:pStyle w:val="ListParagraph"/>
        <w:numPr>
          <w:ilvl w:val="0"/>
          <w:numId w:val="1"/>
        </w:numPr>
        <w:spacing w:after="90" w:line="272" w:lineRule="auto"/>
      </w:pPr>
      <w:r>
        <w:rPr>
          <w:sz w:val="17"/>
          <w:szCs w:val="17"/>
        </w:rPr>
        <w:t>Optum ChargemasterExpert, optumcoding.com/chargemaster-solutions.</w:t>
      </w:r>
    </w:p>
    <w:p w14:paraId="3739ACAF" w14:textId="77777777" w:rsidR="004323A9" w:rsidRDefault="00000000">
      <w:pPr>
        <w:pStyle w:val="ListParagraph"/>
        <w:numPr>
          <w:ilvl w:val="0"/>
          <w:numId w:val="1"/>
        </w:numPr>
        <w:spacing w:after="90" w:line="272" w:lineRule="auto"/>
      </w:pPr>
      <w:r>
        <w:rPr>
          <w:sz w:val="17"/>
          <w:szCs w:val="17"/>
        </w:rPr>
        <w:lastRenderedPageBreak/>
        <w:t>Panacea ChargeAssist, panaceainc.com/chargeassist.</w:t>
      </w:r>
    </w:p>
    <w:p w14:paraId="3739ACB0" w14:textId="77777777" w:rsidR="004323A9" w:rsidRDefault="00000000">
      <w:pPr>
        <w:pStyle w:val="ListParagraph"/>
        <w:numPr>
          <w:ilvl w:val="0"/>
          <w:numId w:val="1"/>
        </w:numPr>
        <w:spacing w:after="90" w:line="272" w:lineRule="auto"/>
      </w:pPr>
      <w:r>
        <w:rPr>
          <w:sz w:val="17"/>
          <w:szCs w:val="17"/>
        </w:rPr>
        <w:t>MDaudit audit workflows and pre-bill products (eValuator, RevID); Auditor Assist launch 2026; Streamline acquisition 2025.</w:t>
      </w:r>
    </w:p>
    <w:p w14:paraId="3739ACB1" w14:textId="77777777" w:rsidR="004323A9" w:rsidRDefault="00000000">
      <w:pPr>
        <w:pStyle w:val="ListParagraph"/>
        <w:numPr>
          <w:ilvl w:val="0"/>
          <w:numId w:val="1"/>
        </w:numPr>
        <w:spacing w:after="90" w:line="272" w:lineRule="auto"/>
      </w:pPr>
      <w:r>
        <w:rPr>
          <w:sz w:val="17"/>
          <w:szCs w:val="17"/>
        </w:rPr>
        <w:t>TruBridge and IKS Health acquisition 2026; Evident item master user guide. Cleverley + Associates service pages.</w:t>
      </w:r>
    </w:p>
    <w:p w14:paraId="3739ACB2" w14:textId="77777777" w:rsidR="004323A9" w:rsidRDefault="004323A9">
      <w:pPr>
        <w:spacing w:after="140" w:line="276" w:lineRule="auto"/>
      </w:pPr>
    </w:p>
    <w:sectPr w:rsidR="004323A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911137"/>
    <w:multiLevelType w:val="hybridMultilevel"/>
    <w:tmpl w:val="4350A2FE"/>
    <w:lvl w:ilvl="0" w:tplc="7BB2D29E">
      <w:start w:val="1"/>
      <w:numFmt w:val="bullet"/>
      <w:lvlText w:val="●"/>
      <w:lvlJc w:val="left"/>
      <w:pPr>
        <w:ind w:left="720" w:hanging="360"/>
      </w:pPr>
    </w:lvl>
    <w:lvl w:ilvl="1" w:tplc="8364382C">
      <w:start w:val="1"/>
      <w:numFmt w:val="bullet"/>
      <w:lvlText w:val="○"/>
      <w:lvlJc w:val="left"/>
      <w:pPr>
        <w:ind w:left="1440" w:hanging="360"/>
      </w:pPr>
    </w:lvl>
    <w:lvl w:ilvl="2" w:tplc="4516DA94">
      <w:start w:val="1"/>
      <w:numFmt w:val="bullet"/>
      <w:lvlText w:val="■"/>
      <w:lvlJc w:val="left"/>
      <w:pPr>
        <w:ind w:left="2160" w:hanging="360"/>
      </w:pPr>
    </w:lvl>
    <w:lvl w:ilvl="3" w:tplc="D9669FD6">
      <w:start w:val="1"/>
      <w:numFmt w:val="bullet"/>
      <w:lvlText w:val="●"/>
      <w:lvlJc w:val="left"/>
      <w:pPr>
        <w:ind w:left="2880" w:hanging="360"/>
      </w:pPr>
    </w:lvl>
    <w:lvl w:ilvl="4" w:tplc="46D26CBA">
      <w:start w:val="1"/>
      <w:numFmt w:val="bullet"/>
      <w:lvlText w:val="○"/>
      <w:lvlJc w:val="left"/>
      <w:pPr>
        <w:ind w:left="3600" w:hanging="360"/>
      </w:pPr>
    </w:lvl>
    <w:lvl w:ilvl="5" w:tplc="B86EFE62">
      <w:start w:val="1"/>
      <w:numFmt w:val="bullet"/>
      <w:lvlText w:val="■"/>
      <w:lvlJc w:val="left"/>
      <w:pPr>
        <w:ind w:left="4320" w:hanging="360"/>
      </w:pPr>
    </w:lvl>
    <w:lvl w:ilvl="6" w:tplc="B064A1AC">
      <w:start w:val="1"/>
      <w:numFmt w:val="bullet"/>
      <w:lvlText w:val="●"/>
      <w:lvlJc w:val="left"/>
      <w:pPr>
        <w:ind w:left="5040" w:hanging="360"/>
      </w:pPr>
    </w:lvl>
    <w:lvl w:ilvl="7" w:tplc="C22CCA0E">
      <w:start w:val="1"/>
      <w:numFmt w:val="bullet"/>
      <w:lvlText w:val="●"/>
      <w:lvlJc w:val="left"/>
      <w:pPr>
        <w:ind w:left="5760" w:hanging="360"/>
      </w:pPr>
    </w:lvl>
    <w:lvl w:ilvl="8" w:tplc="04EE938A">
      <w:start w:val="1"/>
      <w:numFmt w:val="bullet"/>
      <w:lvlText w:val="●"/>
      <w:lvlJc w:val="left"/>
      <w:pPr>
        <w:ind w:left="6480" w:hanging="360"/>
      </w:pPr>
    </w:lvl>
  </w:abstractNum>
  <w:num w:numId="1" w16cid:durableId="2237635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3A9"/>
    <w:rsid w:val="004323A9"/>
    <w:rsid w:val="005B78EC"/>
    <w:rsid w:val="00D00723"/>
    <w:rsid w:val="00D418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9AC41"/>
  <w15:docId w15:val="{6A29D255-2808-4369-82D4-82B4D262A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75569"/>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260" w:after="120"/>
      <w:outlineLvl w:val="1"/>
    </w:pPr>
    <w:rPr>
      <w:b/>
      <w:bCs/>
      <w:color w:val="0F172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4138</TotalTime>
  <Pages>5</Pages>
  <Words>2133</Words>
  <Characters>12161</Characters>
  <Application>Microsoft Office Word</Application>
  <DocSecurity>0</DocSecurity>
  <Lines>101</Lines>
  <Paragraphs>28</Paragraphs>
  <ScaleCrop>false</ScaleCrop>
  <Company/>
  <LinksUpToDate>false</LinksUpToDate>
  <CharactersWithSpaces>14266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automated CDM review tools handle findings</dc:title>
  <dc:creator>Amelior</dc:creator>
  <cp:lastModifiedBy>kaylee rae</cp:lastModifiedBy>
  <cp:revision>3</cp:revision>
  <dcterms:created xsi:type="dcterms:W3CDTF">2026-09-18T14:30:00Z</dcterms:created>
  <dcterms:modified xsi:type="dcterms:W3CDTF">2026-09-21T14:42:00Z</dcterms:modified>
</cp:coreProperties>
</file>