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60507E"/>
          <w:sz w:val="40"/>
          <w:szCs w:val="40"/>
        </w:rPr>
        <w:t xml:space="preserve">CDM vs Peer Pricing: Deep Dive</w:t>
      </w:r>
    </w:p>
    <w:p>
      <w:pPr>
        <w:spacing w:after="140"/>
      </w:pPr>
      <w:r>
        <w:rPr>
          <w:rFonts w:ascii="Calibri" w:cs="Calibri" w:eastAsia="Calibri" w:hAnsi="Calibri"/>
          <w:i/>
          <w:iCs/>
          <w:color w:val="6b6d72"/>
          <w:sz w:val="22"/>
          <w:szCs w:val="22"/>
        </w:rPr>
        <w:t xml:space="preserve">Why one code can show $824 vs $81, why the two files are shaped differently, and how to get a real 1-to-1 comparison. Files reviewed: your chargemaster (8,080 lines) and Mercy St. Francis (625,735 rows).</w:t>
      </w:r>
    </w:p>
    <w:p>
      <w:pPr>
        <w:pStyle w:val="Heading2"/>
        <w:spacing w:after="80" w:before="240"/>
      </w:pPr>
      <w:r>
        <w:rPr>
          <w:rFonts w:ascii="Calibri" w:cs="Calibri" w:eastAsia="Calibri" w:hAnsi="Calibri"/>
          <w:b/>
          <w:bCs/>
          <w:color w:val="60507E"/>
          <w:sz w:val="28"/>
          <w:szCs w:val="28"/>
        </w:rPr>
        <w:t xml:space="preserve">The short answer</w:t>
      </w:r>
    </w:p>
    <w:p>
      <w:pPr>
        <w:spacing w:after="120"/>
      </w:pPr>
      <w:r>
        <w:rPr>
          <w:rFonts w:ascii="Calibri" w:cs="Calibri" w:eastAsia="Calibri" w:hAnsi="Calibri"/>
          <w:color w:val="333333"/>
          <w:sz w:val="22"/>
          <w:szCs w:val="22"/>
        </w:rPr>
        <w:t xml:space="preserve">The $824 vs $81 is correct, and it is not a peer-data problem. It is a coding problem inside your own chargemaster. The two files are built in fundamentally different shapes, so you cannot just match on the code and read off a price. About half of the shared codes line up cleanly, and the other half need a smarter match. Here is the whole picture.</w:t>
      </w:r>
    </w:p>
    <w:p>
      <w:pPr>
        <w:pStyle w:val="Heading2"/>
        <w:spacing w:after="80" w:before="240"/>
      </w:pPr>
      <w:r>
        <w:rPr>
          <w:rFonts w:ascii="Calibri" w:cs="Calibri" w:eastAsia="Calibri" w:hAnsi="Calibri"/>
          <w:b/>
          <w:bCs/>
          <w:color w:val="60507E"/>
          <w:sz w:val="28"/>
          <w:szCs w:val="28"/>
        </w:rPr>
        <w:t xml:space="preserve">The two files are shaped differently</w:t>
      </w:r>
    </w:p>
    <w:p>
      <w:pPr>
        <w:spacing w:after="120"/>
      </w:pPr>
      <w:r>
        <w:rPr>
          <w:rFonts w:ascii="Calibri" w:cs="Calibri" w:eastAsia="Calibri" w:hAnsi="Calibri"/>
          <w:b/>
          <w:bCs/>
          <w:color w:val="333333"/>
          <w:sz w:val="22"/>
          <w:szCs w:val="22"/>
        </w:rPr>
        <w:t xml:space="preserve">Peer file (Mercy), </w:t>
      </w:r>
      <w:r>
        <w:rPr>
          <w:rFonts w:ascii="Calibri" w:cs="Calibri" w:eastAsia="Calibri" w:hAnsi="Calibri"/>
          <w:color w:val="333333"/>
          <w:sz w:val="22"/>
          <w:szCs w:val="22"/>
        </w:rPr>
        <w:t xml:space="preserve">payer-tall. One service is listed once per payer and plan. So a single test can show up on dozens or hundreds of rows. The gross charge is usually the same on all of them, and only the negotiated rate changes by payer. For code 86631, Mercy has 348 rows, and the gross is $81 on every single one. Those extra rows are payers, not extra services.</w:t>
      </w:r>
    </w:p>
    <w:p>
      <w:pPr>
        <w:spacing w:after="120"/>
      </w:pPr>
      <w:r>
        <w:rPr>
          <w:rFonts w:ascii="Calibri" w:cs="Calibri" w:eastAsia="Calibri" w:hAnsi="Calibri"/>
          <w:b/>
          <w:bCs/>
          <w:color w:val="333333"/>
          <w:sz w:val="22"/>
          <w:szCs w:val="22"/>
        </w:rPr>
        <w:t xml:space="preserve">Your CDM (Hoag), </w:t>
      </w:r>
      <w:r>
        <w:rPr>
          <w:rFonts w:ascii="Calibri" w:cs="Calibri" w:eastAsia="Calibri" w:hAnsi="Calibri"/>
          <w:color w:val="333333"/>
          <w:sz w:val="22"/>
          <w:szCs w:val="22"/>
        </w:rPr>
        <w:t xml:space="preserve">line-level. One row per charge item. The catch is that the same CPT code gets reused across different services. Code 86631 sits on three different lab lines at three different prices. This is common in your file, not a one-off.</w:t>
      </w:r>
    </w:p>
    <w:p>
      <w:pPr>
        <w:pStyle w:val="Heading2"/>
        <w:spacing w:after="80" w:before="240"/>
      </w:pPr>
      <w:r>
        <w:rPr>
          <w:rFonts w:ascii="Calibri" w:cs="Calibri" w:eastAsia="Calibri" w:hAnsi="Calibri"/>
          <w:b/>
          <w:bCs/>
          <w:color w:val="60507E"/>
          <w:sz w:val="28"/>
          <w:szCs w:val="28"/>
        </w:rPr>
        <w:t xml:space="preserve">Worked example: code 86631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1200"/>
        <w:gridCol w:w="3060"/>
      </w:tblGrid>
      <w:tr>
        <w:tc>
          <w:tcPr>
            <w:tcW w:type="dxa" w:w="1500"/>
            <w:shd w:fill="60507E" w:color="auto" w:val="clear"/>
          </w:tcPr>
          <w:p>
            <w:pPr>
              <w:jc w:val="left"/>
            </w:pPr>
            <w:r>
              <w:rPr>
                <w:rFonts w:ascii="Calibri" w:cs="Calibri" w:eastAsia="Calibri" w:hAnsi="Calibri"/>
                <w:b/>
                <w:bCs/>
                <w:color w:val="FFFFFF"/>
                <w:sz w:val="20"/>
                <w:szCs w:val="20"/>
              </w:rPr>
              <w:t xml:space="preserve">Source</w:t>
            </w:r>
          </w:p>
        </w:tc>
        <w:tc>
          <w:tcPr>
            <w:tcW w:type="dxa" w:w="3600"/>
            <w:shd w:fill="60507E" w:color="auto" w:val="clear"/>
          </w:tcPr>
          <w:p>
            <w:pPr>
              <w:jc w:val="center"/>
            </w:pPr>
            <w:r>
              <w:rPr>
                <w:rFonts w:ascii="Calibri" w:cs="Calibri" w:eastAsia="Calibri" w:hAnsi="Calibri"/>
                <w:b/>
                <w:bCs/>
                <w:color w:val="FFFFFF"/>
                <w:sz w:val="20"/>
                <w:szCs w:val="20"/>
              </w:rPr>
              <w:t xml:space="preserve">Line / description</w:t>
            </w:r>
          </w:p>
        </w:tc>
        <w:tc>
          <w:tcPr>
            <w:tcW w:type="dxa" w:w="1200"/>
            <w:shd w:fill="60507E" w:color="auto" w:val="clear"/>
          </w:tcPr>
          <w:p>
            <w:pPr>
              <w:jc w:val="center"/>
            </w:pPr>
            <w:r>
              <w:rPr>
                <w:rFonts w:ascii="Calibri" w:cs="Calibri" w:eastAsia="Calibri" w:hAnsi="Calibri"/>
                <w:b/>
                <w:bCs/>
                <w:color w:val="FFFFFF"/>
                <w:sz w:val="20"/>
                <w:szCs w:val="20"/>
              </w:rPr>
              <w:t xml:space="preserve">Gross</w:t>
            </w:r>
          </w:p>
        </w:tc>
        <w:tc>
          <w:tcPr>
            <w:tcW w:type="dxa" w:w="3060"/>
            <w:shd w:fill="60507E" w:color="auto" w:val="clear"/>
          </w:tcPr>
          <w:p>
            <w:pPr>
              <w:jc w:val="center"/>
            </w:pPr>
            <w:r>
              <w:rPr>
                <w:rFonts w:ascii="Calibri" w:cs="Calibri" w:eastAsia="Calibri" w:hAnsi="Calibri"/>
                <w:b/>
                <w:bCs/>
                <w:color w:val="FFFFFF"/>
                <w:sz w:val="20"/>
                <w:szCs w:val="20"/>
              </w:rPr>
              <w:t xml:space="preserve">What it really is</w:t>
            </w:r>
          </w:p>
        </w:tc>
      </w:tr>
      <w:tr>
        <w:tc>
          <w:tcPr>
            <w:tcW w:type="dxa" w:w="1500"/>
          </w:tcPr>
          <w:p>
            <w:pPr>
              <w:jc w:val="left"/>
            </w:pPr>
            <w:r>
              <w:rPr>
                <w:rFonts w:ascii="Calibri" w:cs="Calibri" w:eastAsia="Calibri" w:hAnsi="Calibri"/>
                <w:b w:val="false"/>
                <w:bCs w:val="false"/>
                <w:color w:val="333333"/>
                <w:sz w:val="20"/>
                <w:szCs w:val="20"/>
              </w:rPr>
              <w:t xml:space="preserve">Your CDM</w:t>
            </w:r>
          </w:p>
        </w:tc>
        <w:tc>
          <w:tcPr>
            <w:tcW w:type="dxa" w:w="3600"/>
          </w:tcPr>
          <w:p>
            <w:pPr>
              <w:jc w:val="center"/>
            </w:pPr>
            <w:r>
              <w:rPr>
                <w:rFonts w:ascii="Calibri" w:cs="Calibri" w:eastAsia="Calibri" w:hAnsi="Calibri"/>
                <w:b w:val="false"/>
                <w:bCs w:val="false"/>
                <w:color w:val="333333"/>
                <w:sz w:val="20"/>
                <w:szCs w:val="20"/>
              </w:rPr>
              <w:t xml:space="preserve">Chlamydia Antibo IgG</w:t>
            </w:r>
          </w:p>
        </w:tc>
        <w:tc>
          <w:tcPr>
            <w:tcW w:type="dxa" w:w="1200"/>
          </w:tcPr>
          <w:p>
            <w:pPr>
              <w:jc w:val="center"/>
            </w:pPr>
            <w:r>
              <w:rPr>
                <w:rFonts w:ascii="Calibri" w:cs="Calibri" w:eastAsia="Calibri" w:hAnsi="Calibri"/>
                <w:b w:val="false"/>
                <w:bCs w:val="false"/>
                <w:color w:val="333333"/>
                <w:sz w:val="20"/>
                <w:szCs w:val="20"/>
              </w:rPr>
              <w:t xml:space="preserve">$110</w:t>
            </w:r>
          </w:p>
        </w:tc>
        <w:tc>
          <w:tcPr>
            <w:tcW w:type="dxa" w:w="3060"/>
          </w:tcPr>
          <w:p>
            <w:pPr>
              <w:jc w:val="center"/>
            </w:pPr>
            <w:r>
              <w:rPr>
                <w:rFonts w:ascii="Calibri" w:cs="Calibri" w:eastAsia="Calibri" w:hAnsi="Calibri"/>
                <w:b w:val="false"/>
                <w:bCs w:val="false"/>
                <w:color w:val="333333"/>
                <w:sz w:val="20"/>
                <w:szCs w:val="20"/>
              </w:rPr>
              <w:t xml:space="preserve">The true 86631 (single IgG)</w:t>
            </w:r>
          </w:p>
        </w:tc>
      </w:tr>
      <w:tr>
        <w:tc>
          <w:tcPr>
            <w:tcW w:type="dxa" w:w="1500"/>
            <w:shd w:fill="F3F1F7" w:color="auto" w:val="clear"/>
          </w:tcPr>
          <w:p>
            <w:pPr>
              <w:jc w:val="left"/>
            </w:pPr>
            <w:r>
              <w:rPr>
                <w:rFonts w:ascii="Calibri" w:cs="Calibri" w:eastAsia="Calibri" w:hAnsi="Calibri"/>
                <w:b w:val="false"/>
                <w:bCs w:val="false"/>
                <w:color w:val="333333"/>
                <w:sz w:val="20"/>
                <w:szCs w:val="20"/>
              </w:rPr>
              <w:t xml:space="preserve">Your CDM</w:t>
            </w:r>
          </w:p>
        </w:tc>
        <w:tc>
          <w:tcPr>
            <w:tcW w:type="dxa" w:w="3600"/>
            <w:shd w:fill="F3F1F7" w:color="auto" w:val="clear"/>
          </w:tcPr>
          <w:p>
            <w:pPr>
              <w:jc w:val="center"/>
            </w:pPr>
            <w:r>
              <w:rPr>
                <w:rFonts w:ascii="Calibri" w:cs="Calibri" w:eastAsia="Calibri" w:hAnsi="Calibri"/>
                <w:b w:val="false"/>
                <w:bCs w:val="false"/>
                <w:color w:val="333333"/>
                <w:sz w:val="20"/>
                <w:szCs w:val="20"/>
              </w:rPr>
              <w:t xml:space="preserve">Chlamydia Anti-IgM</w:t>
            </w:r>
          </w:p>
        </w:tc>
        <w:tc>
          <w:tcPr>
            <w:tcW w:type="dxa" w:w="1200"/>
            <w:shd w:fill="F3F1F7" w:color="auto" w:val="clear"/>
          </w:tcPr>
          <w:p>
            <w:pPr>
              <w:jc w:val="center"/>
            </w:pPr>
            <w:r>
              <w:rPr>
                <w:rFonts w:ascii="Calibri" w:cs="Calibri" w:eastAsia="Calibri" w:hAnsi="Calibri"/>
                <w:b w:val="false"/>
                <w:bCs w:val="false"/>
                <w:color w:val="333333"/>
                <w:sz w:val="20"/>
                <w:szCs w:val="20"/>
              </w:rPr>
              <w:t xml:space="preserve">$179.20</w:t>
            </w:r>
          </w:p>
        </w:tc>
        <w:tc>
          <w:tcPr>
            <w:tcW w:type="dxa" w:w="3060"/>
            <w:shd w:fill="F3F1F7" w:color="auto" w:val="clear"/>
          </w:tcPr>
          <w:p>
            <w:pPr>
              <w:jc w:val="center"/>
            </w:pPr>
            <w:r>
              <w:rPr>
                <w:rFonts w:ascii="Calibri" w:cs="Calibri" w:eastAsia="Calibri" w:hAnsi="Calibri"/>
                <w:b w:val="false"/>
                <w:bCs w:val="false"/>
                <w:color w:val="333333"/>
                <w:sz w:val="20"/>
                <w:szCs w:val="20"/>
              </w:rPr>
              <w:t xml:space="preserve">An IgM test (should be 86632)</w:t>
            </w:r>
          </w:p>
        </w:tc>
      </w:tr>
      <w:tr>
        <w:tc>
          <w:tcPr>
            <w:tcW w:type="dxa" w:w="1500"/>
          </w:tcPr>
          <w:p>
            <w:pPr>
              <w:jc w:val="left"/>
            </w:pPr>
            <w:r>
              <w:rPr>
                <w:rFonts w:ascii="Calibri" w:cs="Calibri" w:eastAsia="Calibri" w:hAnsi="Calibri"/>
                <w:b w:val="false"/>
                <w:bCs w:val="false"/>
                <w:color w:val="333333"/>
                <w:sz w:val="20"/>
                <w:szCs w:val="20"/>
              </w:rPr>
              <w:t xml:space="preserve">Your CDM</w:t>
            </w:r>
          </w:p>
        </w:tc>
        <w:tc>
          <w:tcPr>
            <w:tcW w:type="dxa" w:w="3600"/>
          </w:tcPr>
          <w:p>
            <w:pPr>
              <w:jc w:val="center"/>
            </w:pPr>
            <w:r>
              <w:rPr>
                <w:rFonts w:ascii="Calibri" w:cs="Calibri" w:eastAsia="Calibri" w:hAnsi="Calibri"/>
                <w:b w:val="false"/>
                <w:bCs w:val="false"/>
                <w:color w:val="333333"/>
                <w:sz w:val="20"/>
                <w:szCs w:val="20"/>
              </w:rPr>
              <w:t xml:space="preserve">Chlamydia Pneumoniae, IgG, IgM, IgA</w:t>
            </w:r>
          </w:p>
        </w:tc>
        <w:tc>
          <w:tcPr>
            <w:tcW w:type="dxa" w:w="1200"/>
          </w:tcPr>
          <w:p>
            <w:pPr>
              <w:jc w:val="center"/>
            </w:pPr>
            <w:r>
              <w:rPr>
                <w:rFonts w:ascii="Calibri" w:cs="Calibri" w:eastAsia="Calibri" w:hAnsi="Calibri"/>
                <w:b w:val="false"/>
                <w:bCs w:val="false"/>
                <w:color w:val="333333"/>
                <w:sz w:val="20"/>
                <w:szCs w:val="20"/>
              </w:rPr>
              <w:t xml:space="preserve">$823.60</w:t>
            </w:r>
          </w:p>
        </w:tc>
        <w:tc>
          <w:tcPr>
            <w:tcW w:type="dxa" w:w="3060"/>
          </w:tcPr>
          <w:p>
            <w:pPr>
              <w:jc w:val="center"/>
            </w:pPr>
            <w:r>
              <w:rPr>
                <w:rFonts w:ascii="Calibri" w:cs="Calibri" w:eastAsia="Calibri" w:hAnsi="Calibri"/>
                <w:b w:val="false"/>
                <w:bCs w:val="false"/>
                <w:color w:val="333333"/>
                <w:sz w:val="20"/>
                <w:szCs w:val="20"/>
              </w:rPr>
              <w:t xml:space="preserve">A 3-part panel jammed under one code</w:t>
            </w:r>
          </w:p>
        </w:tc>
      </w:tr>
      <w:tr>
        <w:tc>
          <w:tcPr>
            <w:tcW w:type="dxa" w:w="1500"/>
            <w:shd w:fill="F3F1F7" w:color="auto" w:val="clear"/>
          </w:tcPr>
          <w:p>
            <w:pPr>
              <w:jc w:val="left"/>
            </w:pPr>
            <w:r>
              <w:rPr>
                <w:rFonts w:ascii="Calibri" w:cs="Calibri" w:eastAsia="Calibri" w:hAnsi="Calibri"/>
                <w:b w:val="false"/>
                <w:bCs w:val="false"/>
                <w:color w:val="333333"/>
                <w:sz w:val="20"/>
                <w:szCs w:val="20"/>
              </w:rPr>
              <w:t xml:space="preserve">Mercy</w:t>
            </w:r>
          </w:p>
        </w:tc>
        <w:tc>
          <w:tcPr>
            <w:tcW w:type="dxa" w:w="3600"/>
            <w:shd w:fill="F3F1F7" w:color="auto" w:val="clear"/>
          </w:tcPr>
          <w:p>
            <w:pPr>
              <w:jc w:val="center"/>
            </w:pPr>
            <w:r>
              <w:rPr>
                <w:rFonts w:ascii="Calibri" w:cs="Calibri" w:eastAsia="Calibri" w:hAnsi="Calibri"/>
                <w:b w:val="false"/>
                <w:bCs w:val="false"/>
                <w:color w:val="333333"/>
                <w:sz w:val="20"/>
                <w:szCs w:val="20"/>
              </w:rPr>
              <w:t xml:space="preserve">Chlam. Spec-Pneumoniae-IgG</w:t>
            </w:r>
          </w:p>
        </w:tc>
        <w:tc>
          <w:tcPr>
            <w:tcW w:type="dxa" w:w="1200"/>
            <w:shd w:fill="F3F1F7" w:color="auto" w:val="clear"/>
          </w:tcPr>
          <w:p>
            <w:pPr>
              <w:jc w:val="center"/>
            </w:pPr>
            <w:r>
              <w:rPr>
                <w:rFonts w:ascii="Calibri" w:cs="Calibri" w:eastAsia="Calibri" w:hAnsi="Calibri"/>
                <w:b w:val="false"/>
                <w:bCs w:val="false"/>
                <w:color w:val="333333"/>
                <w:sz w:val="20"/>
                <w:szCs w:val="20"/>
              </w:rPr>
              <w:t xml:space="preserve">$81</w:t>
            </w:r>
          </w:p>
        </w:tc>
        <w:tc>
          <w:tcPr>
            <w:tcW w:type="dxa" w:w="3060"/>
            <w:shd w:fill="F3F1F7" w:color="auto" w:val="clear"/>
          </w:tcPr>
          <w:p>
            <w:pPr>
              <w:jc w:val="center"/>
            </w:pPr>
            <w:r>
              <w:rPr>
                <w:rFonts w:ascii="Calibri" w:cs="Calibri" w:eastAsia="Calibri" w:hAnsi="Calibri"/>
                <w:b w:val="false"/>
                <w:bCs w:val="false"/>
                <w:color w:val="333333"/>
                <w:sz w:val="20"/>
                <w:szCs w:val="20"/>
              </w:rPr>
              <w:t xml:space="preserve">Single IgG, matches 86631</w:t>
            </w:r>
          </w:p>
        </w:tc>
      </w:tr>
    </w:tbl>
    <w:p>
      <w:pPr>
        <w:spacing w:after="120"/>
      </w:pPr>
      <w:r>
        <w:rPr>
          <w:rFonts w:ascii="Calibri" w:cs="Calibri" w:eastAsia="Calibri" w:hAnsi="Calibri"/>
          <w:color w:val="333333"/>
          <w:sz w:val="22"/>
          <w:szCs w:val="22"/>
        </w:rPr>
        <w:t xml:space="preserve">Read the table and the story is clear. The line that actually matches 86631 is your $110 IgG test, and $110 vs $81 is a sane, defensible comparison. The $823.60 line is a three-analyte panel that was coded to a single-antibody CPT, so comparing it to Mercy's $81 makes it look like a 10x overprice when the real issue is the coding. The tool was right to surface it, it just needs to label it as a coding catch, not a price outlier.</w:t>
      </w:r>
    </w:p>
    <w:p>
      <w:pPr>
        <w:pStyle w:val="Heading2"/>
        <w:spacing w:after="80" w:before="240"/>
      </w:pPr>
      <w:r>
        <w:rPr>
          <w:rFonts w:ascii="Calibri" w:cs="Calibri" w:eastAsia="Calibri" w:hAnsi="Calibri"/>
          <w:b/>
          <w:bCs/>
          <w:color w:val="60507E"/>
          <w:sz w:val="28"/>
          <w:szCs w:val="28"/>
        </w:rPr>
        <w:t xml:space="preserve">How big is this, in your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00"/>
        <w:gridCol w:w="2200"/>
        <w:gridCol w:w="2260"/>
      </w:tblGrid>
      <w:tr>
        <w:tc>
          <w:tcPr>
            <w:tcW w:type="dxa" w:w="4900"/>
            <w:shd w:fill="60507E" w:color="auto" w:val="clear"/>
          </w:tcPr>
          <w:p>
            <w:pPr>
              <w:jc w:val="left"/>
            </w:pPr>
            <w:r>
              <w:rPr>
                <w:rFonts w:ascii="Calibri" w:cs="Calibri" w:eastAsia="Calibri" w:hAnsi="Calibri"/>
                <w:b/>
                <w:bCs/>
                <w:color w:val="FFFFFF"/>
                <w:sz w:val="20"/>
                <w:szCs w:val="20"/>
              </w:rPr>
              <w:t xml:space="preserve">Measure</w:t>
            </w:r>
          </w:p>
        </w:tc>
        <w:tc>
          <w:tcPr>
            <w:tcW w:type="dxa" w:w="2200"/>
            <w:shd w:fill="60507E" w:color="auto" w:val="clear"/>
          </w:tcPr>
          <w:p>
            <w:pPr>
              <w:jc w:val="center"/>
            </w:pPr>
            <w:r>
              <w:rPr>
                <w:rFonts w:ascii="Calibri" w:cs="Calibri" w:eastAsia="Calibri" w:hAnsi="Calibri"/>
                <w:b/>
                <w:bCs/>
                <w:color w:val="FFFFFF"/>
                <w:sz w:val="20"/>
                <w:szCs w:val="20"/>
              </w:rPr>
              <w:t xml:space="preserve">Count</w:t>
            </w:r>
          </w:p>
        </w:tc>
        <w:tc>
          <w:tcPr>
            <w:tcW w:type="dxa" w:w="2260"/>
            <w:shd w:fill="60507E" w:color="auto" w:val="clear"/>
          </w:tcPr>
          <w:p>
            <w:pPr>
              <w:jc w:val="center"/>
            </w:pPr>
            <w:r>
              <w:rPr>
                <w:rFonts w:ascii="Calibri" w:cs="Calibri" w:eastAsia="Calibri" w:hAnsi="Calibri"/>
                <w:b/>
                <w:bCs/>
                <w:color w:val="FFFFFF"/>
                <w:sz w:val="20"/>
                <w:szCs w:val="20"/>
              </w:rPr>
              <w:t xml:space="preserve">Share</w:t>
            </w:r>
          </w:p>
        </w:tc>
      </w:tr>
      <w:tr>
        <w:tc>
          <w:tcPr>
            <w:tcW w:type="dxa" w:w="4900"/>
          </w:tcPr>
          <w:p>
            <w:pPr>
              <w:jc w:val="left"/>
            </w:pPr>
            <w:r>
              <w:rPr>
                <w:rFonts w:ascii="Calibri" w:cs="Calibri" w:eastAsia="Calibri" w:hAnsi="Calibri"/>
                <w:b w:val="false"/>
                <w:bCs w:val="false"/>
                <w:color w:val="333333"/>
                <w:sz w:val="20"/>
                <w:szCs w:val="20"/>
              </w:rPr>
              <w:t xml:space="preserve">Codes shared by both files</w:t>
            </w:r>
          </w:p>
        </w:tc>
        <w:tc>
          <w:tcPr>
            <w:tcW w:type="dxa" w:w="2200"/>
          </w:tcPr>
          <w:p>
            <w:pPr>
              <w:jc w:val="center"/>
            </w:pPr>
            <w:r>
              <w:rPr>
                <w:rFonts w:ascii="Calibri" w:cs="Calibri" w:eastAsia="Calibri" w:hAnsi="Calibri"/>
                <w:b w:val="false"/>
                <w:bCs w:val="false"/>
                <w:color w:val="333333"/>
                <w:sz w:val="20"/>
                <w:szCs w:val="20"/>
              </w:rPr>
              <w:t xml:space="preserve">1,356</w:t>
            </w:r>
          </w:p>
        </w:tc>
        <w:tc>
          <w:tcPr>
            <w:tcW w:type="dxa" w:w="2260"/>
          </w:tcPr>
          <w:p>
            <w:pPr>
              <w:jc w:val="center"/>
            </w:pPr>
            <w:r>
              <w:rPr>
                <w:rFonts w:ascii="Calibri" w:cs="Calibri" w:eastAsia="Calibri" w:hAnsi="Calibri"/>
                <w:b w:val="false"/>
                <w:bCs w:val="false"/>
                <w:color w:val="333333"/>
                <w:sz w:val="20"/>
                <w:szCs w:val="20"/>
              </w:rPr>
              <w:t xml:space="preserve">of comparable codes</w:t>
            </w:r>
          </w:p>
        </w:tc>
      </w:tr>
      <w:tr>
        <w:tc>
          <w:tcPr>
            <w:tcW w:type="dxa" w:w="4900"/>
            <w:shd w:fill="F3F1F7" w:color="auto" w:val="clear"/>
          </w:tcPr>
          <w:p>
            <w:pPr>
              <w:jc w:val="left"/>
            </w:pPr>
            <w:r>
              <w:rPr>
                <w:rFonts w:ascii="Calibri" w:cs="Calibri" w:eastAsia="Calibri" w:hAnsi="Calibri"/>
                <w:b w:val="false"/>
                <w:bCs w:val="false"/>
                <w:color w:val="333333"/>
                <w:sz w:val="20"/>
                <w:szCs w:val="20"/>
              </w:rPr>
              <w:t xml:space="preserve">Clean 1-to-1 (one CDM line vs one peer gross)</w:t>
            </w:r>
          </w:p>
        </w:tc>
        <w:tc>
          <w:tcPr>
            <w:tcW w:type="dxa" w:w="2200"/>
            <w:shd w:fill="F3F1F7" w:color="auto" w:val="clear"/>
          </w:tcPr>
          <w:p>
            <w:pPr>
              <w:jc w:val="center"/>
            </w:pPr>
            <w:r>
              <w:rPr>
                <w:rFonts w:ascii="Calibri" w:cs="Calibri" w:eastAsia="Calibri" w:hAnsi="Calibri"/>
                <w:b w:val="false"/>
                <w:bCs w:val="false"/>
                <w:color w:val="333333"/>
                <w:sz w:val="20"/>
                <w:szCs w:val="20"/>
              </w:rPr>
              <w:t xml:space="preserve">628</w:t>
            </w:r>
          </w:p>
        </w:tc>
        <w:tc>
          <w:tcPr>
            <w:tcW w:type="dxa" w:w="2260"/>
            <w:shd w:fill="F3F1F7" w:color="auto" w:val="clear"/>
          </w:tcPr>
          <w:p>
            <w:pPr>
              <w:jc w:val="center"/>
            </w:pPr>
            <w:r>
              <w:rPr>
                <w:rFonts w:ascii="Calibri" w:cs="Calibri" w:eastAsia="Calibri" w:hAnsi="Calibri"/>
                <w:b w:val="false"/>
                <w:bCs w:val="false"/>
                <w:color w:val="333333"/>
                <w:sz w:val="20"/>
                <w:szCs w:val="20"/>
              </w:rPr>
              <w:t xml:space="preserve">46%</w:t>
            </w:r>
          </w:p>
        </w:tc>
      </w:tr>
      <w:tr>
        <w:tc>
          <w:tcPr>
            <w:tcW w:type="dxa" w:w="4900"/>
          </w:tcPr>
          <w:p>
            <w:pPr>
              <w:jc w:val="left"/>
            </w:pPr>
            <w:r>
              <w:rPr>
                <w:rFonts w:ascii="Calibri" w:cs="Calibri" w:eastAsia="Calibri" w:hAnsi="Calibri"/>
                <w:b w:val="false"/>
                <w:bCs w:val="false"/>
                <w:color w:val="333333"/>
                <w:sz w:val="20"/>
                <w:szCs w:val="20"/>
              </w:rPr>
              <w:t xml:space="preserve">Your code on multiple CDM lines (ambiguous)</w:t>
            </w:r>
          </w:p>
        </w:tc>
        <w:tc>
          <w:tcPr>
            <w:tcW w:type="dxa" w:w="2200"/>
          </w:tcPr>
          <w:p>
            <w:pPr>
              <w:jc w:val="center"/>
            </w:pPr>
            <w:r>
              <w:rPr>
                <w:rFonts w:ascii="Calibri" w:cs="Calibri" w:eastAsia="Calibri" w:hAnsi="Calibri"/>
                <w:b w:val="false"/>
                <w:bCs w:val="false"/>
                <w:color w:val="333333"/>
                <w:sz w:val="20"/>
                <w:szCs w:val="20"/>
              </w:rPr>
              <w:t xml:space="preserve">728</w:t>
            </w:r>
          </w:p>
        </w:tc>
        <w:tc>
          <w:tcPr>
            <w:tcW w:type="dxa" w:w="2260"/>
          </w:tcPr>
          <w:p>
            <w:pPr>
              <w:jc w:val="center"/>
            </w:pPr>
            <w:r>
              <w:rPr>
                <w:rFonts w:ascii="Calibri" w:cs="Calibri" w:eastAsia="Calibri" w:hAnsi="Calibri"/>
                <w:b w:val="false"/>
                <w:bCs w:val="false"/>
                <w:color w:val="333333"/>
                <w:sz w:val="20"/>
                <w:szCs w:val="20"/>
              </w:rPr>
              <w:t xml:space="preserve">54%</w:t>
            </w:r>
          </w:p>
        </w:tc>
      </w:tr>
      <w:tr>
        <w:tc>
          <w:tcPr>
            <w:tcW w:type="dxa" w:w="4900"/>
            <w:shd w:fill="F3F1F7" w:color="auto" w:val="clear"/>
          </w:tcPr>
          <w:p>
            <w:pPr>
              <w:jc w:val="left"/>
            </w:pPr>
            <w:r>
              <w:rPr>
                <w:rFonts w:ascii="Calibri" w:cs="Calibri" w:eastAsia="Calibri" w:hAnsi="Calibri"/>
                <w:b w:val="false"/>
                <w:bCs w:val="false"/>
                <w:color w:val="333333"/>
                <w:sz w:val="20"/>
                <w:szCs w:val="20"/>
              </w:rPr>
              <w:t xml:space="preserve">Peer lists more than one gross for a code</w:t>
            </w:r>
          </w:p>
        </w:tc>
        <w:tc>
          <w:tcPr>
            <w:tcW w:type="dxa" w:w="2200"/>
            <w:shd w:fill="F3F1F7" w:color="auto" w:val="clear"/>
          </w:tcPr>
          <w:p>
            <w:pPr>
              <w:jc w:val="center"/>
            </w:pPr>
            <w:r>
              <w:rPr>
                <w:rFonts w:ascii="Calibri" w:cs="Calibri" w:eastAsia="Calibri" w:hAnsi="Calibri"/>
                <w:b w:val="false"/>
                <w:bCs w:val="false"/>
                <w:color w:val="333333"/>
                <w:sz w:val="20"/>
                <w:szCs w:val="20"/>
              </w:rPr>
              <w:t xml:space="preserve">365</w:t>
            </w:r>
          </w:p>
        </w:tc>
        <w:tc>
          <w:tcPr>
            <w:tcW w:type="dxa" w:w="2260"/>
            <w:shd w:fill="F3F1F7" w:color="auto" w:val="clear"/>
          </w:tcPr>
          <w:p>
            <w:pPr>
              <w:jc w:val="center"/>
            </w:pPr>
            <w:r>
              <w:rPr>
                <w:rFonts w:ascii="Calibri" w:cs="Calibri" w:eastAsia="Calibri" w:hAnsi="Calibri"/>
                <w:b w:val="false"/>
                <w:bCs w:val="false"/>
                <w:color w:val="333333"/>
                <w:sz w:val="20"/>
                <w:szCs w:val="20"/>
              </w:rPr>
              <w:t xml:space="preserve">see note</w:t>
            </w:r>
          </w:p>
        </w:tc>
      </w:tr>
    </w:tbl>
    <w:p>
      <w:pPr>
        <w:spacing w:after="120"/>
      </w:pPr>
      <w:r>
        <w:rPr>
          <w:rFonts w:ascii="Calibri" w:cs="Calibri" w:eastAsia="Calibri" w:hAnsi="Calibri"/>
          <w:color w:val="333333"/>
          <w:sz w:val="22"/>
          <w:szCs w:val="22"/>
        </w:rPr>
        <w:t xml:space="preserve">So two things are true at once. Almost half of the shared codes are clean and can be compared with confidence. But the other half are ambiguous on your side, and for 365 codes even Mercy shows more than one gross (usually because one CPT covers different services or settings). That means you cannot assume either file has a single price per code. That is exactly why a plain code match can pick the wrong number.</w:t>
      </w:r>
    </w:p>
    <w:p>
      <w:pPr>
        <w:pStyle w:val="Heading2"/>
        <w:spacing w:after="80" w:before="240"/>
      </w:pPr>
      <w:r>
        <w:rPr>
          <w:rFonts w:ascii="Calibri" w:cs="Calibri" w:eastAsia="Calibri" w:hAnsi="Calibri"/>
          <w:b/>
          <w:bCs/>
          <w:color w:val="60507E"/>
          <w:sz w:val="28"/>
          <w:szCs w:val="28"/>
        </w:rPr>
        <w:t xml:space="preserve">How to get a real 1-to-1 comparison</w:t>
      </w:r>
    </w:p>
    <w:p>
      <w:pPr>
        <w:spacing w:after="120"/>
      </w:pPr>
      <w:r>
        <w:rPr>
          <w:rFonts w:ascii="Calibri" w:cs="Calibri" w:eastAsia="Calibri" w:hAnsi="Calibri"/>
          <w:color w:val="333333"/>
          <w:sz w:val="22"/>
          <w:szCs w:val="22"/>
        </w:rPr>
        <w:t xml:space="preserve">The honest rule: when a code maps to more than one line, there is no single correct price to compare on the code alone, because the mapping itself is the thing to check first. So the comparison should work in tiers.</w:t>
      </w:r>
    </w:p>
    <w:p>
      <w:pPr>
        <w:pStyle w:val="ListParagraph"/>
        <w:numPr>
          <w:ilvl w:val="0"/>
          <w:numId w:val="2"/>
        </w:numPr>
        <w:spacing w:after="60"/>
      </w:pPr>
      <w:r>
        <w:rPr>
          <w:rFonts w:ascii="Calibri" w:cs="Calibri" w:eastAsia="Calibri" w:hAnsi="Calibri"/>
          <w:b/>
          <w:bCs/>
          <w:color w:val="333333"/>
          <w:sz w:val="22"/>
          <w:szCs w:val="22"/>
        </w:rPr>
        <w:t xml:space="preserve">Normalize the peer side. </w:t>
      </w:r>
      <w:r>
        <w:rPr>
          <w:rFonts w:ascii="Calibri" w:cs="Calibri" w:eastAsia="Calibri" w:hAnsi="Calibri"/>
          <w:color w:val="333333"/>
          <w:sz w:val="22"/>
          <w:szCs w:val="22"/>
        </w:rPr>
        <w:t xml:space="preserve">Collapse the payer rows to one representative gross per code (median), and keep the spread so we can see when peer pricing is not clean either.</w:t>
      </w:r>
    </w:p>
    <w:p>
      <w:pPr>
        <w:pStyle w:val="ListParagraph"/>
        <w:numPr>
          <w:ilvl w:val="0"/>
          <w:numId w:val="2"/>
        </w:numPr>
        <w:spacing w:after="60"/>
      </w:pPr>
      <w:r>
        <w:rPr>
          <w:rFonts w:ascii="Calibri" w:cs="Calibri" w:eastAsia="Calibri" w:hAnsi="Calibri"/>
          <w:b/>
          <w:bCs/>
          <w:color w:val="333333"/>
          <w:sz w:val="22"/>
          <w:szCs w:val="22"/>
        </w:rPr>
        <w:t xml:space="preserve">Classify every shared code. </w:t>
      </w:r>
      <w:r>
        <w:rPr>
          <w:rFonts w:ascii="Calibri" w:cs="Calibri" w:eastAsia="Calibri" w:hAnsi="Calibri"/>
          <w:color w:val="333333"/>
          <w:sz w:val="22"/>
          <w:szCs w:val="22"/>
        </w:rPr>
        <w:t xml:space="preserve">Clean 1-to-1, your-side multi-line, peer-side multi-gross, or both. The class decides how much to trust the comparison.</w:t>
      </w:r>
    </w:p>
    <w:p>
      <w:pPr>
        <w:pStyle w:val="ListParagraph"/>
        <w:numPr>
          <w:ilvl w:val="0"/>
          <w:numId w:val="2"/>
        </w:numPr>
        <w:spacing w:after="60"/>
      </w:pPr>
      <w:r>
        <w:rPr>
          <w:rFonts w:ascii="Calibri" w:cs="Calibri" w:eastAsia="Calibri" w:hAnsi="Calibri"/>
          <w:b/>
          <w:bCs/>
          <w:color w:val="333333"/>
          <w:sz w:val="22"/>
          <w:szCs w:val="22"/>
        </w:rPr>
        <w:t xml:space="preserve">Match the line, not just the code. </w:t>
      </w:r>
      <w:r>
        <w:rPr>
          <w:rFonts w:ascii="Calibri" w:cs="Calibri" w:eastAsia="Calibri" w:hAnsi="Calibri"/>
          <w:color w:val="333333"/>
          <w:sz w:val="22"/>
          <w:szCs w:val="22"/>
        </w:rPr>
        <w:t xml:space="preserve">For multi-line codes, pair on code plus description similarity (and setting or units where present), so the IgG line matches the IgG line instead of the panel. Attach a confidence score to the match.</w:t>
      </w:r>
    </w:p>
    <w:p>
      <w:pPr>
        <w:pStyle w:val="ListParagraph"/>
        <w:numPr>
          <w:ilvl w:val="0"/>
          <w:numId w:val="2"/>
        </w:numPr>
        <w:spacing w:after="60"/>
      </w:pPr>
      <w:r>
        <w:rPr>
          <w:rFonts w:ascii="Calibri" w:cs="Calibri" w:eastAsia="Calibri" w:hAnsi="Calibri"/>
          <w:b/>
          <w:bCs/>
          <w:color w:val="333333"/>
          <w:sz w:val="22"/>
          <w:szCs w:val="22"/>
        </w:rPr>
        <w:t xml:space="preserve">Benchmark on markup over Medicare, not raw gross. </w:t>
      </w:r>
      <w:r>
        <w:rPr>
          <w:rFonts w:ascii="Calibri" w:cs="Calibri" w:eastAsia="Calibri" w:hAnsi="Calibri"/>
          <w:color w:val="333333"/>
          <w:sz w:val="22"/>
          <w:szCs w:val="22"/>
        </w:rPr>
        <w:t xml:space="preserve">Gross conventions swing wildly between hospitals, so charge divided by the Medicare rate is the fair yardstick and it flattens those differences.</w:t>
      </w:r>
    </w:p>
    <w:p>
      <w:pPr>
        <w:pStyle w:val="ListParagraph"/>
        <w:numPr>
          <w:ilvl w:val="0"/>
          <w:numId w:val="2"/>
        </w:numPr>
        <w:spacing w:after="60"/>
      </w:pPr>
      <w:r>
        <w:rPr>
          <w:rFonts w:ascii="Calibri" w:cs="Calibri" w:eastAsia="Calibri" w:hAnsi="Calibri"/>
          <w:b/>
          <w:bCs/>
          <w:color w:val="333333"/>
          <w:sz w:val="22"/>
          <w:szCs w:val="22"/>
        </w:rPr>
        <w:t xml:space="preserve">Split the findings. </w:t>
      </w:r>
      <w:r>
        <w:rPr>
          <w:rFonts w:ascii="Calibri" w:cs="Calibri" w:eastAsia="Calibri" w:hAnsi="Calibri"/>
          <w:color w:val="333333"/>
          <w:sz w:val="22"/>
          <w:szCs w:val="22"/>
        </w:rPr>
        <w:t xml:space="preserve">Clean 1-to-1 codes go to a trusted price comparison. Multi-line codes go to a data-quality finding that reads ‘one code, N lines, prices $X to $Y,’ with a representative price shown but flagged low-confidence. That keeps a coding issue from masquerading as a 10x overprice.</w:t>
      </w:r>
    </w:p>
    <w:p>
      <w:pPr>
        <w:pStyle w:val="Heading2"/>
        <w:spacing w:after="80" w:before="240"/>
      </w:pPr>
      <w:r>
        <w:rPr>
          <w:rFonts w:ascii="Calibri" w:cs="Calibri" w:eastAsia="Calibri" w:hAnsi="Calibri"/>
          <w:b/>
          <w:bCs/>
          <w:color w:val="60507E"/>
          <w:sz w:val="28"/>
          <w:szCs w:val="28"/>
        </w:rPr>
        <w:t xml:space="preserve">What this means for ChargeGuard</w:t>
      </w:r>
    </w:p>
    <w:p>
      <w:pPr>
        <w:spacing w:after="120"/>
      </w:pPr>
      <w:r>
        <w:rPr>
          <w:rFonts w:ascii="Calibri" w:cs="Calibri" w:eastAsia="Calibri" w:hAnsi="Calibri"/>
          <w:color w:val="333333"/>
          <w:sz w:val="22"/>
          <w:szCs w:val="22"/>
        </w:rPr>
        <w:t xml:space="preserve">Three changes make the peer comparison trustworthy and, honestly, make the tool look smarter. Add a code-multiplicity check that tags any CPT sitting on multiple CDM lines. Add description-based line matching with a confidence score so we pair the right service. And route the ambiguous ones into a data-quality finding instead of the price-outlier list. The 86631 example then shows up as ‘$110 IgG matches peer at $81, and heads up, this code is also on two other lines including a mispriced panel,’ which is the correct and much stronger read.</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2026-08-28T14:57:00.226Z</dcterms:created>
  <dcterms:modified xsi:type="dcterms:W3CDTF">2026-08-28T14:57:00.229Z</dcterms:modified>
</cp:coreProperties>
</file>

<file path=docProps/custom.xml><?xml version="1.0" encoding="utf-8"?>
<Properties xmlns="http://schemas.openxmlformats.org/officeDocument/2006/custom-properties" xmlns:vt="http://schemas.openxmlformats.org/officeDocument/2006/docPropsVTypes"/>
</file>