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0F2A47"/>
          <w:sz w:val="56"/>
          <w:szCs w:val="56"/>
        </w:rPr>
        <w:t xml:space="preserve">ChargeGuard</w:t>
      </w:r>
    </w:p>
    <w:p>
      <w:pPr>
        <w:spacing w:after="40"/>
        <w:jc w:val="center"/>
      </w:pPr>
      <w:r>
        <w:rPr>
          <w:b/>
          <w:bCs/>
          <w:color w:val="C2410C"/>
          <w:sz w:val="36"/>
          <w:szCs w:val="36"/>
        </w:rPr>
        <w:t xml:space="preserve">Demo Guide</w:t>
      </w:r>
    </w:p>
    <w:p>
      <w:pPr>
        <w:spacing w:after="40"/>
        <w:jc w:val="center"/>
      </w:pPr>
      <w:r>
        <w:rPr>
          <w:color w:val="64748B"/>
          <w:sz w:val="24"/>
          <w:szCs w:val="24"/>
        </w:rPr>
        <w:t xml:space="preserve">Automated Chargemaster (CDM) Review</w:t>
      </w:r>
    </w:p>
    <w:p>
      <w:pPr>
        <w:spacing w:before="400"/>
        <w:jc w:val="center"/>
      </w:pPr>
      <w:r>
        <w:rPr>
          <w:i/>
          <w:iCs/>
          <w:color w:val="64748B"/>
        </w:rPr>
        <w:t xml:space="preserve">Walkthrough script and background for presenting the platform</w:t>
      </w:r>
    </w:p>
    <w:p>
      <w:pPr>
        <w:pageBreakBefore/>
      </w:pPr>
    </w:p>
    <w:p>
      <w:pPr>
        <w:pStyle w:val="Heading1"/>
        <w:spacing w:after="140" w:before="320"/>
      </w:pPr>
      <w:r>
        <w:rPr>
          <w:b/>
          <w:bCs/>
          <w:color w:val="0F2A47"/>
        </w:rPr>
        <w:t xml:space="preserve">Part 1. Demo Walkthrough</w:t>
      </w:r>
    </w:p>
    <w:p>
      <w:pPr>
        <w:pStyle w:val="Heading2"/>
        <w:spacing w:after="100" w:before="240"/>
      </w:pPr>
      <w:r>
        <w:rPr>
          <w:b/>
          <w:bCs/>
          <w:color w:val="0F2A47"/>
        </w:rPr>
        <w:t xml:space="preserve">The one-line pitch</w:t>
      </w:r>
    </w:p>
    <w:p>
      <w:pPr>
        <w:spacing w:after="120" w:line="300"/>
      </w:pPr>
      <w:r>
        <w:t xml:space="preserve">ChargeGuard is the automated version of a hospital chargemaster (CDM) review. What a consultant does by hand over several weeks in Excel, it does in one scan, reproducibly, for any hospital. It finds coding, compliance, and pricing problems in the chargemaster and produces the full client deliverable.</w:t>
      </w:r>
    </w:p>
    <w:p>
      <w:pPr>
        <w:pStyle w:val="Heading2"/>
        <w:spacing w:after="100" w:before="240"/>
      </w:pPr>
      <w:r>
        <w:rPr>
          <w:b/>
          <w:bCs/>
          <w:color w:val="0F2A47"/>
        </w:rPr>
        <w:t xml:space="preserve">Who it is for</w:t>
      </w:r>
    </w:p>
    <w:p>
      <w:pPr>
        <w:spacing w:after="120" w:line="300"/>
      </w:pPr>
      <w:r>
        <w:t xml:space="preserve">Revenue-integrity consultants and small-to-mid-size hospitals that lose 1 to 3 percent of revenue to chargemaster problems but cannot justify a six-figure enterprise platform like Craneware or Optum.</w:t>
      </w:r>
    </w:p>
    <w:p>
      <w:pPr>
        <w:pStyle w:val="Heading2"/>
        <w:spacing w:after="100" w:before="240"/>
      </w:pPr>
      <w:r>
        <w:rPr>
          <w:b/>
          <w:bCs/>
          <w:color w:val="0F2A47"/>
        </w:rPr>
        <w:t xml:space="preserve">Before you demo (2-minute setup)</w:t>
      </w:r>
    </w:p>
    <w:p>
      <w:pPr>
        <w:pStyle w:val="ListParagraph"/>
        <w:numPr>
          <w:ilvl w:val="0"/>
          <w:numId w:val="2"/>
        </w:numPr>
        <w:spacing w:after="80" w:line="290"/>
      </w:pPr>
      <w:r>
        <w:t xml:space="preserve">Make sure the sample client is named neutrally. Run once: node scripts/rename-to-sample.mjs (renames the demo data to Sample Hospital).</w:t>
      </w:r>
    </w:p>
    <w:p>
      <w:pPr>
        <w:pStyle w:val="ListParagraph"/>
        <w:numPr>
          <w:ilvl w:val="0"/>
          <w:numId w:val="2"/>
        </w:numPr>
        <w:spacing w:after="80" w:line="290"/>
      </w:pPr>
      <w:r>
        <w:t xml:space="preserve">Have the app open and logged in, either the live site or a local dev server.</w:t>
      </w:r>
    </w:p>
    <w:p>
      <w:pPr>
        <w:pStyle w:val="ListParagraph"/>
        <w:numPr>
          <w:ilvl w:val="0"/>
          <w:numId w:val="2"/>
        </w:numPr>
        <w:spacing w:after="80" w:line="290"/>
      </w:pPr>
      <w:r>
        <w:t xml:space="preserve">Confirm the sample audit already has data loaded and a scan has been run, so Findings and Reports are populated. If not, run a scan first (under a minute).</w:t>
      </w:r>
    </w:p>
    <w:p>
      <w:pPr>
        <w:pStyle w:val="ListParagraph"/>
        <w:numPr>
          <w:ilvl w:val="0"/>
          <w:numId w:val="2"/>
        </w:numPr>
        <w:spacing w:after="80" w:line="290"/>
      </w:pPr>
      <w:r>
        <w:t xml:space="preserve">Open on the Dashboard so the first thing they see is the headline numbers.</w:t>
      </w:r>
    </w:p>
    <w:p>
      <w:pPr>
        <w:pStyle w:val="Heading2"/>
        <w:spacing w:after="100" w:before="240"/>
      </w:pPr>
      <w:r>
        <w:rPr>
          <w:b/>
          <w:bCs/>
          <w:color w:val="0F2A47"/>
        </w:rPr>
        <w:t xml:space="preserve">The demo flow</w:t>
      </w:r>
    </w:p>
    <w:p>
      <w:pPr>
        <w:pStyle w:val="Heading3"/>
        <w:spacing w:after="60" w:before="180"/>
      </w:pPr>
      <w:r>
        <w:rPr>
          <w:b/>
          <w:bCs/>
          <w:color w:val="334155"/>
        </w:rPr>
        <w:t xml:space="preserve">1. Dashboard - set the stakes (60 seconds)</w:t>
      </w:r>
    </w:p>
    <w:p>
      <w:pPr>
        <w:spacing w:after="120" w:line="300"/>
      </w:pPr>
      <w:r>
        <w:t xml:space="preserve">Start here. Point to the top numbers: charge lines reviewed, findings, estimated financial impact, and total CDM gross.</w:t>
      </w:r>
    </w:p>
    <w:p>
      <w:pPr>
        <w:spacing w:after="120" w:line="300"/>
      </w:pPr>
      <w:r>
        <w:rPr>
          <w:b/>
          <w:bCs/>
          <w:color w:val="C2410C"/>
        </w:rPr>
        <w:t xml:space="preserve">Say: </w:t>
      </w:r>
      <w:r>
        <w:t xml:space="preserve">This is Sample Hospital's chargemaster. It has about 8,000 charge lines and 257 million dollars in annual gross charges. ChargeGuard reviewed every line and found a few thousand issues worth several million in impact. A consultant would take weeks to get here. This took one scan.</w:t>
      </w:r>
    </w:p>
    <w:p>
      <w:pPr>
        <w:spacing w:after="120" w:line="300"/>
      </w:pPr>
      <w:r>
        <w:t xml:space="preserve">Point out the navy top nav: Dashboard, Charge Master, Findings, Reports. Four steps: load the data, scan it, review the findings, hand over the report.</w:t>
      </w:r>
    </w:p>
    <w:p>
      <w:pPr>
        <w:pStyle w:val="Heading3"/>
        <w:spacing w:after="60" w:before="180"/>
      </w:pPr>
      <w:r>
        <w:rPr>
          <w:b/>
          <w:bCs/>
          <w:color w:val="334155"/>
        </w:rPr>
        <w:t xml:space="preserve">2. Charge Master - the inputs (60 seconds)</w:t>
      </w:r>
    </w:p>
    <w:p>
      <w:pPr>
        <w:spacing w:after="120" w:line="300"/>
      </w:pPr>
      <w:r>
        <w:t xml:space="preserve">Click Charge Master. Show the loaded chargemaster table.</w:t>
      </w:r>
    </w:p>
    <w:p>
      <w:pPr>
        <w:spacing w:after="120" w:line="300"/>
      </w:pPr>
      <w:r>
        <w:rPr>
          <w:b/>
          <w:bCs/>
          <w:color w:val="C2410C"/>
        </w:rPr>
        <w:t xml:space="preserve">Say: </w:t>
      </w:r>
      <w:r>
        <w:t xml:space="preserve">This is the raw chargemaster the client sends us. We also import two supporting files: Revenue and Usage, which tells us volume and payer mix so we can weight findings by real dollars, and the Formulary, which unlocks the pharmacy checks. Everything else the tool already knows, because it maintains its own copy of the CMS fee schedules automatically.</w:t>
      </w:r>
    </w:p>
    <w:p>
      <w:pPr>
        <w:spacing w:after="120" w:line="300"/>
      </w:pPr>
      <w:r>
        <w:rPr>
          <w:b/>
          <w:bCs/>
          <w:color w:val="C2410C"/>
        </w:rPr>
        <w:t xml:space="preserve">Emphasize: </w:t>
      </w:r>
      <w:r>
        <w:t xml:space="preserve">The hardest part of a tool like this is keeping the Medicare data current every quarter. That refresh is built in and runs itself.</w:t>
      </w:r>
    </w:p>
    <w:p>
      <w:pPr>
        <w:pStyle w:val="Heading3"/>
        <w:spacing w:after="60" w:before="180"/>
      </w:pPr>
      <w:r>
        <w:rPr>
          <w:b/>
          <w:bCs/>
          <w:color w:val="334155"/>
        </w:rPr>
        <w:t xml:space="preserve">3. Run a scan - the engine (30 seconds)</w:t>
      </w:r>
    </w:p>
    <w:p>
      <w:pPr>
        <w:spacing w:after="120" w:line="300"/>
      </w:pPr>
      <w:r>
        <w:t xml:space="preserve">If time allows, click Run CDM Scan (the orange button) and let it run, or show a scan that already completed.</w:t>
      </w:r>
    </w:p>
    <w:p>
      <w:pPr>
        <w:spacing w:after="120" w:line="300"/>
      </w:pPr>
      <w:r>
        <w:rPr>
          <w:b/>
          <w:bCs/>
          <w:color w:val="C2410C"/>
        </w:rPr>
        <w:t xml:space="preserve">Say: </w:t>
      </w:r>
      <w:r>
        <w:t xml:space="preserve">One click runs the full rule set: status indicators, packaging, pass-through, retired codes, device crosswalks, the pharmacy suite, price transparency, and pricing benchmarks. Every rule traces back to a documented CMS methodology, so the findings are defensible.</w:t>
      </w:r>
    </w:p>
    <w:p>
      <w:pPr>
        <w:pStyle w:val="Heading3"/>
        <w:spacing w:after="60" w:before="180"/>
      </w:pPr>
      <w:r>
        <w:rPr>
          <w:b/>
          <w:bCs/>
          <w:color w:val="334155"/>
        </w:rPr>
        <w:t xml:space="preserve">4. Findings - the value (90 seconds)</w:t>
      </w:r>
    </w:p>
    <w:p>
      <w:pPr>
        <w:spacing w:after="120" w:line="300"/>
      </w:pPr>
      <w:r>
        <w:t xml:space="preserve">Click Findings. This is the heart of the demo. Show the severity summary cards, then scroll the list.</w:t>
      </w:r>
    </w:p>
    <w:p>
      <w:pPr>
        <w:spacing w:after="120" w:line="300"/>
      </w:pPr>
      <w:r>
        <w:rPr>
          <w:b/>
          <w:bCs/>
          <w:color w:val="C2410C"/>
        </w:rPr>
        <w:t xml:space="preserve">Say: </w:t>
      </w:r>
      <w:r>
        <w:t xml:space="preserve">Every issue is categorized, ranked by severity, and tied to a dollar impact. We can filter by category or severity.</w:t>
      </w:r>
    </w:p>
    <w:p>
      <w:pPr>
        <w:spacing w:after="120" w:line="300"/>
      </w:pPr>
      <w:r>
        <w:t xml:space="preserve">Highlight two or three concrete examples that land well:</w:t>
      </w:r>
    </w:p>
    <w:p>
      <w:pPr>
        <w:pStyle w:val="ListParagraph"/>
        <w:numPr>
          <w:ilvl w:val="0"/>
          <w:numId w:val="2"/>
        </w:numPr>
        <w:spacing w:after="80" w:line="290"/>
      </w:pPr>
      <w:r>
        <w:t xml:space="preserve">A packaging or pass-through finding (shows depth of CMS knowledge).</w:t>
      </w:r>
    </w:p>
    <w:p>
      <w:pPr>
        <w:pStyle w:val="ListParagraph"/>
        <w:numPr>
          <w:ilvl w:val="0"/>
          <w:numId w:val="2"/>
        </w:numPr>
        <w:spacing w:after="80" w:line="290"/>
      </w:pPr>
      <w:r>
        <w:t xml:space="preserve">A retired-code finding (easy to understand: billing a code that no longer exists).</w:t>
      </w:r>
    </w:p>
    <w:p>
      <w:pPr>
        <w:pStyle w:val="ListParagraph"/>
        <w:numPr>
          <w:ilvl w:val="0"/>
          <w:numId w:val="2"/>
        </w:numPr>
        <w:spacing w:after="80" w:line="290"/>
      </w:pPr>
      <w:r>
        <w:t xml:space="preserve">A Pricing Benchmark (Peer Comparison) finding, the newest capability: one line priced well below what peer hospitals charge (revenue left on the table), and one priced far above peers (a price-transparency and PR risk).</w:t>
      </w:r>
    </w:p>
    <w:p>
      <w:pPr>
        <w:spacing w:after="120" w:line="300"/>
      </w:pPr>
      <w:r>
        <w:rPr>
          <w:b/>
          <w:bCs/>
          <w:color w:val="C2410C"/>
        </w:rPr>
        <w:t xml:space="preserve">Say: </w:t>
      </w:r>
      <w:r>
        <w:t xml:space="preserve">This peer-pricing comparison is what the big platforms charge a premium for. ChargeGuard builds it from free public CMS data.</w:t>
      </w:r>
    </w:p>
    <w:p>
      <w:pPr>
        <w:pStyle w:val="Heading3"/>
        <w:spacing w:after="60" w:before="180"/>
      </w:pPr>
      <w:r>
        <w:rPr>
          <w:b/>
          <w:bCs/>
          <w:color w:val="334155"/>
        </w:rPr>
        <w:t xml:space="preserve">5. Reports - the deliverable (60 seconds)</w:t>
      </w:r>
    </w:p>
    <w:p>
      <w:pPr>
        <w:spacing w:after="120" w:line="300"/>
      </w:pPr>
      <w:r>
        <w:t xml:space="preserve">Click Reports. Show the export options.</w:t>
      </w:r>
    </w:p>
    <w:p>
      <w:pPr>
        <w:spacing w:after="120" w:line="300"/>
      </w:pPr>
      <w:r>
        <w:rPr>
          <w:b/>
          <w:bCs/>
          <w:color w:val="C2410C"/>
        </w:rPr>
        <w:t xml:space="preserve">Say: </w:t>
      </w:r>
      <w:r>
        <w:t xml:space="preserve">This is what the client actually receives. The Excel report is the full deliverable: an executive summary, impact analysis, a department revenue summary, a tab for every category of finding, and a master tab with every line and its flags. It matches the format a seasoned consultant produces.</w:t>
      </w:r>
    </w:p>
    <w:p>
      <w:pPr>
        <w:spacing w:after="120" w:line="300"/>
      </w:pPr>
      <w:r>
        <w:rPr>
          <w:b/>
          <w:bCs/>
          <w:color w:val="C2410C"/>
        </w:rPr>
        <w:t xml:space="preserve">Then: </w:t>
      </w:r>
      <w:r>
        <w:t xml:space="preserve">Before an engagement even starts, the tool generates the client data-request form that tells the client exactly which files to send and who owns each one. So the tool bookends the whole engagement, from kickoff to final report.</w:t>
      </w:r>
    </w:p>
    <w:p>
      <w:pPr>
        <w:pStyle w:val="Heading2"/>
        <w:spacing w:after="100" w:before="240"/>
      </w:pPr>
      <w:r>
        <w:rPr>
          <w:b/>
          <w:bCs/>
          <w:color w:val="0F2A47"/>
        </w:rPr>
        <w:t xml:space="preserve">The three moments that sell it</w:t>
      </w:r>
    </w:p>
    <w:p>
      <w:pPr>
        <w:pStyle w:val="ListParagraph"/>
        <w:numPr>
          <w:ilvl w:val="0"/>
          <w:numId w:val="2"/>
        </w:numPr>
        <w:spacing w:after="80" w:line="290"/>
      </w:pPr>
      <w:r>
        <w:rPr>
          <w:b/>
          <w:bCs/>
          <w:color w:val="334155"/>
        </w:rPr>
        <w:t xml:space="preserve">Speed and repeatability:</w:t>
      </w:r>
      <w:r>
        <w:t xml:space="preserve"> weeks of manual work compressed into one scan, identical every time, for any hospital.</w:t>
      </w:r>
    </w:p>
    <w:p>
      <w:pPr>
        <w:pStyle w:val="ListParagraph"/>
        <w:numPr>
          <w:ilvl w:val="0"/>
          <w:numId w:val="2"/>
        </w:numPr>
        <w:spacing w:after="80" w:line="290"/>
      </w:pPr>
      <w:r>
        <w:rPr>
          <w:b/>
          <w:bCs/>
          <w:color w:val="334155"/>
        </w:rPr>
        <w:t xml:space="preserve">Defensibility:</w:t>
      </w:r>
      <w:r>
        <w:t xml:space="preserve"> every finding maps to a documented CMS rule, and the reference data refreshes itself each quarter.</w:t>
      </w:r>
    </w:p>
    <w:p>
      <w:pPr>
        <w:pStyle w:val="ListParagraph"/>
        <w:numPr>
          <w:ilvl w:val="0"/>
          <w:numId w:val="2"/>
        </w:numPr>
        <w:spacing w:after="80" w:line="290"/>
      </w:pPr>
      <w:r>
        <w:rPr>
          <w:b/>
          <w:bCs/>
          <w:color w:val="334155"/>
        </w:rPr>
        <w:t xml:space="preserve">Peer pricing:</w:t>
      </w:r>
      <w:r>
        <w:t xml:space="preserve"> the your-price-versus-the-market story that turns a compliance cleanup into a revenue-strategy conversation.</w:t>
      </w:r>
    </w:p>
    <w:p>
      <w:pPr>
        <w:pStyle w:val="Heading2"/>
        <w:spacing w:after="100" w:before="240"/>
      </w:pPr>
      <w:r>
        <w:rPr>
          <w:b/>
          <w:bCs/>
          <w:color w:val="0F2A47"/>
        </w:rPr>
        <w:t xml:space="preserve">How to position it against the big players</w:t>
      </w:r>
    </w:p>
    <w:p>
      <w:pPr>
        <w:spacing w:after="120" w:line="300"/>
      </w:pPr>
      <w:r>
        <w:rPr>
          <w:b/>
          <w:bCs/>
          <w:color w:val="C2410C"/>
        </w:rPr>
        <w:t xml:space="preserve">Say: </w:t>
      </w:r>
      <w:r>
        <w:t xml:space="preserve">We are not trying to replace Craneware or Optum for a large health system. Those are heavy, expensive platforms with long implementations. ChargeGuard is the fast, affordable, defensible CDM review for the consultants and mid-size hospitals they underserve.</w:t>
      </w:r>
    </w:p>
    <w:p>
      <w:pPr>
        <w:pStyle w:val="Heading2"/>
        <w:spacing w:after="100" w:before="240"/>
      </w:pPr>
      <w:r>
        <w:rPr>
          <w:b/>
          <w:bCs/>
          <w:color w:val="0F2A47"/>
        </w:rPr>
        <w:t xml:space="preserve">Anticipated questions</w:t>
      </w:r>
    </w:p>
    <w:p>
      <w:pPr>
        <w:pStyle w:val="ListParagraph"/>
        <w:numPr>
          <w:ilvl w:val="0"/>
          <w:numId w:val="2"/>
        </w:numPr>
        <w:spacing w:after="80" w:line="290"/>
      </w:pPr>
      <w:r>
        <w:rPr>
          <w:b/>
          <w:bCs/>
          <w:color w:val="334155"/>
        </w:rPr>
        <w:t xml:space="preserve">Where does the reference data come from?</w:t>
      </w:r>
      <w:r>
        <w:t xml:space="preserve"> Public CMS fee schedules (OPPS, MPFS, CLFS, ASP, HCPCS) plus, for peer pricing, the CMS outpatient charge file. All refreshed on a schedule.</w:t>
      </w:r>
    </w:p>
    <w:p>
      <w:pPr>
        <w:pStyle w:val="ListParagraph"/>
        <w:numPr>
          <w:ilvl w:val="0"/>
          <w:numId w:val="2"/>
        </w:numPr>
        <w:spacing w:after="80" w:line="290"/>
      </w:pPr>
      <w:r>
        <w:rPr>
          <w:b/>
          <w:bCs/>
          <w:color w:val="334155"/>
        </w:rPr>
        <w:t xml:space="preserve">How accurate is it?</w:t>
      </w:r>
      <w:r>
        <w:t xml:space="preserve"> The engine was validated against a real expert review and reproduces the flag counts to the exact number, including dollar totals to the penny.</w:t>
      </w:r>
    </w:p>
    <w:p>
      <w:pPr>
        <w:pStyle w:val="ListParagraph"/>
        <w:numPr>
          <w:ilvl w:val="0"/>
          <w:numId w:val="2"/>
        </w:numPr>
        <w:spacing w:after="80" w:line="290"/>
      </w:pPr>
      <w:r>
        <w:rPr>
          <w:b/>
          <w:bCs/>
          <w:color w:val="334155"/>
        </w:rPr>
        <w:t xml:space="preserve">Can it handle multiple clients?</w:t>
      </w:r>
      <w:r>
        <w:t xml:space="preserve"> Yes. Each engagement is its own audit. Load a new client's files, scan, done.</w:t>
      </w:r>
    </w:p>
    <w:p>
      <w:pPr>
        <w:pStyle w:val="ListParagraph"/>
        <w:numPr>
          <w:ilvl w:val="0"/>
          <w:numId w:val="2"/>
        </w:numPr>
        <w:spacing w:after="80" w:line="290"/>
      </w:pPr>
      <w:r>
        <w:rPr>
          <w:b/>
          <w:bCs/>
          <w:color w:val="334155"/>
        </w:rPr>
        <w:t xml:space="preserve">What about claims-based issues like modifier-25 or missing charges?</w:t>
      </w:r>
      <w:r>
        <w:t xml:space="preserve"> That is the next phase. It needs the client's 837 claims file, and the methodology is already defined.</w:t>
      </w:r>
    </w:p>
    <w:p>
      <w:pPr>
        <w:pStyle w:val="ListParagraph"/>
        <w:numPr>
          <w:ilvl w:val="0"/>
          <w:numId w:val="2"/>
        </w:numPr>
        <w:spacing w:after="80" w:line="290"/>
      </w:pPr>
      <w:r>
        <w:rPr>
          <w:b/>
          <w:bCs/>
          <w:color w:val="334155"/>
        </w:rPr>
        <w:t xml:space="preserve">Is our data secure?</w:t>
      </w:r>
      <w:r>
        <w:t xml:space="preserve"> Client data lives in the database, not the code, and is never committed to the public repo. Peer benchmarks use only public CMS data.</w:t>
      </w:r>
    </w:p>
    <w:p>
      <w:pPr>
        <w:pStyle w:val="Heading2"/>
        <w:spacing w:after="100" w:before="240"/>
      </w:pPr>
      <w:r>
        <w:rPr>
          <w:b/>
          <w:bCs/>
          <w:color w:val="0F2A47"/>
        </w:rPr>
        <w:t xml:space="preserve">Timing</w:t>
      </w:r>
    </w:p>
    <w:p>
      <w:pPr>
        <w:pStyle w:val="ListParagraph"/>
        <w:numPr>
          <w:ilvl w:val="0"/>
          <w:numId w:val="2"/>
        </w:numPr>
        <w:spacing w:after="80" w:line="290"/>
      </w:pPr>
      <w:r>
        <w:rPr>
          <w:b/>
          <w:bCs/>
          <w:color w:val="334155"/>
        </w:rPr>
        <w:t xml:space="preserve">5-minute version:</w:t>
      </w:r>
      <w:r>
        <w:t xml:space="preserve"> Dashboard, then Findings (with the peer-pricing example), then the Excel report. That is the whole story.</w:t>
      </w:r>
    </w:p>
    <w:p>
      <w:pPr>
        <w:pStyle w:val="ListParagraph"/>
        <w:numPr>
          <w:ilvl w:val="0"/>
          <w:numId w:val="2"/>
        </w:numPr>
        <w:spacing w:after="80" w:line="290"/>
      </w:pPr>
      <w:r>
        <w:rPr>
          <w:b/>
          <w:bCs/>
          <w:color w:val="334155"/>
        </w:rPr>
        <w:t xml:space="preserve">15-minute version:</w:t>
      </w:r>
      <w:r>
        <w:t xml:space="preserve"> the full flow above, and run a live scan so they see it happen.</w:t>
      </w:r>
    </w:p>
    <w:p>
      <w:pPr>
        <w:pageBreakBefore/>
      </w:pPr>
    </w:p>
    <w:p>
      <w:pPr>
        <w:pStyle w:val="Heading1"/>
        <w:spacing w:after="140" w:before="320"/>
      </w:pPr>
      <w:r>
        <w:rPr>
          <w:b/>
          <w:bCs/>
          <w:color w:val="0F2A47"/>
        </w:rPr>
        <w:t xml:space="preserve">Part 2. What It Does, Why It Matters, and How It Works</w:t>
      </w:r>
    </w:p>
    <w:p>
      <w:pPr>
        <w:spacing w:after="120" w:line="300"/>
      </w:pPr>
      <w:r>
        <w:t xml:space="preserve">The background you speak from: the process the tool automates, why hospitals should care, and the technical detail to explain when someone asks how it actually works.</w:t>
      </w:r>
    </w:p>
    <w:p>
      <w:pPr>
        <w:pStyle w:val="Heading2"/>
        <w:spacing w:after="100" w:before="240"/>
      </w:pPr>
      <w:r>
        <w:rPr>
          <w:b/>
          <w:bCs/>
          <w:color w:val="0F2A47"/>
        </w:rPr>
        <w:t xml:space="preserve">1. The problem, in plain terms</w:t>
      </w:r>
    </w:p>
    <w:p>
      <w:pPr>
        <w:spacing w:after="120" w:line="300"/>
      </w:pPr>
      <w:r>
        <w:t xml:space="preserve">Every hospital runs a Charge Description Master, or CDM (also called the chargemaster). It is the master list of every billable item and service the hospital offers, and for each line it holds a description, a billing code (CPT or HCPCS), a revenue code, a price, and other billing attributes. A mid-size hospital's CDM has several thousand to tens of thousands of lines, and every claim the hospital sends to Medicare or a commercial payer is built from it.</w:t>
      </w:r>
    </w:p>
    <w:p>
      <w:pPr>
        <w:spacing w:after="120" w:line="300"/>
      </w:pPr>
      <w:r>
        <w:t xml:space="preserve">The chargemaster is also constantly going out of date. CMS updates its codes and payment rules every quarter. Codes get retired, new ones appear, packaging and status-indicator rules change, and prices drift away from the market. When the CDM is wrong, the hospital gets denials, underpayment, compliance exposure, and lost revenue. Industry estimates put charge-capture and chargemaster losses at roughly 1 to 3 percent of gross revenue, which for a hospital billing hundreds of millions is millions of dollars a year.</w:t>
      </w:r>
    </w:p>
    <w:p>
      <w:pPr>
        <w:spacing w:after="120" w:line="300"/>
      </w:pPr>
      <w:r>
        <w:t xml:space="preserve">The catch is that reviewing a chargemaster properly requires a specialist who knows CMS billing rules cold and is willing to go line by line. That expertise is scarce and expensive, and the work is slow and manual. That is the gap ChargeGuard fills.</w:t>
      </w:r>
    </w:p>
    <w:p>
      <w:pPr>
        <w:pStyle w:val="Heading2"/>
        <w:spacing w:after="100" w:before="240"/>
      </w:pPr>
      <w:r>
        <w:rPr>
          <w:b/>
          <w:bCs/>
          <w:color w:val="0F2A47"/>
        </w:rPr>
        <w:t xml:space="preserve">2. The methodology the tool is built on</w:t>
      </w:r>
    </w:p>
    <w:p>
      <w:pPr>
        <w:spacing w:after="120" w:line="300"/>
      </w:pPr>
      <w:r>
        <w:t xml:space="preserve">ChargeGuard is built on a real, proven chargemaster-review methodology, developed from established expert practice and refined with input from experienced peers in the field. The key was starting from a documented, reproducible process rather than ad-hoc judgment. That is what made it possible to turn into software. The methodology has three parts, and the tool replicates all three.</w:t>
      </w:r>
    </w:p>
    <w:p>
      <w:pPr>
        <w:spacing w:after="120" w:line="300"/>
      </w:pPr>
      <w:r>
        <w:rPr>
          <w:b/>
          <w:bCs/>
          <w:color w:val="334155"/>
        </w:rPr>
        <w:t xml:space="preserve">The inputs collected from a client.</w:t>
      </w:r>
      <w:r>
        <w:t xml:space="preserve"> The chargemaster itself, a Revenue and Usage file (volume and payer mix per line, so findings can be weighted by real dollars), and a pharmacy formulary (which unlocks the drug-specific checks). Later phases add the hospital's actual claims. It also uses a standard client data-request form that tells each department exactly what to send.</w:t>
      </w:r>
    </w:p>
    <w:p>
      <w:pPr>
        <w:spacing w:after="120" w:line="300"/>
      </w:pPr>
      <w:r>
        <w:rPr>
          <w:b/>
          <w:bCs/>
          <w:color w:val="334155"/>
        </w:rPr>
        <w:t xml:space="preserve">The review logic.</w:t>
      </w:r>
      <w:r>
        <w:t xml:space="preserve"> A set of about two dozen numbered steps and roughly 26 distinct flag patterns, each grounded in a specific CMS rule. Things like: is this code bundled or separately payable, has this code been retired, is this drug billed in the right units, is this price defensible. Each pattern has a clear definition and a clear recommendation.</w:t>
      </w:r>
    </w:p>
    <w:p>
      <w:pPr>
        <w:spacing w:after="120" w:line="300"/>
      </w:pPr>
      <w:r>
        <w:rPr>
          <w:b/>
          <w:bCs/>
          <w:color w:val="334155"/>
        </w:rPr>
        <w:t xml:space="preserve">The deliverable.</w:t>
      </w:r>
      <w:r>
        <w:t xml:space="preserve"> A standardized report, originally a 32-tab Excel workbook, with an executive summary, an impact analysis, a tab for each category of finding, and a master view of the whole chargemaster with every flag.</w:t>
      </w:r>
    </w:p>
    <w:p>
      <w:pPr>
        <w:spacing w:after="120" w:line="300"/>
      </w:pPr>
      <w:r>
        <w:t xml:space="preserve">We ported that methodology into the tool and validated it against an expert review of a real hospital. The engine reproduces that review's flag counts exactly, including dollar totals that tie to the penny. That is the important credibility point: ChargeGuard is not an approximation of expert judgment, it reproduces a proven expert review's results, and it does it the same way every time for any hospital.</w:t>
      </w:r>
    </w:p>
    <w:p>
      <w:pPr>
        <w:pStyle w:val="Heading2"/>
        <w:spacing w:after="100" w:before="240"/>
      </w:pPr>
      <w:r>
        <w:rPr>
          <w:b/>
          <w:bCs/>
          <w:color w:val="0F2A47"/>
        </w:rPr>
        <w:t xml:space="preserve">3. What the tool actually checks (and the CMS concept behind each)</w:t>
      </w:r>
    </w:p>
    <w:p>
      <w:pPr>
        <w:spacing w:after="120" w:line="300"/>
      </w:pPr>
      <w:r>
        <w:t xml:space="preserve">When you demo the Findings screen, this is what the categories mean. You do not need to recite all of it, but knowing the concept behind each lets you answer what is this checking.</w:t>
      </w:r>
    </w:p>
    <w:p>
      <w:pPr>
        <w:spacing w:after="120" w:line="300"/>
      </w:pPr>
      <w:r>
        <w:rPr>
          <w:b/>
          <w:bCs/>
          <w:color w:val="334155"/>
        </w:rPr>
        <w:t xml:space="preserve">Status-indicator logic.</w:t>
      </w:r>
      <w:r>
        <w:t xml:space="preserve"> Under the Medicare outpatient payment system (OPPS), every code carries a status indicator that says how it gets paid. The tool flags codes that are bundled and should not be billed separately (SI=B), codes that are conditionally packaged (SI=Q1 through Q4), pass-through items that are separately payable and should be captured (SI=J, K), and non-OPPS items paid off a different fee schedule (SI=A). Getting these wrong means either lost revenue or non-compliant billing.</w:t>
      </w:r>
    </w:p>
    <w:p>
      <w:pPr>
        <w:spacing w:after="120" w:line="300"/>
      </w:pPr>
      <w:r>
        <w:rPr>
          <w:b/>
          <w:bCs/>
          <w:color w:val="334155"/>
        </w:rPr>
        <w:t xml:space="preserve">Coding validity.</w:t>
      </w:r>
      <w:r>
        <w:t xml:space="preserve"> Retired HCPCS codes that no longer exist, new or recommended codes the hospital is missing, vaccine administration coding, the same code carrying conflicting revenue codes, add-on codes with no primary procedure, and hard-coded modifiers that should not live in the CDM.</w:t>
      </w:r>
    </w:p>
    <w:p>
      <w:pPr>
        <w:spacing w:after="120" w:line="300"/>
      </w:pPr>
      <w:r>
        <w:rPr>
          <w:b/>
          <w:bCs/>
          <w:color w:val="334155"/>
        </w:rPr>
        <w:t xml:space="preserve">Device-to-procedure crosswalk.</w:t>
      </w:r>
      <w:r>
        <w:t xml:space="preserve"> Certain procedures require a device code and vice versa. The tool checks both directions using the CMS I/OCE edits and device revenue-code logic, so an implant procedure without its device code, or a device line with no code, gets caught.</w:t>
      </w:r>
    </w:p>
    <w:p>
      <w:pPr>
        <w:spacing w:after="120" w:line="300"/>
      </w:pPr>
      <w:r>
        <w:rPr>
          <w:b/>
          <w:bCs/>
          <w:color w:val="334155"/>
        </w:rPr>
        <w:t xml:space="preserve">Pharmacy suite.</w:t>
      </w:r>
      <w:r>
        <w:t xml:space="preserve"> Inactive formulary drugs still being billed, mismatches between the drug code on the CDM and the formulary's NDC, unit-of-measure mismatches, and billing-unit errors where the price implies the wrong dosage multiple. Drug billing units are a common and expensive source of error.</w:t>
      </w:r>
    </w:p>
    <w:p>
      <w:pPr>
        <w:spacing w:after="120" w:line="300"/>
      </w:pPr>
      <w:r>
        <w:rPr>
          <w:b/>
          <w:bCs/>
          <w:color w:val="334155"/>
        </w:rPr>
        <w:t xml:space="preserve">Pricing.</w:t>
      </w:r>
      <w:r>
        <w:t xml:space="preserve"> Lines priced at zero, extreme outliers within a department, inconsistent prices for the same code, and prices below the Medicare fee schedule. And the peer-pricing benchmark, which compares each price to what other hospitals actually charge for the same service.</w:t>
      </w:r>
    </w:p>
    <w:p>
      <w:pPr>
        <w:spacing w:after="120" w:line="300"/>
      </w:pPr>
      <w:r>
        <w:rPr>
          <w:b/>
          <w:bCs/>
          <w:color w:val="334155"/>
        </w:rPr>
        <w:t xml:space="preserve">Price transparency.</w:t>
      </w:r>
      <w:r>
        <w:t xml:space="preserve"> The 70 shoppable services CMS requires hospitals to publish, checked for presence and pricing, which supports transparency-rule compliance.</w:t>
      </w:r>
    </w:p>
    <w:p>
      <w:pPr>
        <w:spacing w:after="120" w:line="300"/>
      </w:pPr>
      <w:r>
        <w:t xml:space="preserve">Underneath all of this, findings are weighted by the Revenue and Usage data, so a problem on a high-volume, high-dollar line ranks above a trivial one. That is how the tool turns thousands of technical flags into a prioritized, dollar-ranked action list.</w:t>
      </w:r>
    </w:p>
    <w:p>
      <w:pPr>
        <w:pStyle w:val="Heading2"/>
        <w:spacing w:after="100" w:before="240"/>
      </w:pPr>
      <w:r>
        <w:rPr>
          <w:b/>
          <w:bCs/>
          <w:color w:val="0F2A47"/>
        </w:rPr>
        <w:t xml:space="preserve">4. Why this is valuable to a hospital</w:t>
      </w:r>
    </w:p>
    <w:p>
      <w:pPr>
        <w:spacing w:after="120" w:line="300"/>
      </w:pPr>
      <w:r>
        <w:t xml:space="preserve">It recovers revenue the hospital is already entitled to, by catching underpricing, missed separately-payable items, and unit errors. It prevents denials, because it fixes the coding and revenue-code problems that cause claims to bounce before they go out. It reduces compliance risk, because bundled-billing and hard-coded-modifier problems are exactly what auditors look for. It supports price-transparency compliance, which carries real penalties. And with peer pricing, it makes the hospital's prices defensible, which matters when a board or a payer asks why a service costs what it does.</w:t>
      </w:r>
    </w:p>
    <w:p>
      <w:pPr>
        <w:spacing w:after="120" w:line="300"/>
      </w:pPr>
      <w:r>
        <w:t xml:space="preserve">Then the business case for why the tool, not a person: the same review that takes a consultant weeks runs in one scan, it is identical every time, it works for any hospital, and it is affordable enough for the mid-size and critical-access hospitals that cannot justify a six-figure enterprise platform. It also maintains its own CMS reference data automatically, which is the part that normally makes these tools expensive to keep accurate.</w:t>
      </w:r>
    </w:p>
    <w:p>
      <w:pPr>
        <w:pStyle w:val="Heading2"/>
        <w:spacing w:after="100" w:before="240"/>
      </w:pPr>
      <w:r>
        <w:rPr>
          <w:b/>
          <w:bCs/>
          <w:color w:val="0F2A47"/>
        </w:rPr>
        <w:t xml:space="preserve">5. How the platform works (the technical answer)</w:t>
      </w:r>
    </w:p>
    <w:p>
      <w:pPr>
        <w:spacing w:after="120" w:line="300"/>
      </w:pPr>
      <w:r>
        <w:rPr>
          <w:b/>
          <w:bCs/>
          <w:color w:val="334155"/>
        </w:rPr>
        <w:t xml:space="preserve">The stack.</w:t>
      </w:r>
      <w:r>
        <w:t xml:space="preserve"> It is a web application built on Next.js and TypeScript, with a Supabase Postgres database for storage and authentication, deployed on Vercel. Everything runs in the browser plus serverless functions, so there is nothing to install.</w:t>
      </w:r>
    </w:p>
    <w:p>
      <w:pPr>
        <w:spacing w:after="120" w:line="300"/>
      </w:pPr>
      <w:r>
        <w:rPr>
          <w:b/>
          <w:bCs/>
          <w:color w:val="334155"/>
        </w:rPr>
        <w:t xml:space="preserve">The data model.</w:t>
      </w:r>
      <w:r>
        <w:t xml:space="preserve"> Each engagement is an audit. Under it sit the charge items (the imported chargemaster), the usage data, the formulary, and the findings the scan produces. Keeping each client in its own audit is what makes it multi-client.</w:t>
      </w:r>
    </w:p>
    <w:p>
      <w:pPr>
        <w:spacing w:after="120" w:line="300"/>
      </w:pPr>
      <w:r>
        <w:rPr>
          <w:b/>
          <w:bCs/>
          <w:color w:val="334155"/>
        </w:rPr>
        <w:t xml:space="preserve">The CMS reference layer.</w:t>
      </w:r>
      <w:r>
        <w:t xml:space="preserve"> The tool keeps its own copy of the CMS fee schedules: the OPPS addenda (status indicators and payment rates), the physician fee schedule, the clinical lab fee schedule, the drug ASP pricing, and the quarterly HCPCS code list. That is around twenty thousand codes. A refresh pipeline discovers the newest quarterly files on the CMS website, downloads them, stages them, shows what changed, and promotes them into the engine, so the reference data stays current without manual data entry.</w:t>
      </w:r>
    </w:p>
    <w:p>
      <w:pPr>
        <w:spacing w:after="120" w:line="300"/>
      </w:pPr>
      <w:r>
        <w:rPr>
          <w:b/>
          <w:bCs/>
          <w:color w:val="334155"/>
        </w:rPr>
        <w:t xml:space="preserve">The scan engine.</w:t>
      </w:r>
      <w:r>
        <w:t xml:space="preserve"> When you click Run Scan, the engine loads every charge line for that audit, joins it against the CMS reference data and the usage and formulary files, and runs the full rule set in one pass. Each rule emits findings with a severity, a category, a dollar impact, and a plain-English recommendation. Every rule maps back to a documented CMS concept, which is what makes the findings defensible rather than a black box.</w:t>
      </w:r>
    </w:p>
    <w:p>
      <w:pPr>
        <w:spacing w:after="120" w:line="300"/>
      </w:pPr>
      <w:r>
        <w:rPr>
          <w:b/>
          <w:bCs/>
          <w:color w:val="334155"/>
        </w:rPr>
        <w:t xml:space="preserve">The peer-pricing benchmark.</w:t>
      </w:r>
      <w:r>
        <w:t xml:space="preserve"> This uses a public CMS dataset of what hospitals across the country actually charge for each outpatient service, summarized to national and state averages. A builder turns that file into a lookup table, and a rule compares each of the client's prices to the peer average, flagging both the lines priced well below the market and the lines priced far above it.</w:t>
      </w:r>
    </w:p>
    <w:p>
      <w:pPr>
        <w:spacing w:after="120" w:line="300"/>
      </w:pPr>
      <w:r>
        <w:rPr>
          <w:b/>
          <w:bCs/>
          <w:color w:val="334155"/>
        </w:rPr>
        <w:t xml:space="preserve">The report generator.</w:t>
      </w:r>
      <w:r>
        <w:t xml:space="preserve"> The export builds the full Excel deliverable: an executive summary, an impact analysis, a department revenue summary, a tab for each finding category, and a master tab. It also generates the client data-request form.</w:t>
      </w:r>
    </w:p>
    <w:p>
      <w:pPr>
        <w:spacing w:after="120" w:line="300"/>
      </w:pPr>
      <w:r>
        <w:rPr>
          <w:b/>
          <w:bCs/>
          <w:color w:val="334155"/>
        </w:rPr>
        <w:t xml:space="preserve">Security.</w:t>
      </w:r>
      <w:r>
        <w:t xml:space="preserve"> Client chargemaster data lives in the database, never in the code repository, and the administrative database key is used only on the server, never exposed to the browser. The peer benchmark uses only public CMS data.</w:t>
      </w:r>
    </w:p>
    <w:p>
      <w:pPr>
        <w:pStyle w:val="Heading2"/>
        <w:spacing w:after="100" w:before="240"/>
      </w:pPr>
      <w:r>
        <w:rPr>
          <w:b/>
          <w:bCs/>
          <w:color w:val="0F2A47"/>
        </w:rPr>
        <w:t xml:space="preserve">6. Explaining the tech simply during a demo</w:t>
      </w:r>
    </w:p>
    <w:p>
      <w:pPr>
        <w:spacing w:after="120" w:line="300"/>
      </w:pPr>
      <w:r>
        <w:t xml:space="preserve">If your audience is not technical, these one-liners land better than the detail above:</w:t>
      </w:r>
    </w:p>
    <w:p>
      <w:pPr>
        <w:pStyle w:val="ListParagraph"/>
        <w:numPr>
          <w:ilvl w:val="0"/>
          <w:numId w:val="2"/>
        </w:numPr>
        <w:spacing w:after="80" w:line="290"/>
      </w:pPr>
      <w:r>
        <w:t xml:space="preserve">Think of it as a spell-checker for the hospital's billing list, except the dictionary is the entire Medicare rulebook, and it updates itself every quarter.</w:t>
      </w:r>
    </w:p>
    <w:p>
      <w:pPr>
        <w:pStyle w:val="ListParagraph"/>
        <w:numPr>
          <w:ilvl w:val="0"/>
          <w:numId w:val="2"/>
        </w:numPr>
        <w:spacing w:after="80" w:line="290"/>
      </w:pPr>
      <w:r>
        <w:t xml:space="preserve">The hard part of any tool like this is keeping the Medicare data current. We automated that, so the tool is always checking against this quarter's rules, not last year's.</w:t>
      </w:r>
    </w:p>
    <w:p>
      <w:pPr>
        <w:pStyle w:val="ListParagraph"/>
        <w:numPr>
          <w:ilvl w:val="0"/>
          <w:numId w:val="2"/>
        </w:numPr>
        <w:spacing w:after="80" w:line="290"/>
      </w:pPr>
      <w:r>
        <w:t xml:space="preserve">Every flag it raises can be traced to a specific CMS rule. It is not guessing, and it is not a black box. That is what makes the report defensible in an audit.</w:t>
      </w:r>
    </w:p>
    <w:p>
      <w:pPr>
        <w:pStyle w:val="ListParagraph"/>
        <w:numPr>
          <w:ilvl w:val="0"/>
          <w:numId w:val="2"/>
        </w:numPr>
        <w:spacing w:after="80" w:line="290"/>
      </w:pPr>
      <w:r>
        <w:t xml:space="preserve">It reproduces a real expert's review to the exact number. We did not build a tool that is sort of like a consultant. We built the consultant's exact process into software.</w:t>
      </w:r>
    </w:p>
    <w:p>
      <w:pPr>
        <w:spacing w:after="120" w:line="300"/>
      </w:pPr>
      <w:r>
        <w:t xml:space="preserve">If they are technical, walk them from the data model to the reference layer to the scan engine to the report, in that order. The story is always: current CMS reference data, times the client's chargemaster, run through a documented rule set, equals a prioritized, dollar-ranked, defensible finding list and a finished deliverable.</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ChargeGuard Demo Guide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2026-08-26T14:41:14.607Z</dcterms:created>
  <dcterms:modified xsi:type="dcterms:W3CDTF">2026-08-26T14:41:14.607Z</dcterms:modified>
</cp:coreProperties>
</file>

<file path=docProps/custom.xml><?xml version="1.0" encoding="utf-8"?>
<Properties xmlns="http://schemas.openxmlformats.org/officeDocument/2006/custom-properties" xmlns:vt="http://schemas.openxmlformats.org/officeDocument/2006/docPropsVTypes"/>
</file>