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F2B5" w14:textId="77777777" w:rsidR="006B32F3" w:rsidRDefault="00000000">
      <w:pPr>
        <w:spacing w:after="180"/>
      </w:pPr>
      <w:r>
        <w:rPr>
          <w:noProof/>
        </w:rPr>
        <w:drawing>
          <wp:inline distT="0" distB="0" distL="0" distR="0" wp14:anchorId="520AF2F7" wp14:editId="520AF2F8">
            <wp:extent cx="1600200" cy="28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F2B6" w14:textId="77777777" w:rsidR="006B32F3" w:rsidRDefault="00000000">
      <w:pPr>
        <w:spacing w:after="20"/>
      </w:pPr>
      <w:r>
        <w:rPr>
          <w:rFonts w:ascii="Calibri" w:eastAsia="Calibri" w:hAnsi="Calibri" w:cs="Calibri"/>
          <w:b/>
          <w:bCs/>
          <w:color w:val="2FA98C"/>
          <w:spacing w:val="20"/>
          <w:sz w:val="17"/>
          <w:szCs w:val="17"/>
        </w:rPr>
        <w:t>CHARGEMASTER REVIEW</w:t>
      </w:r>
    </w:p>
    <w:p w14:paraId="520AF2B7" w14:textId="77777777" w:rsidR="006B32F3" w:rsidRDefault="00000000">
      <w:pPr>
        <w:spacing w:after="20"/>
      </w:pPr>
      <w:r>
        <w:rPr>
          <w:rFonts w:ascii="Calibri" w:eastAsia="Calibri" w:hAnsi="Calibri" w:cs="Calibri"/>
          <w:b/>
          <w:bCs/>
          <w:color w:val="1F3350"/>
          <w:sz w:val="34"/>
          <w:szCs w:val="34"/>
        </w:rPr>
        <w:t>ChargeGuard Pricing Methodology</w:t>
      </w:r>
    </w:p>
    <w:p w14:paraId="520AF2B8" w14:textId="77777777" w:rsidR="006B32F3" w:rsidRDefault="00000000">
      <w:pPr>
        <w:spacing w:after="60"/>
      </w:pPr>
      <w:r>
        <w:rPr>
          <w:rFonts w:ascii="Calibri" w:eastAsia="Calibri" w:hAnsi="Calibri" w:cs="Calibri"/>
          <w:b/>
          <w:bCs/>
          <w:color w:val="2FA98C"/>
        </w:rPr>
        <w:t>Automated CDM Review, priced per hospital per quarter</w:t>
      </w:r>
    </w:p>
    <w:p w14:paraId="520AF2B9" w14:textId="77777777" w:rsidR="006B32F3" w:rsidRDefault="00000000">
      <w:pPr>
        <w:pBdr>
          <w:bottom w:val="single" w:sz="6" w:space="6" w:color="D9DEE3"/>
        </w:pBdr>
        <w:spacing w:after="60"/>
      </w:pPr>
      <w:r>
        <w:rPr>
          <w:rFonts w:ascii="Calibri" w:eastAsia="Calibri" w:hAnsi="Calibri" w:cs="Calibri"/>
          <w:color w:val="6B7280"/>
          <w:sz w:val="17"/>
          <w:szCs w:val="17"/>
        </w:rPr>
        <w:t>Pricing framework     |     August 2026     |     Amelior Management Solutions &amp; Services</w:t>
      </w:r>
    </w:p>
    <w:p w14:paraId="520AF2BA" w14:textId="77777777" w:rsidR="006B32F3" w:rsidRDefault="00000000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Overview</w:t>
      </w:r>
    </w:p>
    <w:p w14:paraId="520AF2BB" w14:textId="77777777" w:rsidR="006B32F3" w:rsidRDefault="00000000">
      <w:pPr>
        <w:spacing w:after="120"/>
      </w:pPr>
      <w:r>
        <w:rPr>
          <w:rFonts w:ascii="Calibri" w:eastAsia="Calibri" w:hAnsi="Calibri" w:cs="Calibri"/>
          <w:color w:val="333B45"/>
          <w:sz w:val="21"/>
          <w:szCs w:val="21"/>
        </w:rPr>
        <w:t>ChargeGuard is priced per hospital, per quarterly run. The standard rate is $2,500 per run. Because ChargeGuard runs on the client's own infrastructure, Amelior carries no hosting or per-run infrastructure cost, and that saving is passed through as a discounted rate of $1,000 per run. Pricing scales cleanly as hospitals are added.</w:t>
      </w:r>
    </w:p>
    <w:p w14:paraId="520AF2BC" w14:textId="77777777" w:rsidR="006B32F3" w:rsidRDefault="00000000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Pricing schedule</w:t>
      </w:r>
    </w:p>
    <w:p w14:paraId="520AF2BD" w14:textId="77777777" w:rsidR="006B32F3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1F3350"/>
          <w:sz w:val="19"/>
          <w:szCs w:val="19"/>
        </w:rPr>
        <w:t>Per run</w:t>
      </w:r>
    </w:p>
    <w:tbl>
      <w:tblPr>
        <w:tblW w:w="8800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2800"/>
      </w:tblGrid>
      <w:tr w:rsidR="006B32F3" w14:paraId="520AF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BE" w14:textId="77777777" w:rsidR="006B32F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Rate</w:t>
            </w:r>
          </w:p>
        </w:tc>
        <w:tc>
          <w:tcPr>
            <w:tcW w:w="28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BF" w14:textId="77777777" w:rsidR="006B32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Amount</w:t>
            </w:r>
          </w:p>
        </w:tc>
      </w:tr>
      <w:tr w:rsidR="006B32F3" w14:paraId="520AF2C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C1" w14:textId="77777777" w:rsidR="006B32F3" w:rsidRDefault="00000000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Standard rate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C2" w14:textId="692AC678" w:rsidR="006B32F3" w:rsidRDefault="00000000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 xml:space="preserve">$2,500 / </w:t>
            </w:r>
            <w:r w:rsidR="00001AA3"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qtr.</w:t>
            </w:r>
          </w:p>
        </w:tc>
      </w:tr>
      <w:tr w:rsidR="006B32F3" w14:paraId="520AF2C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C4" w14:textId="77777777" w:rsidR="006B32F3" w:rsidRDefault="00000000">
            <w:r>
              <w:rPr>
                <w:rFonts w:ascii="Calibri" w:eastAsia="Calibri" w:hAnsi="Calibri" w:cs="Calibri"/>
                <w:b/>
                <w:bCs/>
                <w:color w:val="333B45"/>
                <w:sz w:val="19"/>
                <w:szCs w:val="19"/>
              </w:rPr>
              <w:t>Client-hosted rate (applied)</w:t>
            </w:r>
          </w:p>
        </w:tc>
        <w:tc>
          <w:tcPr>
            <w:tcW w:w="28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C5" w14:textId="5FABE3FA" w:rsidR="006B32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333B45"/>
                <w:sz w:val="19"/>
                <w:szCs w:val="19"/>
              </w:rPr>
              <w:t xml:space="preserve">$1,000 / </w:t>
            </w:r>
            <w:r w:rsidR="00001AA3">
              <w:rPr>
                <w:rFonts w:ascii="Calibri" w:eastAsia="Calibri" w:hAnsi="Calibri" w:cs="Calibri"/>
                <w:b/>
                <w:bCs/>
                <w:color w:val="333B45"/>
                <w:sz w:val="19"/>
                <w:szCs w:val="19"/>
              </w:rPr>
              <w:t>qtr.</w:t>
            </w:r>
          </w:p>
        </w:tc>
      </w:tr>
    </w:tbl>
    <w:p w14:paraId="520AF2C7" w14:textId="77777777" w:rsidR="006B32F3" w:rsidRDefault="00000000">
      <w:pPr>
        <w:spacing w:after="120"/>
      </w:pPr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>The client-hosted rate applies when ChargeGuard runs on the client's own infrastructure, which removes Amelior's hosting and per-run infrastructure cost.</w:t>
      </w:r>
    </w:p>
    <w:p w14:paraId="520AF2C8" w14:textId="77777777" w:rsidR="006B32F3" w:rsidRDefault="00000000">
      <w:pPr>
        <w:spacing w:before="60" w:after="60"/>
      </w:pPr>
      <w:r>
        <w:rPr>
          <w:rFonts w:ascii="Calibri" w:eastAsia="Calibri" w:hAnsi="Calibri" w:cs="Calibri"/>
          <w:b/>
          <w:bCs/>
          <w:color w:val="1F3350"/>
          <w:sz w:val="19"/>
          <w:szCs w:val="19"/>
        </w:rPr>
        <w:t>Cadence</w:t>
      </w:r>
    </w:p>
    <w:tbl>
      <w:tblPr>
        <w:tblW w:w="8800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2800"/>
      </w:tblGrid>
      <w:tr w:rsidR="006B32F3" w14:paraId="520AF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C9" w14:textId="77777777" w:rsidR="006B32F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8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CA" w14:textId="77777777" w:rsidR="006B32F3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B32F3" w14:paraId="520AF2C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CC" w14:textId="5B2FF29D" w:rsidR="006B32F3" w:rsidRDefault="00682353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Annualized Cost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CD" w14:textId="391792B7" w:rsidR="006B32F3" w:rsidRDefault="00682353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$2,500 /</w:t>
            </w: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 xml:space="preserve"> year</w:t>
            </w:r>
          </w:p>
        </w:tc>
      </w:tr>
      <w:tr w:rsidR="006B32F3" w14:paraId="520AF2D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CF" w14:textId="77777777" w:rsidR="006B32F3" w:rsidRDefault="00000000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Billing</w:t>
            </w:r>
          </w:p>
        </w:tc>
        <w:tc>
          <w:tcPr>
            <w:tcW w:w="28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D0" w14:textId="77777777" w:rsidR="006B32F3" w:rsidRDefault="00000000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Quarterly, one invoice per quarter</w:t>
            </w:r>
          </w:p>
        </w:tc>
      </w:tr>
    </w:tbl>
    <w:p w14:paraId="520AF2D2" w14:textId="77777777" w:rsidR="006B32F3" w:rsidRDefault="00000000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Worked example: a 7-hospital system</w:t>
      </w:r>
    </w:p>
    <w:p w14:paraId="520AF2D3" w14:textId="77777777" w:rsidR="006B32F3" w:rsidRDefault="00000000">
      <w:pPr>
        <w:spacing w:after="120"/>
      </w:pPr>
      <w:r>
        <w:rPr>
          <w:rFonts w:ascii="Calibri" w:eastAsia="Calibri" w:hAnsi="Calibri" w:cs="Calibri"/>
          <w:color w:val="333B45"/>
          <w:sz w:val="21"/>
          <w:szCs w:val="21"/>
        </w:rPr>
        <w:t>Seven hospitals, each reviewed every quarter, at the client-hosted rate. Monthly figures do not apply; ChargeGuard is billed per run.</w:t>
      </w:r>
    </w:p>
    <w:tbl>
      <w:tblPr>
        <w:tblW w:w="8817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7"/>
        <w:gridCol w:w="1620"/>
        <w:gridCol w:w="1800"/>
        <w:gridCol w:w="1890"/>
      </w:tblGrid>
      <w:tr w:rsidR="00682353" w14:paraId="520AF2D9" w14:textId="77777777" w:rsidTr="006823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7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D4" w14:textId="77777777" w:rsidR="00682353" w:rsidRDefault="0068235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62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D5" w14:textId="77777777" w:rsidR="00682353" w:rsidRDefault="00682353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Hospitals</w:t>
            </w:r>
          </w:p>
        </w:tc>
        <w:tc>
          <w:tcPr>
            <w:tcW w:w="18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D7" w14:textId="21E75F17" w:rsidR="00682353" w:rsidRDefault="00682353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Rate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qtr</w:t>
            </w:r>
            <w:proofErr w:type="spellEnd"/>
          </w:p>
        </w:tc>
        <w:tc>
          <w:tcPr>
            <w:tcW w:w="189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D8" w14:textId="77777777" w:rsidR="00682353" w:rsidRDefault="00682353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Annual total</w:t>
            </w:r>
          </w:p>
        </w:tc>
      </w:tr>
      <w:tr w:rsidR="00682353" w14:paraId="520AF2DF" w14:textId="77777777" w:rsidTr="00682353">
        <w:tblPrEx>
          <w:tblCellMar>
            <w:top w:w="0" w:type="dxa"/>
            <w:bottom w:w="0" w:type="dxa"/>
          </w:tblCellMar>
        </w:tblPrEx>
        <w:tc>
          <w:tcPr>
            <w:tcW w:w="3507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DA" w14:textId="77777777" w:rsidR="00682353" w:rsidRDefault="00682353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Quarterly CDM review</w:t>
            </w:r>
          </w:p>
        </w:tc>
        <w:tc>
          <w:tcPr>
            <w:tcW w:w="162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DB" w14:textId="77777777" w:rsidR="00682353" w:rsidRDefault="00682353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7</w:t>
            </w:r>
          </w:p>
        </w:tc>
        <w:tc>
          <w:tcPr>
            <w:tcW w:w="18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DD" w14:textId="77777777" w:rsidR="00682353" w:rsidRDefault="00682353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$1,000</w:t>
            </w:r>
          </w:p>
        </w:tc>
        <w:tc>
          <w:tcPr>
            <w:tcW w:w="189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DE" w14:textId="77777777" w:rsidR="00682353" w:rsidRDefault="00682353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$28,000</w:t>
            </w:r>
          </w:p>
        </w:tc>
      </w:tr>
      <w:tr w:rsidR="00682353" w14:paraId="520AF2E5" w14:textId="77777777" w:rsidTr="00682353">
        <w:tblPrEx>
          <w:tblCellMar>
            <w:top w:w="0" w:type="dxa"/>
            <w:bottom w:w="0" w:type="dxa"/>
          </w:tblCellMar>
        </w:tblPrEx>
        <w:tc>
          <w:tcPr>
            <w:tcW w:w="3507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E0" w14:textId="77777777" w:rsidR="00682353" w:rsidRDefault="00682353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System total</w:t>
            </w:r>
          </w:p>
        </w:tc>
        <w:tc>
          <w:tcPr>
            <w:tcW w:w="162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E1" w14:textId="77777777" w:rsidR="00682353" w:rsidRDefault="00682353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18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E3" w14:textId="77777777" w:rsidR="00682353" w:rsidRDefault="00682353">
            <w:pPr>
              <w:jc w:val="right"/>
            </w:pPr>
          </w:p>
        </w:tc>
        <w:tc>
          <w:tcPr>
            <w:tcW w:w="189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0AF2E4" w14:textId="77777777" w:rsidR="00682353" w:rsidRDefault="00682353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$28,000</w:t>
            </w:r>
          </w:p>
        </w:tc>
      </w:tr>
    </w:tbl>
    <w:p w14:paraId="520AF2E6" w14:textId="77777777" w:rsidR="006B32F3" w:rsidRDefault="006B32F3">
      <w:pPr>
        <w:spacing w:before="140" w:after="60"/>
      </w:pPr>
    </w:p>
    <w:tbl>
      <w:tblPr>
        <w:tblW w:w="8797" w:type="dxa"/>
        <w:tblBorders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7"/>
        <w:gridCol w:w="4230"/>
      </w:tblGrid>
      <w:tr w:rsidR="006B32F3" w14:paraId="520AF2ED" w14:textId="77777777" w:rsidTr="00682353">
        <w:tblPrEx>
          <w:tblCellMar>
            <w:top w:w="0" w:type="dxa"/>
            <w:bottom w:w="0" w:type="dxa"/>
          </w:tblCellMar>
        </w:tblPrEx>
        <w:tc>
          <w:tcPr>
            <w:tcW w:w="4567" w:type="dxa"/>
            <w:tcBorders>
              <w:left w:val="single" w:sz="18" w:space="0" w:color="2FA98C"/>
            </w:tcBorders>
            <w:shd w:val="clear" w:color="auto" w:fill="E7F5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0AF2E7" w14:textId="77777777" w:rsidR="006B32F3" w:rsidRDefault="00000000">
            <w:pPr>
              <w:spacing w:after="2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350"/>
                <w:sz w:val="19"/>
                <w:szCs w:val="19"/>
              </w:rPr>
              <w:t>Annual,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350"/>
                <w:sz w:val="19"/>
                <w:szCs w:val="19"/>
              </w:rPr>
              <w:t xml:space="preserve"> client-hosted rate</w:t>
            </w:r>
          </w:p>
          <w:p w14:paraId="520AF2E8" w14:textId="77777777" w:rsidR="006B32F3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FA98C"/>
                <w:sz w:val="34"/>
                <w:szCs w:val="34"/>
              </w:rPr>
              <w:t>$28,000</w:t>
            </w:r>
          </w:p>
          <w:p w14:paraId="520AF2E9" w14:textId="77777777" w:rsidR="006B32F3" w:rsidRDefault="00000000"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7 hospitals x 4 runs x $1,000</w:t>
            </w:r>
          </w:p>
        </w:tc>
        <w:tc>
          <w:tcPr>
            <w:tcW w:w="4230" w:type="dxa"/>
            <w:tcBorders>
              <w:left w:val="single" w:sz="18" w:space="0" w:color="2FA98C"/>
            </w:tcBorders>
            <w:shd w:val="clear" w:color="auto" w:fill="E7F5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0AF2EA" w14:textId="77777777" w:rsidR="006B32F3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350"/>
                <w:sz w:val="19"/>
                <w:szCs w:val="19"/>
              </w:rPr>
              <w:t>Annual, standard rate</w:t>
            </w:r>
          </w:p>
          <w:p w14:paraId="520AF2EB" w14:textId="77777777" w:rsidR="006B32F3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350"/>
                <w:sz w:val="34"/>
                <w:szCs w:val="34"/>
              </w:rPr>
              <w:t>$70,000</w:t>
            </w:r>
          </w:p>
          <w:p w14:paraId="520AF2EC" w14:textId="77777777" w:rsidR="006B32F3" w:rsidRDefault="00000000"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7 hospitals x 4 runs x $2,500</w:t>
            </w:r>
          </w:p>
        </w:tc>
      </w:tr>
    </w:tbl>
    <w:p w14:paraId="520AF2EE" w14:textId="77777777" w:rsidR="006B32F3" w:rsidRDefault="00000000">
      <w:pPr>
        <w:spacing w:after="120"/>
      </w:pPr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>The client-hosted deployment saves roughly $42,000 a year versus the standard rate.</w:t>
      </w:r>
    </w:p>
    <w:p w14:paraId="520AF2EF" w14:textId="77777777" w:rsidR="006B32F3" w:rsidRDefault="00000000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Client-hosted discount</w:t>
      </w:r>
    </w:p>
    <w:tbl>
      <w:tblPr>
        <w:tblW w:w="88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</w:tblGrid>
      <w:tr w:rsidR="006B32F3" w14:paraId="520AF2F1" w14:textId="77777777">
        <w:tblPrEx>
          <w:tblCellMar>
            <w:top w:w="0" w:type="dxa"/>
            <w:bottom w:w="0" w:type="dxa"/>
          </w:tblCellMar>
        </w:tblPrEx>
        <w:tc>
          <w:tcPr>
            <w:tcW w:w="8800" w:type="dxa"/>
            <w:tcBorders>
              <w:left w:val="single" w:sz="18" w:space="0" w:color="2FA98C"/>
            </w:tcBorders>
            <w:shd w:val="clear" w:color="auto" w:fill="E7F5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0AF2F0" w14:textId="77777777" w:rsidR="006B32F3" w:rsidRDefault="00000000">
            <w:r>
              <w:rPr>
                <w:rFonts w:ascii="Calibri" w:eastAsia="Calibri" w:hAnsi="Calibri" w:cs="Calibri"/>
                <w:b/>
                <w:bCs/>
                <w:color w:val="1F3350"/>
              </w:rPr>
              <w:lastRenderedPageBreak/>
              <w:t xml:space="preserve">ChargeGuard runs on the client's own infrastructure. </w:t>
            </w:r>
            <w:r>
              <w:rPr>
                <w:rFonts w:ascii="Calibri" w:eastAsia="Calibri" w:hAnsi="Calibri" w:cs="Calibri"/>
                <w:color w:val="333B45"/>
              </w:rPr>
              <w:t>Because Amelior carries no hosting or per-run infrastructure cost, that saving is passed through directly, lowering the rate from $2,500 to $1,000 per run.</w:t>
            </w:r>
          </w:p>
        </w:tc>
      </w:tr>
    </w:tbl>
    <w:p w14:paraId="520AF2F2" w14:textId="77777777" w:rsidR="006B32F3" w:rsidRDefault="00000000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Notes</w:t>
      </w:r>
    </w:p>
    <w:p w14:paraId="520AF2F3" w14:textId="77777777" w:rsidR="006B32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Pricing is per hospital, per quarterly run. Final pricing is confirmed at contracting.</w:t>
      </w:r>
    </w:p>
    <w:p w14:paraId="520AF2F4" w14:textId="77777777" w:rsidR="006B32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Each run delivers a full CDM review, peer benchmarking, ranked findings with estimated dollar impact, and a corrected chargemaster export.</w:t>
      </w:r>
    </w:p>
    <w:p w14:paraId="520AF2F5" w14:textId="77777777" w:rsidR="006B32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The rate holds at $1,000 per hospital per run as additional hospitals are added.</w:t>
      </w:r>
    </w:p>
    <w:p w14:paraId="520AF2F6" w14:textId="77777777" w:rsidR="006B32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No implementation, onboarding, or infrastructure fees.</w:t>
      </w:r>
    </w:p>
    <w:sectPr w:rsidR="006B32F3">
      <w:footerReference w:type="default" r:id="rId8"/>
      <w:pgSz w:w="12240" w:h="15840"/>
      <w:pgMar w:top="108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46A94" w14:textId="77777777" w:rsidR="00592380" w:rsidRDefault="00592380">
      <w:r>
        <w:separator/>
      </w:r>
    </w:p>
  </w:endnote>
  <w:endnote w:type="continuationSeparator" w:id="0">
    <w:p w14:paraId="472BA453" w14:textId="77777777" w:rsidR="00592380" w:rsidRDefault="00592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F2F9" w14:textId="19830E6E" w:rsidR="006B32F3" w:rsidRDefault="00000000">
    <w:pPr>
      <w:pBdr>
        <w:top w:val="single" w:sz="4" w:space="6" w:color="D9DEE3"/>
      </w:pBdr>
    </w:pPr>
    <w:r>
      <w:rPr>
        <w:rFonts w:ascii="Calibri" w:eastAsia="Calibri" w:hAnsi="Calibri" w:cs="Calibri"/>
        <w:color w:val="6B7280"/>
        <w:sz w:val="15"/>
        <w:szCs w:val="15"/>
      </w:rPr>
      <w:t xml:space="preserve">Amelior Management Solutions &amp; Services   ·   Confidential   ·   ChargeGuard Pricing Methodology   Page </w:t>
    </w:r>
    <w:r>
      <w:rPr>
        <w:rFonts w:ascii="Calibri" w:eastAsia="Calibri" w:hAnsi="Calibri" w:cs="Calibri"/>
        <w:color w:val="6B7280"/>
        <w:sz w:val="15"/>
        <w:szCs w:val="15"/>
      </w:rPr>
      <w:fldChar w:fldCharType="begin"/>
    </w:r>
    <w:r>
      <w:rPr>
        <w:rFonts w:ascii="Calibri" w:eastAsia="Calibri" w:hAnsi="Calibri" w:cs="Calibri"/>
        <w:color w:val="6B7280"/>
        <w:sz w:val="15"/>
        <w:szCs w:val="15"/>
      </w:rPr>
      <w:instrText>PAGE</w:instrText>
    </w:r>
    <w:r>
      <w:rPr>
        <w:rFonts w:ascii="Calibri" w:eastAsia="Calibri" w:hAnsi="Calibri" w:cs="Calibri"/>
        <w:color w:val="6B7280"/>
        <w:sz w:val="15"/>
        <w:szCs w:val="15"/>
      </w:rPr>
      <w:fldChar w:fldCharType="separate"/>
    </w:r>
    <w:r w:rsidR="00001AA3">
      <w:rPr>
        <w:rFonts w:ascii="Calibri" w:eastAsia="Calibri" w:hAnsi="Calibri" w:cs="Calibri"/>
        <w:noProof/>
        <w:color w:val="6B7280"/>
        <w:sz w:val="15"/>
        <w:szCs w:val="15"/>
      </w:rPr>
      <w:t>1</w:t>
    </w:r>
    <w:r>
      <w:rPr>
        <w:rFonts w:ascii="Calibri" w:eastAsia="Calibri" w:hAnsi="Calibri" w:cs="Calibri"/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F2773" w14:textId="77777777" w:rsidR="00592380" w:rsidRDefault="00592380">
      <w:r>
        <w:separator/>
      </w:r>
    </w:p>
  </w:footnote>
  <w:footnote w:type="continuationSeparator" w:id="0">
    <w:p w14:paraId="592E004E" w14:textId="77777777" w:rsidR="00592380" w:rsidRDefault="00592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6BA"/>
    <w:multiLevelType w:val="hybridMultilevel"/>
    <w:tmpl w:val="191A6770"/>
    <w:lvl w:ilvl="0" w:tplc="BFDA8440">
      <w:start w:val="1"/>
      <w:numFmt w:val="bullet"/>
      <w:lvlText w:val="●"/>
      <w:lvlJc w:val="left"/>
      <w:pPr>
        <w:ind w:left="720" w:hanging="360"/>
      </w:pPr>
    </w:lvl>
    <w:lvl w:ilvl="1" w:tplc="2014E754">
      <w:start w:val="1"/>
      <w:numFmt w:val="bullet"/>
      <w:lvlText w:val="○"/>
      <w:lvlJc w:val="left"/>
      <w:pPr>
        <w:ind w:left="1440" w:hanging="360"/>
      </w:pPr>
    </w:lvl>
    <w:lvl w:ilvl="2" w:tplc="48A67AC8">
      <w:start w:val="1"/>
      <w:numFmt w:val="bullet"/>
      <w:lvlText w:val="■"/>
      <w:lvlJc w:val="left"/>
      <w:pPr>
        <w:ind w:left="2160" w:hanging="360"/>
      </w:pPr>
    </w:lvl>
    <w:lvl w:ilvl="3" w:tplc="CDB65FD8">
      <w:start w:val="1"/>
      <w:numFmt w:val="bullet"/>
      <w:lvlText w:val="●"/>
      <w:lvlJc w:val="left"/>
      <w:pPr>
        <w:ind w:left="2880" w:hanging="360"/>
      </w:pPr>
    </w:lvl>
    <w:lvl w:ilvl="4" w:tplc="53D20538">
      <w:start w:val="1"/>
      <w:numFmt w:val="bullet"/>
      <w:lvlText w:val="○"/>
      <w:lvlJc w:val="left"/>
      <w:pPr>
        <w:ind w:left="3600" w:hanging="360"/>
      </w:pPr>
    </w:lvl>
    <w:lvl w:ilvl="5" w:tplc="6E366AA2">
      <w:start w:val="1"/>
      <w:numFmt w:val="bullet"/>
      <w:lvlText w:val="■"/>
      <w:lvlJc w:val="left"/>
      <w:pPr>
        <w:ind w:left="4320" w:hanging="360"/>
      </w:pPr>
    </w:lvl>
    <w:lvl w:ilvl="6" w:tplc="40F08334">
      <w:start w:val="1"/>
      <w:numFmt w:val="bullet"/>
      <w:lvlText w:val="●"/>
      <w:lvlJc w:val="left"/>
      <w:pPr>
        <w:ind w:left="5040" w:hanging="360"/>
      </w:pPr>
    </w:lvl>
    <w:lvl w:ilvl="7" w:tplc="DA3858EC">
      <w:start w:val="1"/>
      <w:numFmt w:val="bullet"/>
      <w:lvlText w:val="●"/>
      <w:lvlJc w:val="left"/>
      <w:pPr>
        <w:ind w:left="5760" w:hanging="360"/>
      </w:pPr>
    </w:lvl>
    <w:lvl w:ilvl="8" w:tplc="AD9E37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1A38F1"/>
    <w:multiLevelType w:val="hybridMultilevel"/>
    <w:tmpl w:val="6BFE702A"/>
    <w:lvl w:ilvl="0" w:tplc="5F8E69D2">
      <w:start w:val="1"/>
      <w:numFmt w:val="decimal"/>
      <w:lvlText w:val="%1."/>
      <w:lvlJc w:val="left"/>
      <w:pPr>
        <w:ind w:left="360" w:hanging="220"/>
      </w:pPr>
    </w:lvl>
    <w:lvl w:ilvl="1" w:tplc="11B84206">
      <w:numFmt w:val="decimal"/>
      <w:lvlText w:val=""/>
      <w:lvlJc w:val="left"/>
    </w:lvl>
    <w:lvl w:ilvl="2" w:tplc="65BC79AA">
      <w:numFmt w:val="decimal"/>
      <w:lvlText w:val=""/>
      <w:lvlJc w:val="left"/>
    </w:lvl>
    <w:lvl w:ilvl="3" w:tplc="E3605726">
      <w:numFmt w:val="decimal"/>
      <w:lvlText w:val=""/>
      <w:lvlJc w:val="left"/>
    </w:lvl>
    <w:lvl w:ilvl="4" w:tplc="E0AA7E12">
      <w:numFmt w:val="decimal"/>
      <w:lvlText w:val=""/>
      <w:lvlJc w:val="left"/>
    </w:lvl>
    <w:lvl w:ilvl="5" w:tplc="E564E142">
      <w:numFmt w:val="decimal"/>
      <w:lvlText w:val=""/>
      <w:lvlJc w:val="left"/>
    </w:lvl>
    <w:lvl w:ilvl="6" w:tplc="24565CE6">
      <w:numFmt w:val="decimal"/>
      <w:lvlText w:val=""/>
      <w:lvlJc w:val="left"/>
    </w:lvl>
    <w:lvl w:ilvl="7" w:tplc="4D7E28E8">
      <w:numFmt w:val="decimal"/>
      <w:lvlText w:val=""/>
      <w:lvlJc w:val="left"/>
    </w:lvl>
    <w:lvl w:ilvl="8" w:tplc="B97C49EC">
      <w:numFmt w:val="decimal"/>
      <w:lvlText w:val=""/>
      <w:lvlJc w:val="left"/>
    </w:lvl>
  </w:abstractNum>
  <w:num w:numId="1" w16cid:durableId="889264286">
    <w:abstractNumId w:val="0"/>
    <w:lvlOverride w:ilvl="0">
      <w:startOverride w:val="1"/>
    </w:lvlOverride>
  </w:num>
  <w:num w:numId="2" w16cid:durableId="12709689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2F3"/>
    <w:rsid w:val="00001AA3"/>
    <w:rsid w:val="00592380"/>
    <w:rsid w:val="00682353"/>
    <w:rsid w:val="006B32F3"/>
    <w:rsid w:val="00CC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F2B5"/>
  <w15:docId w15:val="{A99C5105-81C5-4E8E-B987-73D57DC58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kaylee rae</cp:lastModifiedBy>
  <cp:revision>3</cp:revision>
  <dcterms:created xsi:type="dcterms:W3CDTF">2026-08-31T13:46:00Z</dcterms:created>
  <dcterms:modified xsi:type="dcterms:W3CDTF">2026-08-31T18:08:00Z</dcterms:modified>
</cp:coreProperties>
</file>