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89D36" w14:textId="7B556ABA" w:rsidR="00BF164E" w:rsidRDefault="00BF164E">
      <w:pPr>
        <w:spacing w:after="180"/>
      </w:pPr>
    </w:p>
    <w:p w14:paraId="62689D38" w14:textId="77777777" w:rsidR="00BF164E" w:rsidRDefault="006E7405" w:rsidP="00940004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350"/>
          <w:sz w:val="34"/>
          <w:szCs w:val="34"/>
        </w:rPr>
        <w:t>ChargeGuard Pricing Methodology</w:t>
      </w:r>
    </w:p>
    <w:p w14:paraId="62689D3A" w14:textId="77777777" w:rsidR="00BF164E" w:rsidRDefault="006E7405" w:rsidP="00A2767A">
      <w:pPr>
        <w:spacing w:after="60"/>
        <w:jc w:val="center"/>
      </w:pPr>
      <w:r>
        <w:rPr>
          <w:rFonts w:ascii="Calibri" w:eastAsia="Calibri" w:hAnsi="Calibri" w:cs="Calibri"/>
          <w:color w:val="6B7280"/>
          <w:sz w:val="17"/>
          <w:szCs w:val="17"/>
        </w:rPr>
        <w:t>Pricing framework     |     August 2026     |     Amelior Management Solutions &amp; Services</w:t>
      </w:r>
    </w:p>
    <w:p w14:paraId="21C893FD" w14:textId="77777777" w:rsidR="00A2767A" w:rsidRDefault="00A2767A" w:rsidP="001C1C4E">
      <w:pPr>
        <w:rPr>
          <w:rFonts w:ascii="Calibri" w:eastAsia="Calibri" w:hAnsi="Calibri" w:cs="Calibri"/>
          <w:b/>
          <w:bCs/>
          <w:color w:val="1F3350"/>
          <w:sz w:val="24"/>
          <w:szCs w:val="24"/>
        </w:rPr>
      </w:pPr>
    </w:p>
    <w:p w14:paraId="62689D3B" w14:textId="1A82AA36" w:rsidR="00BF164E" w:rsidRDefault="006E7405" w:rsidP="00940004">
      <w:pPr>
        <w:spacing w:before="260" w:after="120"/>
      </w:pPr>
      <w:r>
        <w:rPr>
          <w:rFonts w:ascii="Calibri" w:eastAsia="Calibri" w:hAnsi="Calibri" w:cs="Calibri"/>
          <w:b/>
          <w:bCs/>
          <w:color w:val="1F3350"/>
          <w:sz w:val="24"/>
          <w:szCs w:val="24"/>
        </w:rPr>
        <w:t>Overview</w:t>
      </w:r>
    </w:p>
    <w:p w14:paraId="62689D3C" w14:textId="77777777" w:rsidR="00BF164E" w:rsidRDefault="006E7405">
      <w:pPr>
        <w:spacing w:after="120"/>
      </w:pPr>
      <w:r>
        <w:rPr>
          <w:rFonts w:ascii="Calibri" w:eastAsia="Calibri" w:hAnsi="Calibri" w:cs="Calibri"/>
          <w:color w:val="333B45"/>
          <w:sz w:val="21"/>
          <w:szCs w:val="21"/>
        </w:rPr>
        <w:t xml:space="preserve">ChargeGuard is priced per hospital, per quarter, and they can run the review as many times as they want within the quarter at no extra cost. The standard rate is $2,500 a quarter. When it runs on the client's own infrastructure we don't </w:t>
      </w:r>
      <w:proofErr w:type="gramStart"/>
      <w:r>
        <w:rPr>
          <w:rFonts w:ascii="Calibri" w:eastAsia="Calibri" w:hAnsi="Calibri" w:cs="Calibri"/>
          <w:color w:val="333B45"/>
          <w:sz w:val="21"/>
          <w:szCs w:val="21"/>
        </w:rPr>
        <w:t>pay for</w:t>
      </w:r>
      <w:proofErr w:type="gramEnd"/>
      <w:r>
        <w:rPr>
          <w:rFonts w:ascii="Calibri" w:eastAsia="Calibri" w:hAnsi="Calibri" w:cs="Calibri"/>
          <w:color w:val="333B45"/>
          <w:sz w:val="21"/>
          <w:szCs w:val="21"/>
        </w:rPr>
        <w:t xml:space="preserve"> hosting, so we take that off the price and charge $1,000 a quarter. Adding more hospitals doesn't change the per-quarter rate.</w:t>
      </w:r>
    </w:p>
    <w:p w14:paraId="62689D3D" w14:textId="77777777" w:rsidR="00BF164E" w:rsidRDefault="006E7405">
      <w:pPr>
        <w:pBdr>
          <w:bottom w:val="single" w:sz="6" w:space="4" w:color="D9DEE3"/>
        </w:pBdr>
        <w:spacing w:before="260" w:after="120"/>
      </w:pPr>
      <w:r>
        <w:rPr>
          <w:rFonts w:ascii="Calibri" w:eastAsia="Calibri" w:hAnsi="Calibri" w:cs="Calibri"/>
          <w:b/>
          <w:bCs/>
          <w:color w:val="1F3350"/>
          <w:sz w:val="24"/>
          <w:szCs w:val="24"/>
        </w:rPr>
        <w:t>Scope of services</w:t>
      </w:r>
    </w:p>
    <w:p w14:paraId="62689D3E" w14:textId="77777777" w:rsidR="00BF164E" w:rsidRDefault="006E7405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3B45"/>
        </w:rPr>
        <w:t>A full chargemaster review across the ChargeGuard rule library, covering coding and status indicators, pricing against Medicare, devices, pharmacy, modifiers, price transparency, and 837 claims.</w:t>
      </w:r>
    </w:p>
    <w:p w14:paraId="62689D3F" w14:textId="77777777" w:rsidR="00BF164E" w:rsidRDefault="006E7405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3B45"/>
        </w:rPr>
        <w:t>Peer benchmarking against named competitors, pulled from their public price files.</w:t>
      </w:r>
    </w:p>
    <w:p w14:paraId="62689D40" w14:textId="77777777" w:rsidR="00BF164E" w:rsidRDefault="006E7405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3B45"/>
        </w:rPr>
        <w:t>A ranked findings list with the dollar impact on each, and a reject or resolve step that writes the fix back to the chargemaster.</w:t>
      </w:r>
    </w:p>
    <w:p w14:paraId="62689D41" w14:textId="77777777" w:rsidR="00BF164E" w:rsidRDefault="006E7405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3B45"/>
        </w:rPr>
        <w:t>A corrected chargemaster the client can export and load straight back into their system.</w:t>
      </w:r>
    </w:p>
    <w:p w14:paraId="62689D42" w14:textId="77777777" w:rsidR="00BF164E" w:rsidRDefault="006E7405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3B45"/>
        </w:rPr>
        <w:t>Rule activation. The client turns on the rules they want for their engagement, and nothing runs that they haven't picked.</w:t>
      </w:r>
    </w:p>
    <w:p w14:paraId="62689D43" w14:textId="77777777" w:rsidR="00BF164E" w:rsidRDefault="006E7405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3B45"/>
        </w:rPr>
        <w:t xml:space="preserve">Custom rules. If a client wants a rule we don't already have, they send it over and we build it </w:t>
      </w:r>
      <w:proofErr w:type="gramStart"/>
      <w:r>
        <w:rPr>
          <w:rFonts w:ascii="Calibri" w:eastAsia="Calibri" w:hAnsi="Calibri" w:cs="Calibri"/>
          <w:color w:val="333B45"/>
        </w:rPr>
        <w:t>in</w:t>
      </w:r>
      <w:proofErr w:type="gramEnd"/>
      <w:r>
        <w:rPr>
          <w:rFonts w:ascii="Calibri" w:eastAsia="Calibri" w:hAnsi="Calibri" w:cs="Calibri"/>
          <w:color w:val="333B45"/>
        </w:rPr>
        <w:t xml:space="preserve"> for them.</w:t>
      </w:r>
    </w:p>
    <w:p w14:paraId="62689D44" w14:textId="77777777" w:rsidR="00BF164E" w:rsidRDefault="006E7405">
      <w:pPr>
        <w:pBdr>
          <w:bottom w:val="single" w:sz="6" w:space="4" w:color="D9DEE3"/>
        </w:pBdr>
        <w:spacing w:before="260" w:after="120"/>
      </w:pPr>
      <w:r>
        <w:rPr>
          <w:rFonts w:ascii="Calibri" w:eastAsia="Calibri" w:hAnsi="Calibri" w:cs="Calibri"/>
          <w:b/>
          <w:bCs/>
          <w:color w:val="1F3350"/>
          <w:sz w:val="24"/>
          <w:szCs w:val="24"/>
        </w:rPr>
        <w:t>Pricing schedule</w:t>
      </w:r>
    </w:p>
    <w:p w14:paraId="62689D45" w14:textId="77777777" w:rsidR="00BF164E" w:rsidRDefault="006E7405">
      <w:pPr>
        <w:spacing w:before="60" w:after="60"/>
      </w:pPr>
      <w:r>
        <w:rPr>
          <w:rFonts w:ascii="Calibri" w:eastAsia="Calibri" w:hAnsi="Calibri" w:cs="Calibri"/>
          <w:b/>
          <w:bCs/>
          <w:color w:val="1F3350"/>
          <w:sz w:val="19"/>
          <w:szCs w:val="19"/>
        </w:rPr>
        <w:t>Per quarter</w:t>
      </w:r>
    </w:p>
    <w:tbl>
      <w:tblPr>
        <w:tblW w:w="8800" w:type="dxa"/>
        <w:tblBorders>
          <w:top w:val="single" w:sz="2" w:space="0" w:color="D9DEE3"/>
          <w:left w:val="single" w:sz="2" w:space="0" w:color="D9DEE3"/>
          <w:bottom w:val="single" w:sz="2" w:space="0" w:color="D9DEE3"/>
          <w:right w:val="single" w:sz="2" w:space="0" w:color="D9DEE3"/>
          <w:insideH w:val="single" w:sz="2" w:space="0" w:color="D9DEE3"/>
          <w:insideV w:val="single" w:sz="2" w:space="0" w:color="D9DE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2800"/>
      </w:tblGrid>
      <w:tr w:rsidR="00BF164E" w14:paraId="62689D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689D46" w14:textId="77777777" w:rsidR="00BF164E" w:rsidRDefault="006E740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Rate</w:t>
            </w:r>
          </w:p>
        </w:tc>
        <w:tc>
          <w:tcPr>
            <w:tcW w:w="28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689D47" w14:textId="77777777" w:rsidR="00BF164E" w:rsidRDefault="006E7405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Amount</w:t>
            </w:r>
          </w:p>
        </w:tc>
      </w:tr>
      <w:tr w:rsidR="00BF164E" w14:paraId="62689D4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689D49" w14:textId="77777777" w:rsidR="00BF164E" w:rsidRDefault="006E7405"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Standard rate</w:t>
            </w:r>
          </w:p>
        </w:tc>
        <w:tc>
          <w:tcPr>
            <w:tcW w:w="2800" w:type="dx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689D4A" w14:textId="77777777" w:rsidR="00BF164E" w:rsidRDefault="006E7405">
            <w:pPr>
              <w:jc w:val="right"/>
            </w:pPr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$2,500 / quarter</w:t>
            </w:r>
          </w:p>
        </w:tc>
      </w:tr>
      <w:tr w:rsidR="00BF164E" w14:paraId="62689D4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2F5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689D4C" w14:textId="77777777" w:rsidR="00BF164E" w:rsidRDefault="006E7405">
            <w:r>
              <w:rPr>
                <w:rFonts w:ascii="Calibri" w:eastAsia="Calibri" w:hAnsi="Calibri" w:cs="Calibri"/>
                <w:b/>
                <w:bCs/>
                <w:color w:val="333B45"/>
                <w:sz w:val="19"/>
                <w:szCs w:val="19"/>
              </w:rPr>
              <w:t>Client-hosted rate (applied)</w:t>
            </w:r>
          </w:p>
        </w:tc>
        <w:tc>
          <w:tcPr>
            <w:tcW w:w="2800" w:type="dxa"/>
            <w:shd w:val="clear" w:color="auto" w:fill="F2F5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689D4D" w14:textId="77777777" w:rsidR="00BF164E" w:rsidRDefault="006E7405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333B45"/>
                <w:sz w:val="19"/>
                <w:szCs w:val="19"/>
              </w:rPr>
              <w:t>$1,000 / quarter</w:t>
            </w:r>
          </w:p>
        </w:tc>
      </w:tr>
    </w:tbl>
    <w:p w14:paraId="62689D4F" w14:textId="77777777" w:rsidR="00BF164E" w:rsidRDefault="006E7405">
      <w:pPr>
        <w:spacing w:after="120"/>
      </w:pPr>
      <w:r>
        <w:rPr>
          <w:rFonts w:ascii="Calibri" w:eastAsia="Calibri" w:hAnsi="Calibri" w:cs="Calibri"/>
          <w:i/>
          <w:iCs/>
          <w:color w:val="6B7280"/>
          <w:sz w:val="17"/>
          <w:szCs w:val="17"/>
        </w:rPr>
        <w:t>This rate applies when ChargeGuard runs on the client's own infrastructure, which is what takes our hosting cost out of the picture. It is a flat quarterly rate per hospital, with unlimited re-runs during the quarter.</w:t>
      </w:r>
    </w:p>
    <w:p w14:paraId="62689D50" w14:textId="77777777" w:rsidR="00BF164E" w:rsidRDefault="006E7405">
      <w:pPr>
        <w:spacing w:before="60" w:after="60"/>
      </w:pPr>
      <w:r>
        <w:rPr>
          <w:rFonts w:ascii="Calibri" w:eastAsia="Calibri" w:hAnsi="Calibri" w:cs="Calibri"/>
          <w:b/>
          <w:bCs/>
          <w:color w:val="1F3350"/>
          <w:sz w:val="19"/>
          <w:szCs w:val="19"/>
        </w:rPr>
        <w:t>Cadence</w:t>
      </w:r>
    </w:p>
    <w:tbl>
      <w:tblPr>
        <w:tblW w:w="8800" w:type="dxa"/>
        <w:tblBorders>
          <w:top w:val="single" w:sz="2" w:space="0" w:color="D9DEE3"/>
          <w:left w:val="single" w:sz="2" w:space="0" w:color="D9DEE3"/>
          <w:bottom w:val="single" w:sz="2" w:space="0" w:color="D9DEE3"/>
          <w:right w:val="single" w:sz="2" w:space="0" w:color="D9DEE3"/>
          <w:insideH w:val="single" w:sz="2" w:space="0" w:color="D9DEE3"/>
          <w:insideV w:val="single" w:sz="2" w:space="0" w:color="D9DE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2800"/>
      </w:tblGrid>
      <w:tr w:rsidR="00BF164E" w14:paraId="62689D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689D51" w14:textId="77777777" w:rsidR="00BF164E" w:rsidRDefault="006E740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28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689D52" w14:textId="77777777" w:rsidR="00BF164E" w:rsidRDefault="006E7405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BF164E" w14:paraId="62689D5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689D54" w14:textId="77777777" w:rsidR="00BF164E" w:rsidRDefault="006E7405"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Reviews per quarter</w:t>
            </w:r>
          </w:p>
        </w:tc>
        <w:tc>
          <w:tcPr>
            <w:tcW w:w="2800" w:type="dx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689D55" w14:textId="77777777" w:rsidR="00BF164E" w:rsidRDefault="006E7405">
            <w:pPr>
              <w:jc w:val="right"/>
            </w:pPr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Unlimited (re-run any time)</w:t>
            </w:r>
          </w:p>
        </w:tc>
      </w:tr>
      <w:tr w:rsidR="00BF164E" w14:paraId="62689D5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2F5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689D57" w14:textId="77777777" w:rsidR="00BF164E" w:rsidRDefault="006E7405"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Billing</w:t>
            </w:r>
          </w:p>
        </w:tc>
        <w:tc>
          <w:tcPr>
            <w:tcW w:w="2800" w:type="dxa"/>
            <w:shd w:val="clear" w:color="auto" w:fill="F2F5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689D58" w14:textId="77777777" w:rsidR="00BF164E" w:rsidRDefault="006E7405">
            <w:pPr>
              <w:jc w:val="right"/>
            </w:pPr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Quarterly, one flat fee per hospital</w:t>
            </w:r>
          </w:p>
        </w:tc>
      </w:tr>
    </w:tbl>
    <w:p w14:paraId="62689D5A" w14:textId="77777777" w:rsidR="00BF164E" w:rsidRDefault="006E7405">
      <w:pPr>
        <w:pBdr>
          <w:bottom w:val="single" w:sz="6" w:space="4" w:color="D9DEE3"/>
        </w:pBdr>
        <w:spacing w:before="260" w:after="120"/>
      </w:pPr>
      <w:r>
        <w:rPr>
          <w:rFonts w:ascii="Calibri" w:eastAsia="Calibri" w:hAnsi="Calibri" w:cs="Calibri"/>
          <w:b/>
          <w:bCs/>
          <w:color w:val="1F3350"/>
          <w:sz w:val="24"/>
          <w:szCs w:val="24"/>
        </w:rPr>
        <w:t>Worked example: a 7-hospital system</w:t>
      </w:r>
    </w:p>
    <w:p w14:paraId="62689D5B" w14:textId="64130258" w:rsidR="00FC7CD1" w:rsidRDefault="006E7405">
      <w:pPr>
        <w:spacing w:after="120"/>
        <w:rPr>
          <w:rFonts w:ascii="Calibri" w:eastAsia="Calibri" w:hAnsi="Calibri" w:cs="Calibri"/>
          <w:color w:val="333B45"/>
          <w:sz w:val="21"/>
          <w:szCs w:val="21"/>
        </w:rPr>
      </w:pPr>
      <w:r>
        <w:rPr>
          <w:rFonts w:ascii="Calibri" w:eastAsia="Calibri" w:hAnsi="Calibri" w:cs="Calibri"/>
          <w:color w:val="333B45"/>
          <w:sz w:val="21"/>
          <w:szCs w:val="21"/>
        </w:rPr>
        <w:t xml:space="preserve">Seven hospitals, each </w:t>
      </w:r>
      <w:proofErr w:type="gramStart"/>
      <w:r>
        <w:rPr>
          <w:rFonts w:ascii="Calibri" w:eastAsia="Calibri" w:hAnsi="Calibri" w:cs="Calibri"/>
          <w:color w:val="333B45"/>
          <w:sz w:val="21"/>
          <w:szCs w:val="21"/>
        </w:rPr>
        <w:t>on</w:t>
      </w:r>
      <w:proofErr w:type="gramEnd"/>
      <w:r>
        <w:rPr>
          <w:rFonts w:ascii="Calibri" w:eastAsia="Calibri" w:hAnsi="Calibri" w:cs="Calibri"/>
          <w:color w:val="333B45"/>
          <w:sz w:val="21"/>
          <w:szCs w:val="21"/>
        </w:rPr>
        <w:t xml:space="preserve"> </w:t>
      </w:r>
      <w:proofErr w:type="gramStart"/>
      <w:r>
        <w:rPr>
          <w:rFonts w:ascii="Calibri" w:eastAsia="Calibri" w:hAnsi="Calibri" w:cs="Calibri"/>
          <w:color w:val="333B45"/>
          <w:sz w:val="21"/>
          <w:szCs w:val="21"/>
        </w:rPr>
        <w:t>the</w:t>
      </w:r>
      <w:proofErr w:type="gramEnd"/>
      <w:r>
        <w:rPr>
          <w:rFonts w:ascii="Calibri" w:eastAsia="Calibri" w:hAnsi="Calibri" w:cs="Calibri"/>
          <w:color w:val="333B45"/>
          <w:sz w:val="21"/>
          <w:szCs w:val="21"/>
        </w:rPr>
        <w:t xml:space="preserve"> quarterly rate. There is no monthly charge and no per-run charge; the review can be re-run as many times as needed each quarter.</w:t>
      </w:r>
    </w:p>
    <w:p w14:paraId="484DC801" w14:textId="77777777" w:rsidR="00FC7CD1" w:rsidRDefault="00FC7CD1">
      <w:pPr>
        <w:rPr>
          <w:rFonts w:ascii="Calibri" w:eastAsia="Calibri" w:hAnsi="Calibri" w:cs="Calibri"/>
          <w:color w:val="333B45"/>
          <w:sz w:val="21"/>
          <w:szCs w:val="21"/>
        </w:rPr>
      </w:pPr>
      <w:r>
        <w:rPr>
          <w:rFonts w:ascii="Calibri" w:eastAsia="Calibri" w:hAnsi="Calibri" w:cs="Calibri"/>
          <w:color w:val="333B45"/>
          <w:sz w:val="21"/>
          <w:szCs w:val="21"/>
        </w:rPr>
        <w:br w:type="page"/>
      </w:r>
    </w:p>
    <w:p w14:paraId="4A456A7C" w14:textId="77777777" w:rsidR="00BF164E" w:rsidRDefault="00BF164E">
      <w:pPr>
        <w:spacing w:after="120"/>
      </w:pPr>
    </w:p>
    <w:tbl>
      <w:tblPr>
        <w:tblW w:w="8800" w:type="dxa"/>
        <w:tblBorders>
          <w:top w:val="single" w:sz="2" w:space="0" w:color="D9DEE3"/>
          <w:left w:val="single" w:sz="2" w:space="0" w:color="D9DEE3"/>
          <w:bottom w:val="single" w:sz="2" w:space="0" w:color="D9DEE3"/>
          <w:right w:val="single" w:sz="2" w:space="0" w:color="D9DEE3"/>
          <w:insideH w:val="single" w:sz="2" w:space="0" w:color="D9DEE3"/>
          <w:insideV w:val="single" w:sz="2" w:space="0" w:color="D9DE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500"/>
        <w:gridCol w:w="1500"/>
        <w:gridCol w:w="1200"/>
        <w:gridCol w:w="1200"/>
      </w:tblGrid>
      <w:tr w:rsidR="00BF164E" w14:paraId="62689D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689D5C" w14:textId="77777777" w:rsidR="00BF164E" w:rsidRDefault="006E7405" w:rsidP="00FC7CD1">
            <w:pPr>
              <w:keepLines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15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689D5D" w14:textId="77777777" w:rsidR="00BF164E" w:rsidRDefault="006E7405" w:rsidP="00FC7CD1">
            <w:pPr>
              <w:keepLines/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Hospitals</w:t>
            </w:r>
          </w:p>
        </w:tc>
        <w:tc>
          <w:tcPr>
            <w:tcW w:w="15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689D5E" w14:textId="77777777" w:rsidR="00BF164E" w:rsidRDefault="006E7405" w:rsidP="00FC7CD1">
            <w:pPr>
              <w:keepLines/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Quarters / yr</w:t>
            </w:r>
          </w:p>
        </w:tc>
        <w:tc>
          <w:tcPr>
            <w:tcW w:w="12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689D5F" w14:textId="77777777" w:rsidR="00BF164E" w:rsidRDefault="006E7405" w:rsidP="00FC7CD1">
            <w:pPr>
              <w:keepLines/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Rate / quarter</w:t>
            </w:r>
          </w:p>
        </w:tc>
        <w:tc>
          <w:tcPr>
            <w:tcW w:w="12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689D60" w14:textId="77777777" w:rsidR="00BF164E" w:rsidRDefault="006E7405" w:rsidP="00FC7CD1">
            <w:pPr>
              <w:keepLines/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Annual total</w:t>
            </w:r>
          </w:p>
        </w:tc>
      </w:tr>
      <w:tr w:rsidR="00BF164E" w14:paraId="62689D6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689D62" w14:textId="77777777" w:rsidR="00BF164E" w:rsidRDefault="006E7405" w:rsidP="00FC7CD1">
            <w:pPr>
              <w:keepLines/>
            </w:pPr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Quarterly CDM review</w:t>
            </w:r>
          </w:p>
        </w:tc>
        <w:tc>
          <w:tcPr>
            <w:tcW w:w="1500" w:type="dx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689D63" w14:textId="77777777" w:rsidR="00BF164E" w:rsidRDefault="006E7405" w:rsidP="00FC7CD1">
            <w:pPr>
              <w:keepLines/>
              <w:jc w:val="right"/>
            </w:pPr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7</w:t>
            </w:r>
          </w:p>
        </w:tc>
        <w:tc>
          <w:tcPr>
            <w:tcW w:w="1500" w:type="dx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689D64" w14:textId="77777777" w:rsidR="00BF164E" w:rsidRDefault="006E7405" w:rsidP="00FC7CD1">
            <w:pPr>
              <w:keepLines/>
              <w:jc w:val="right"/>
            </w:pPr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4</w:t>
            </w:r>
          </w:p>
        </w:tc>
        <w:tc>
          <w:tcPr>
            <w:tcW w:w="1200" w:type="dx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689D65" w14:textId="77777777" w:rsidR="00BF164E" w:rsidRDefault="006E7405" w:rsidP="00FC7CD1">
            <w:pPr>
              <w:keepLines/>
              <w:jc w:val="right"/>
            </w:pPr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$1,000</w:t>
            </w:r>
          </w:p>
        </w:tc>
        <w:tc>
          <w:tcPr>
            <w:tcW w:w="1200" w:type="dx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689D66" w14:textId="77777777" w:rsidR="00BF164E" w:rsidRDefault="006E7405" w:rsidP="00FC7CD1">
            <w:pPr>
              <w:keepLines/>
              <w:jc w:val="right"/>
            </w:pPr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$28,000</w:t>
            </w:r>
          </w:p>
        </w:tc>
      </w:tr>
      <w:tr w:rsidR="00BF164E" w14:paraId="62689D6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689D68" w14:textId="77777777" w:rsidR="00BF164E" w:rsidRDefault="006E7405" w:rsidP="00FC7CD1">
            <w:pPr>
              <w:keepLines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System total</w:t>
            </w:r>
          </w:p>
        </w:tc>
        <w:tc>
          <w:tcPr>
            <w:tcW w:w="15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689D69" w14:textId="77777777" w:rsidR="00BF164E" w:rsidRDefault="006E7405" w:rsidP="00FC7CD1">
            <w:pPr>
              <w:keepLines/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7</w:t>
            </w:r>
          </w:p>
        </w:tc>
        <w:tc>
          <w:tcPr>
            <w:tcW w:w="15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689D6A" w14:textId="77777777" w:rsidR="00BF164E" w:rsidRDefault="006E7405" w:rsidP="00FC7CD1">
            <w:pPr>
              <w:keepLines/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28 quarters</w:t>
            </w:r>
          </w:p>
        </w:tc>
        <w:tc>
          <w:tcPr>
            <w:tcW w:w="12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689D6B" w14:textId="77777777" w:rsidR="00BF164E" w:rsidRDefault="00BF164E" w:rsidP="00FC7CD1">
            <w:pPr>
              <w:keepLines/>
              <w:jc w:val="right"/>
            </w:pPr>
          </w:p>
        </w:tc>
        <w:tc>
          <w:tcPr>
            <w:tcW w:w="12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689D6C" w14:textId="77777777" w:rsidR="00BF164E" w:rsidRDefault="006E7405" w:rsidP="00FC7CD1">
            <w:pPr>
              <w:keepLines/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$28,000</w:t>
            </w:r>
          </w:p>
        </w:tc>
      </w:tr>
    </w:tbl>
    <w:p w14:paraId="62689D6E" w14:textId="77777777" w:rsidR="00BF164E" w:rsidRDefault="00BF164E">
      <w:pPr>
        <w:spacing w:before="140" w:after="60"/>
      </w:pPr>
    </w:p>
    <w:tbl>
      <w:tblPr>
        <w:tblW w:w="8797" w:type="dxa"/>
        <w:tblBorders>
          <w:insideV w:val="single" w:sz="8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87"/>
        <w:gridCol w:w="4410"/>
      </w:tblGrid>
      <w:tr w:rsidR="00BF164E" w14:paraId="62689D75" w14:textId="77777777" w:rsidTr="00940004">
        <w:tblPrEx>
          <w:tblCellMar>
            <w:top w:w="0" w:type="dxa"/>
            <w:bottom w:w="0" w:type="dxa"/>
          </w:tblCellMar>
        </w:tblPrEx>
        <w:tc>
          <w:tcPr>
            <w:tcW w:w="4387" w:type="dxa"/>
            <w:tcBorders>
              <w:left w:val="single" w:sz="18" w:space="0" w:color="2FA98C"/>
            </w:tcBorders>
            <w:shd w:val="clear" w:color="auto" w:fill="E7F5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689D6F" w14:textId="77777777" w:rsidR="00BF164E" w:rsidRDefault="006E7405">
            <w:pPr>
              <w:spacing w:after="2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1F3350"/>
                <w:sz w:val="19"/>
                <w:szCs w:val="19"/>
              </w:rPr>
              <w:t>Annual,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F3350"/>
                <w:sz w:val="19"/>
                <w:szCs w:val="19"/>
              </w:rPr>
              <w:t xml:space="preserve"> client-hosted rate</w:t>
            </w:r>
          </w:p>
          <w:p w14:paraId="62689D70" w14:textId="77777777" w:rsidR="00BF164E" w:rsidRDefault="006E7405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2FA98C"/>
                <w:sz w:val="34"/>
                <w:szCs w:val="34"/>
              </w:rPr>
              <w:t>$28,000</w:t>
            </w:r>
          </w:p>
          <w:p w14:paraId="62689D71" w14:textId="77777777" w:rsidR="00BF164E" w:rsidRDefault="006E7405">
            <w:r>
              <w:rPr>
                <w:rFonts w:ascii="Calibri" w:eastAsia="Calibri" w:hAnsi="Calibri" w:cs="Calibri"/>
                <w:color w:val="6B7280"/>
                <w:sz w:val="16"/>
                <w:szCs w:val="16"/>
              </w:rPr>
              <w:t>7 hospitals x 4 quarters x $1,000</w:t>
            </w:r>
          </w:p>
        </w:tc>
        <w:tc>
          <w:tcPr>
            <w:tcW w:w="4410" w:type="dxa"/>
            <w:tcBorders>
              <w:left w:val="single" w:sz="18" w:space="0" w:color="2FA98C"/>
            </w:tcBorders>
            <w:shd w:val="clear" w:color="auto" w:fill="E7F5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689D72" w14:textId="77777777" w:rsidR="00BF164E" w:rsidRDefault="006E7405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F3350"/>
                <w:sz w:val="19"/>
                <w:szCs w:val="19"/>
              </w:rPr>
              <w:t>Annual, standard rate</w:t>
            </w:r>
          </w:p>
          <w:p w14:paraId="62689D73" w14:textId="77777777" w:rsidR="00BF164E" w:rsidRDefault="006E7405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F3350"/>
                <w:sz w:val="34"/>
                <w:szCs w:val="34"/>
              </w:rPr>
              <w:t>$70,000</w:t>
            </w:r>
          </w:p>
          <w:p w14:paraId="62689D74" w14:textId="77777777" w:rsidR="00BF164E" w:rsidRDefault="006E7405">
            <w:r>
              <w:rPr>
                <w:rFonts w:ascii="Calibri" w:eastAsia="Calibri" w:hAnsi="Calibri" w:cs="Calibri"/>
                <w:color w:val="6B7280"/>
                <w:sz w:val="16"/>
                <w:szCs w:val="16"/>
              </w:rPr>
              <w:t>7 hospitals x 4 quarters x $2,500</w:t>
            </w:r>
          </w:p>
        </w:tc>
      </w:tr>
    </w:tbl>
    <w:p w14:paraId="62689D76" w14:textId="77777777" w:rsidR="00BF164E" w:rsidRDefault="006E7405">
      <w:pPr>
        <w:spacing w:after="120"/>
      </w:pPr>
      <w:r>
        <w:rPr>
          <w:rFonts w:ascii="Calibri" w:eastAsia="Calibri" w:hAnsi="Calibri" w:cs="Calibri"/>
          <w:i/>
          <w:iCs/>
          <w:color w:val="6B7280"/>
          <w:sz w:val="17"/>
          <w:szCs w:val="17"/>
        </w:rPr>
        <w:t>That is about $42,000 a year less than the standard rate.</w:t>
      </w:r>
    </w:p>
    <w:p w14:paraId="62689D77" w14:textId="77777777" w:rsidR="00BF164E" w:rsidRDefault="006E7405">
      <w:pPr>
        <w:pBdr>
          <w:bottom w:val="single" w:sz="6" w:space="4" w:color="D9DEE3"/>
        </w:pBdr>
        <w:spacing w:before="260" w:after="120"/>
      </w:pPr>
      <w:r>
        <w:rPr>
          <w:rFonts w:ascii="Calibri" w:eastAsia="Calibri" w:hAnsi="Calibri" w:cs="Calibri"/>
          <w:b/>
          <w:bCs/>
          <w:color w:val="1F3350"/>
          <w:sz w:val="24"/>
          <w:szCs w:val="24"/>
        </w:rPr>
        <w:t>Client-hosted discount</w:t>
      </w:r>
    </w:p>
    <w:tbl>
      <w:tblPr>
        <w:tblW w:w="88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BF164E" w14:paraId="62689D79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left w:val="single" w:sz="18" w:space="0" w:color="2FA98C"/>
            </w:tcBorders>
            <w:shd w:val="clear" w:color="auto" w:fill="E7F5E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2689D78" w14:textId="77777777" w:rsidR="00BF164E" w:rsidRDefault="006E7405">
            <w:r>
              <w:rPr>
                <w:rFonts w:ascii="Calibri" w:eastAsia="Calibri" w:hAnsi="Calibri" w:cs="Calibri"/>
                <w:b/>
                <w:bCs/>
                <w:color w:val="1F3350"/>
              </w:rPr>
              <w:t xml:space="preserve">ChargeGuard runs on the client's own infrastructure. </w:t>
            </w:r>
            <w:r>
              <w:rPr>
                <w:rFonts w:ascii="Calibri" w:eastAsia="Calibri" w:hAnsi="Calibri" w:cs="Calibri"/>
                <w:color w:val="333B45"/>
              </w:rPr>
              <w:t xml:space="preserve">We don't pay for hosting, so we </w:t>
            </w:r>
            <w:proofErr w:type="gramStart"/>
            <w:r>
              <w:rPr>
                <w:rFonts w:ascii="Calibri" w:eastAsia="Calibri" w:hAnsi="Calibri" w:cs="Calibri"/>
                <w:color w:val="333B45"/>
              </w:rPr>
              <w:t>drop</w:t>
            </w:r>
            <w:proofErr w:type="gramEnd"/>
            <w:r>
              <w:rPr>
                <w:rFonts w:ascii="Calibri" w:eastAsia="Calibri" w:hAnsi="Calibri" w:cs="Calibri"/>
                <w:color w:val="333B45"/>
              </w:rPr>
              <w:t xml:space="preserve"> the price from $2,500 to $1,000 a quarter, and the review can be run as many times as needed within the quarter.</w:t>
            </w:r>
          </w:p>
        </w:tc>
      </w:tr>
    </w:tbl>
    <w:p w14:paraId="62689D7A" w14:textId="77777777" w:rsidR="00BF164E" w:rsidRDefault="006E7405">
      <w:pPr>
        <w:pBdr>
          <w:bottom w:val="single" w:sz="6" w:space="4" w:color="D9DEE3"/>
        </w:pBdr>
        <w:spacing w:before="260" w:after="120"/>
      </w:pPr>
      <w:r>
        <w:rPr>
          <w:rFonts w:ascii="Calibri" w:eastAsia="Calibri" w:hAnsi="Calibri" w:cs="Calibri"/>
          <w:b/>
          <w:bCs/>
          <w:color w:val="1F3350"/>
          <w:sz w:val="24"/>
          <w:szCs w:val="24"/>
        </w:rPr>
        <w:t>Notes</w:t>
      </w:r>
    </w:p>
    <w:p w14:paraId="62689D7B" w14:textId="77777777" w:rsidR="00BF164E" w:rsidRDefault="006E740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B45"/>
        </w:rPr>
        <w:t>Pricing is a flat rate per hospital, per quarter, with unlimited re-runs, and we confirm it when we contract.</w:t>
      </w:r>
    </w:p>
    <w:p w14:paraId="62689D7C" w14:textId="77777777" w:rsidR="00BF164E" w:rsidRDefault="006E740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B45"/>
        </w:rPr>
        <w:t>Every quarter includes the full CDM review, peer benchmarking, the findings list with dollar impact, and the corrected chargemaster export, run as often as needed.</w:t>
      </w:r>
    </w:p>
    <w:p w14:paraId="62689D7D" w14:textId="77777777" w:rsidR="00BF164E" w:rsidRDefault="006E740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B45"/>
        </w:rPr>
        <w:t xml:space="preserve">The $1,000 </w:t>
      </w:r>
      <w:proofErr w:type="gramStart"/>
      <w:r>
        <w:rPr>
          <w:rFonts w:ascii="Calibri" w:eastAsia="Calibri" w:hAnsi="Calibri" w:cs="Calibri"/>
          <w:color w:val="333B45"/>
        </w:rPr>
        <w:t>per-hospital,</w:t>
      </w:r>
      <w:proofErr w:type="gramEnd"/>
      <w:r>
        <w:rPr>
          <w:rFonts w:ascii="Calibri" w:eastAsia="Calibri" w:hAnsi="Calibri" w:cs="Calibri"/>
          <w:color w:val="333B45"/>
        </w:rPr>
        <w:t xml:space="preserve"> per-quarter rate stays the same as more hospitals come on.</w:t>
      </w:r>
    </w:p>
    <w:p w14:paraId="62689D7E" w14:textId="77777777" w:rsidR="00BF164E" w:rsidRDefault="006E740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B45"/>
        </w:rPr>
        <w:t>No setup, onboarding, or infrastructure fees.</w:t>
      </w:r>
    </w:p>
    <w:sectPr w:rsidR="00BF164E">
      <w:headerReference w:type="default" r:id="rId7"/>
      <w:footerReference w:type="default" r:id="rId8"/>
      <w:pgSz w:w="12240" w:h="15840"/>
      <w:pgMar w:top="108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55394" w14:textId="77777777" w:rsidR="006E7405" w:rsidRDefault="006E7405">
      <w:r>
        <w:separator/>
      </w:r>
    </w:p>
  </w:endnote>
  <w:endnote w:type="continuationSeparator" w:id="0">
    <w:p w14:paraId="26653015" w14:textId="77777777" w:rsidR="006E7405" w:rsidRDefault="006E7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89D81" w14:textId="555E70C4" w:rsidR="00BF164E" w:rsidRDefault="006E7405">
    <w:pPr>
      <w:pBdr>
        <w:top w:val="single" w:sz="4" w:space="6" w:color="D9DEE3"/>
      </w:pBdr>
    </w:pPr>
    <w:r>
      <w:rPr>
        <w:rFonts w:ascii="Calibri" w:eastAsia="Calibri" w:hAnsi="Calibri" w:cs="Calibri"/>
        <w:color w:val="6B7280"/>
        <w:sz w:val="15"/>
        <w:szCs w:val="15"/>
      </w:rPr>
      <w:t xml:space="preserve">Amelior Management Solutions &amp; Services   ·   Confidential   ·   ChargeGuard Pricing Methodology   Page </w:t>
    </w:r>
    <w:r>
      <w:rPr>
        <w:rFonts w:ascii="Calibri" w:eastAsia="Calibri" w:hAnsi="Calibri" w:cs="Calibri"/>
        <w:color w:val="6B7280"/>
        <w:sz w:val="15"/>
        <w:szCs w:val="15"/>
      </w:rPr>
      <w:fldChar w:fldCharType="begin"/>
    </w:r>
    <w:r>
      <w:rPr>
        <w:rFonts w:ascii="Calibri" w:eastAsia="Calibri" w:hAnsi="Calibri" w:cs="Calibri"/>
        <w:color w:val="6B7280"/>
        <w:sz w:val="15"/>
        <w:szCs w:val="15"/>
      </w:rPr>
      <w:instrText>PAGE</w:instrText>
    </w:r>
    <w:r>
      <w:rPr>
        <w:rFonts w:ascii="Calibri" w:eastAsia="Calibri" w:hAnsi="Calibri" w:cs="Calibri"/>
        <w:color w:val="6B7280"/>
        <w:sz w:val="15"/>
        <w:szCs w:val="15"/>
      </w:rPr>
      <w:fldChar w:fldCharType="separate"/>
    </w:r>
    <w:r w:rsidR="00940004">
      <w:rPr>
        <w:rFonts w:ascii="Calibri" w:eastAsia="Calibri" w:hAnsi="Calibri" w:cs="Calibri"/>
        <w:noProof/>
        <w:color w:val="6B7280"/>
        <w:sz w:val="15"/>
        <w:szCs w:val="15"/>
      </w:rPr>
      <w:t>1</w:t>
    </w:r>
    <w:r>
      <w:rPr>
        <w:rFonts w:ascii="Calibri" w:eastAsia="Calibri" w:hAnsi="Calibri" w:cs="Calibri"/>
        <w:color w:val="6B72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C98F7" w14:textId="77777777" w:rsidR="006E7405" w:rsidRDefault="006E7405">
      <w:r>
        <w:separator/>
      </w:r>
    </w:p>
  </w:footnote>
  <w:footnote w:type="continuationSeparator" w:id="0">
    <w:p w14:paraId="6BCF6A78" w14:textId="77777777" w:rsidR="006E7405" w:rsidRDefault="006E74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51D2" w14:textId="0159EE02" w:rsidR="00FC7CD1" w:rsidRDefault="00FC7CD1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20C6EA2" wp14:editId="6A37556E">
          <wp:simplePos x="0" y="0"/>
          <wp:positionH relativeFrom="column">
            <wp:posOffset>-646561</wp:posOffset>
          </wp:positionH>
          <wp:positionV relativeFrom="paragraph">
            <wp:posOffset>-365957</wp:posOffset>
          </wp:positionV>
          <wp:extent cx="1600200" cy="2857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3918"/>
    <w:multiLevelType w:val="hybridMultilevel"/>
    <w:tmpl w:val="3930409E"/>
    <w:lvl w:ilvl="0" w:tplc="68444EFC">
      <w:start w:val="1"/>
      <w:numFmt w:val="decimal"/>
      <w:lvlText w:val="%1."/>
      <w:lvlJc w:val="left"/>
      <w:pPr>
        <w:ind w:left="360" w:hanging="220"/>
      </w:pPr>
    </w:lvl>
    <w:lvl w:ilvl="1" w:tplc="B39E2336">
      <w:numFmt w:val="decimal"/>
      <w:lvlText w:val=""/>
      <w:lvlJc w:val="left"/>
    </w:lvl>
    <w:lvl w:ilvl="2" w:tplc="47EC8CF2">
      <w:numFmt w:val="decimal"/>
      <w:lvlText w:val=""/>
      <w:lvlJc w:val="left"/>
    </w:lvl>
    <w:lvl w:ilvl="3" w:tplc="8ADC9134">
      <w:numFmt w:val="decimal"/>
      <w:lvlText w:val=""/>
      <w:lvlJc w:val="left"/>
    </w:lvl>
    <w:lvl w:ilvl="4" w:tplc="1892E144">
      <w:numFmt w:val="decimal"/>
      <w:lvlText w:val=""/>
      <w:lvlJc w:val="left"/>
    </w:lvl>
    <w:lvl w:ilvl="5" w:tplc="AE0A3428">
      <w:numFmt w:val="decimal"/>
      <w:lvlText w:val=""/>
      <w:lvlJc w:val="left"/>
    </w:lvl>
    <w:lvl w:ilvl="6" w:tplc="4678F478">
      <w:numFmt w:val="decimal"/>
      <w:lvlText w:val=""/>
      <w:lvlJc w:val="left"/>
    </w:lvl>
    <w:lvl w:ilvl="7" w:tplc="42589170">
      <w:numFmt w:val="decimal"/>
      <w:lvlText w:val=""/>
      <w:lvlJc w:val="left"/>
    </w:lvl>
    <w:lvl w:ilvl="8" w:tplc="F57650B0">
      <w:numFmt w:val="decimal"/>
      <w:lvlText w:val=""/>
      <w:lvlJc w:val="left"/>
    </w:lvl>
  </w:abstractNum>
  <w:abstractNum w:abstractNumId="1" w15:restartNumberingAfterBreak="0">
    <w:nsid w:val="62633071"/>
    <w:multiLevelType w:val="hybridMultilevel"/>
    <w:tmpl w:val="581A5518"/>
    <w:lvl w:ilvl="0" w:tplc="E660898A">
      <w:start w:val="1"/>
      <w:numFmt w:val="bullet"/>
      <w:lvlText w:val="●"/>
      <w:lvlJc w:val="left"/>
      <w:pPr>
        <w:ind w:left="720" w:hanging="360"/>
      </w:pPr>
    </w:lvl>
    <w:lvl w:ilvl="1" w:tplc="144634C6">
      <w:start w:val="1"/>
      <w:numFmt w:val="bullet"/>
      <w:lvlText w:val="○"/>
      <w:lvlJc w:val="left"/>
      <w:pPr>
        <w:ind w:left="1440" w:hanging="360"/>
      </w:pPr>
    </w:lvl>
    <w:lvl w:ilvl="2" w:tplc="F5D8FBFA">
      <w:start w:val="1"/>
      <w:numFmt w:val="bullet"/>
      <w:lvlText w:val="■"/>
      <w:lvlJc w:val="left"/>
      <w:pPr>
        <w:ind w:left="2160" w:hanging="360"/>
      </w:pPr>
    </w:lvl>
    <w:lvl w:ilvl="3" w:tplc="395857B0">
      <w:start w:val="1"/>
      <w:numFmt w:val="bullet"/>
      <w:lvlText w:val="●"/>
      <w:lvlJc w:val="left"/>
      <w:pPr>
        <w:ind w:left="2880" w:hanging="360"/>
      </w:pPr>
    </w:lvl>
    <w:lvl w:ilvl="4" w:tplc="949244B6">
      <w:start w:val="1"/>
      <w:numFmt w:val="bullet"/>
      <w:lvlText w:val="○"/>
      <w:lvlJc w:val="left"/>
      <w:pPr>
        <w:ind w:left="3600" w:hanging="360"/>
      </w:pPr>
    </w:lvl>
    <w:lvl w:ilvl="5" w:tplc="649642BC">
      <w:start w:val="1"/>
      <w:numFmt w:val="bullet"/>
      <w:lvlText w:val="■"/>
      <w:lvlJc w:val="left"/>
      <w:pPr>
        <w:ind w:left="4320" w:hanging="360"/>
      </w:pPr>
    </w:lvl>
    <w:lvl w:ilvl="6" w:tplc="BBC63C7A">
      <w:start w:val="1"/>
      <w:numFmt w:val="bullet"/>
      <w:lvlText w:val="●"/>
      <w:lvlJc w:val="left"/>
      <w:pPr>
        <w:ind w:left="5040" w:hanging="360"/>
      </w:pPr>
    </w:lvl>
    <w:lvl w:ilvl="7" w:tplc="66CE51CA">
      <w:start w:val="1"/>
      <w:numFmt w:val="bullet"/>
      <w:lvlText w:val="●"/>
      <w:lvlJc w:val="left"/>
      <w:pPr>
        <w:ind w:left="5760" w:hanging="360"/>
      </w:pPr>
    </w:lvl>
    <w:lvl w:ilvl="8" w:tplc="2CFC0AFA">
      <w:start w:val="1"/>
      <w:numFmt w:val="bullet"/>
      <w:lvlText w:val="●"/>
      <w:lvlJc w:val="left"/>
      <w:pPr>
        <w:ind w:left="6480" w:hanging="360"/>
      </w:pPr>
    </w:lvl>
  </w:abstractNum>
  <w:num w:numId="1" w16cid:durableId="2138257864">
    <w:abstractNumId w:val="1"/>
    <w:lvlOverride w:ilvl="0">
      <w:startOverride w:val="1"/>
    </w:lvlOverride>
  </w:num>
  <w:num w:numId="2" w16cid:durableId="4541776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64E"/>
    <w:rsid w:val="001C1C4E"/>
    <w:rsid w:val="006E7405"/>
    <w:rsid w:val="00940004"/>
    <w:rsid w:val="00A2767A"/>
    <w:rsid w:val="00BF164E"/>
    <w:rsid w:val="00CC19B0"/>
    <w:rsid w:val="00FC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689D36"/>
  <w15:docId w15:val="{A99C5105-81C5-4E8E-B987-73D57DC58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C7C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7CD1"/>
  </w:style>
  <w:style w:type="paragraph" w:styleId="Footer">
    <w:name w:val="footer"/>
    <w:basedOn w:val="Normal"/>
    <w:link w:val="FooterChar"/>
    <w:uiPriority w:val="99"/>
    <w:unhideWhenUsed/>
    <w:rsid w:val="00FC7C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7C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kaylee rae</cp:lastModifiedBy>
  <cp:revision>5</cp:revision>
  <dcterms:created xsi:type="dcterms:W3CDTF">2026-08-31T18:14:00Z</dcterms:created>
  <dcterms:modified xsi:type="dcterms:W3CDTF">2026-08-31T18:27:00Z</dcterms:modified>
</cp:coreProperties>
</file>