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C495" w14:textId="77777777" w:rsidR="0016152D" w:rsidRDefault="004A642C">
      <w:pPr>
        <w:spacing w:after="16"/>
      </w:pPr>
      <w:r>
        <w:rPr>
          <w:rFonts w:ascii="Calibri" w:eastAsia="Calibri" w:hAnsi="Calibri" w:cs="Calibri"/>
          <w:b/>
          <w:bCs/>
          <w:color w:val="0F3A4A"/>
          <w:sz w:val="34"/>
          <w:szCs w:val="34"/>
        </w:rPr>
        <w:t>ChargeGuard</w:t>
      </w:r>
    </w:p>
    <w:p w14:paraId="428FC496" w14:textId="77777777" w:rsidR="0016152D" w:rsidRDefault="004A642C">
      <w:pPr>
        <w:pBdr>
          <w:bottom w:val="single" w:sz="6" w:space="6" w:color="0F3A4A"/>
        </w:pBdr>
        <w:spacing w:after="220"/>
      </w:pPr>
      <w:r>
        <w:rPr>
          <w:rFonts w:ascii="Calibri" w:eastAsia="Calibri" w:hAnsi="Calibri" w:cs="Calibri"/>
          <w:color w:val="6B7280"/>
          <w:sz w:val="18"/>
          <w:szCs w:val="18"/>
        </w:rPr>
        <w:t>Automated Chargemaster Review</w:t>
      </w:r>
    </w:p>
    <w:p w14:paraId="428FC497" w14:textId="77777777" w:rsidR="0016152D" w:rsidRDefault="004A642C">
      <w:pPr>
        <w:spacing w:after="150"/>
      </w:pPr>
      <w:r>
        <w:rPr>
          <w:rFonts w:ascii="Calibri" w:eastAsia="Calibri" w:hAnsi="Calibri" w:cs="Calibri"/>
          <w:b/>
          <w:bCs/>
          <w:color w:val="2B3138"/>
          <w:sz w:val="32"/>
          <w:szCs w:val="32"/>
        </w:rPr>
        <w:t>PRICING PROPOSAL</w:t>
      </w:r>
    </w:p>
    <w:tbl>
      <w:tblPr>
        <w:tblW w:w="8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200"/>
      </w:tblGrid>
      <w:tr w:rsidR="0016152D" w14:paraId="428FC4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98" w14:textId="77777777" w:rsidR="0016152D" w:rsidRDefault="004A642C">
            <w:r>
              <w:rPr>
                <w:rFonts w:ascii="Calibri" w:eastAsia="Calibri" w:hAnsi="Calibri" w:cs="Calibri"/>
                <w:b/>
                <w:bCs/>
                <w:color w:val="6B7280"/>
              </w:rPr>
              <w:t>Prepared for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99" w14:textId="5C28374A" w:rsidR="0016152D" w:rsidRDefault="004A642C">
            <w:r>
              <w:rPr>
                <w:rFonts w:ascii="Calibri" w:eastAsia="Calibri" w:hAnsi="Calibri" w:cs="Calibri"/>
                <w:color w:val="2B3138"/>
              </w:rPr>
              <w:t>Aman</w:t>
            </w:r>
            <w:r w:rsidR="00C34153">
              <w:rPr>
                <w:rFonts w:ascii="Calibri" w:eastAsia="Calibri" w:hAnsi="Calibri" w:cs="Calibri"/>
                <w:color w:val="2B3138"/>
              </w:rPr>
              <w:t xml:space="preserve"> Arora</w:t>
            </w:r>
            <w:r>
              <w:rPr>
                <w:rFonts w:ascii="Calibri" w:eastAsia="Calibri" w:hAnsi="Calibri" w:cs="Calibri"/>
                <w:color w:val="2B313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B3138"/>
              </w:rPr>
              <w:t>Neuriphy</w:t>
            </w:r>
            <w:proofErr w:type="spellEnd"/>
          </w:p>
        </w:tc>
      </w:tr>
      <w:tr w:rsidR="0016152D" w14:paraId="428FC4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9B" w14:textId="77777777" w:rsidR="0016152D" w:rsidRDefault="004A642C">
            <w:r>
              <w:rPr>
                <w:rFonts w:ascii="Calibri" w:eastAsia="Calibri" w:hAnsi="Calibri" w:cs="Calibri"/>
                <w:b/>
                <w:bCs/>
                <w:color w:val="6B7280"/>
              </w:rPr>
              <w:t>Prepared by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9C" w14:textId="5604F905" w:rsidR="0016152D" w:rsidRDefault="004A642C">
            <w:r>
              <w:rPr>
                <w:rFonts w:ascii="Calibri" w:eastAsia="Calibri" w:hAnsi="Calibri" w:cs="Calibri"/>
                <w:color w:val="2B3138"/>
              </w:rPr>
              <w:t>Kaylee Barckhoff</w:t>
            </w:r>
            <w:r w:rsidR="00CA034D">
              <w:rPr>
                <w:rFonts w:ascii="Calibri" w:eastAsia="Calibri" w:hAnsi="Calibri" w:cs="Calibri"/>
                <w:color w:val="2B3138"/>
              </w:rPr>
              <w:t xml:space="preserve"> and Shams Jiwani</w:t>
            </w:r>
          </w:p>
        </w:tc>
      </w:tr>
      <w:tr w:rsidR="0016152D" w14:paraId="428FC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9E" w14:textId="77777777" w:rsidR="0016152D" w:rsidRDefault="004A642C">
            <w:r>
              <w:rPr>
                <w:rFonts w:ascii="Calibri" w:eastAsia="Calibri" w:hAnsi="Calibri" w:cs="Calibri"/>
                <w:b/>
                <w:bCs/>
                <w:color w:val="6B7280"/>
              </w:rPr>
              <w:t>Date</w:t>
            </w:r>
          </w:p>
        </w:tc>
        <w:tc>
          <w:tcPr>
            <w:tcW w:w="6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9F" w14:textId="3B3C58F2" w:rsidR="0016152D" w:rsidRDefault="004A642C">
            <w:r>
              <w:rPr>
                <w:rFonts w:ascii="Calibri" w:eastAsia="Calibri" w:hAnsi="Calibri" w:cs="Calibri"/>
                <w:color w:val="2B3138"/>
              </w:rPr>
              <w:t xml:space="preserve">August </w:t>
            </w:r>
            <w:r w:rsidR="00375E37">
              <w:rPr>
                <w:rFonts w:ascii="Calibri" w:eastAsia="Calibri" w:hAnsi="Calibri" w:cs="Calibri"/>
                <w:color w:val="2B3138"/>
              </w:rPr>
              <w:t>31</w:t>
            </w:r>
            <w:r>
              <w:rPr>
                <w:rFonts w:ascii="Calibri" w:eastAsia="Calibri" w:hAnsi="Calibri" w:cs="Calibri"/>
                <w:color w:val="2B3138"/>
              </w:rPr>
              <w:t>, 2026</w:t>
            </w:r>
          </w:p>
        </w:tc>
      </w:tr>
    </w:tbl>
    <w:p w14:paraId="428FC4A4" w14:textId="77777777" w:rsidR="0016152D" w:rsidRDefault="004A642C">
      <w:pPr>
        <w:spacing w:before="220" w:after="90"/>
      </w:pPr>
      <w:r>
        <w:rPr>
          <w:rFonts w:ascii="Calibri" w:eastAsia="Calibri" w:hAnsi="Calibri" w:cs="Calibri"/>
          <w:b/>
          <w:bCs/>
          <w:color w:val="0F3A4A"/>
          <w:sz w:val="23"/>
          <w:szCs w:val="23"/>
        </w:rPr>
        <w:t>Overview</w:t>
      </w:r>
    </w:p>
    <w:p w14:paraId="428FC4A5" w14:textId="77777777" w:rsidR="0016152D" w:rsidRDefault="004A642C">
      <w:pPr>
        <w:spacing w:after="120"/>
      </w:pPr>
      <w:r>
        <w:rPr>
          <w:rFonts w:ascii="Calibri" w:eastAsia="Calibri" w:hAnsi="Calibri" w:cs="Calibri"/>
          <w:color w:val="2B3138"/>
          <w:sz w:val="21"/>
          <w:szCs w:val="21"/>
        </w:rPr>
        <w:t>ChargeGuard runs an automated chargemaster review for each hospital every quarter. Each run replaces manual line-level review work and delivers a corrected chargemaster and a benchmarked findings report, so pricing accuracy and coding compliance are maintained on an ongoing basis.</w:t>
      </w:r>
    </w:p>
    <w:p w14:paraId="428FC4A6" w14:textId="77777777" w:rsidR="0016152D" w:rsidRDefault="004A642C">
      <w:pPr>
        <w:spacing w:before="220" w:after="90"/>
      </w:pPr>
      <w:r>
        <w:rPr>
          <w:rFonts w:ascii="Calibri" w:eastAsia="Calibri" w:hAnsi="Calibri" w:cs="Calibri"/>
          <w:b/>
          <w:bCs/>
          <w:color w:val="0F3A4A"/>
          <w:sz w:val="23"/>
          <w:szCs w:val="23"/>
        </w:rPr>
        <w:t>Scope of services (per quarterly run, per hospital)</w:t>
      </w:r>
    </w:p>
    <w:p w14:paraId="428FC4A7" w14:textId="77777777" w:rsidR="0016152D" w:rsidRDefault="004A642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B3138"/>
          <w:sz w:val="21"/>
          <w:szCs w:val="21"/>
        </w:rPr>
        <w:t>Full chargemaster review against current CMS rules: coding and status indicators, pricing vs. Medicare, devices, pharmacy, modifiers, and price transparency.</w:t>
      </w:r>
    </w:p>
    <w:p w14:paraId="428FC4A8" w14:textId="77777777" w:rsidR="0016152D" w:rsidRDefault="004A642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B3138"/>
          <w:sz w:val="21"/>
          <w:szCs w:val="21"/>
        </w:rPr>
        <w:t>Peer benchmarking against named competitors using their public price-transparency files.</w:t>
      </w:r>
    </w:p>
    <w:p w14:paraId="428FC4A9" w14:textId="77777777" w:rsidR="0016152D" w:rsidRDefault="004A642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B3138"/>
          <w:sz w:val="21"/>
          <w:szCs w:val="21"/>
        </w:rPr>
        <w:t xml:space="preserve">Ranked findings with estimated dollar impact and a </w:t>
      </w:r>
      <w:proofErr w:type="gramStart"/>
      <w:r>
        <w:rPr>
          <w:rFonts w:ascii="Calibri" w:eastAsia="Calibri" w:hAnsi="Calibri" w:cs="Calibri"/>
          <w:color w:val="2B3138"/>
          <w:sz w:val="21"/>
          <w:szCs w:val="21"/>
        </w:rPr>
        <w:t>reject or</w:t>
      </w:r>
      <w:proofErr w:type="gramEnd"/>
      <w:r>
        <w:rPr>
          <w:rFonts w:ascii="Calibri" w:eastAsia="Calibri" w:hAnsi="Calibri" w:cs="Calibri"/>
          <w:color w:val="2B3138"/>
          <w:sz w:val="21"/>
          <w:szCs w:val="21"/>
        </w:rPr>
        <w:t xml:space="preserve"> resolve workflow that updates the chargemaster.</w:t>
      </w:r>
    </w:p>
    <w:p w14:paraId="428FC4AA" w14:textId="77777777" w:rsidR="0016152D" w:rsidRDefault="004A642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B3138"/>
          <w:sz w:val="21"/>
          <w:szCs w:val="21"/>
        </w:rPr>
        <w:t>Corrected chargemaster export, ready to load back into the client's system.</w:t>
      </w:r>
    </w:p>
    <w:p w14:paraId="428FC4AB" w14:textId="77777777" w:rsidR="0016152D" w:rsidRDefault="004A642C">
      <w:pPr>
        <w:spacing w:before="220" w:after="90"/>
      </w:pPr>
      <w:r>
        <w:rPr>
          <w:rFonts w:ascii="Calibri" w:eastAsia="Calibri" w:hAnsi="Calibri" w:cs="Calibri"/>
          <w:b/>
          <w:bCs/>
          <w:color w:val="0F3A4A"/>
          <w:sz w:val="23"/>
          <w:szCs w:val="23"/>
        </w:rPr>
        <w:t>Pricing</w:t>
      </w: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00"/>
        <w:gridCol w:w="1300"/>
        <w:gridCol w:w="1300"/>
        <w:gridCol w:w="1100"/>
      </w:tblGrid>
      <w:tr w:rsidR="0016152D" w14:paraId="428FC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F3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AC" w14:textId="77777777" w:rsidR="0016152D" w:rsidRDefault="004A642C">
            <w:r>
              <w:rPr>
                <w:rFonts w:ascii="Calibri" w:eastAsia="Calibri" w:hAnsi="Calibri" w:cs="Calibri"/>
                <w:b/>
                <w:bCs/>
                <w:color w:val="FFFFFF"/>
              </w:rPr>
              <w:t>Service</w:t>
            </w:r>
          </w:p>
        </w:tc>
        <w:tc>
          <w:tcPr>
            <w:tcW w:w="1500" w:type="dxa"/>
            <w:shd w:val="clear" w:color="auto" w:fill="0F3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AD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Rate</w:t>
            </w:r>
          </w:p>
        </w:tc>
        <w:tc>
          <w:tcPr>
            <w:tcW w:w="1300" w:type="dxa"/>
            <w:shd w:val="clear" w:color="auto" w:fill="0F3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AE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Hospitals</w:t>
            </w:r>
          </w:p>
        </w:tc>
        <w:tc>
          <w:tcPr>
            <w:tcW w:w="1300" w:type="dxa"/>
            <w:shd w:val="clear" w:color="auto" w:fill="0F3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AF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Runs / yr</w:t>
            </w:r>
          </w:p>
        </w:tc>
        <w:tc>
          <w:tcPr>
            <w:tcW w:w="1100" w:type="dxa"/>
            <w:shd w:val="clear" w:color="auto" w:fill="0F3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0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Annual total</w:t>
            </w:r>
          </w:p>
        </w:tc>
      </w:tr>
      <w:tr w:rsidR="0016152D" w14:paraId="428FC4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2" w14:textId="77777777" w:rsidR="0016152D" w:rsidRDefault="004A642C">
            <w:r>
              <w:rPr>
                <w:rFonts w:ascii="Calibri" w:eastAsia="Calibri" w:hAnsi="Calibri" w:cs="Calibri"/>
                <w:color w:val="2B3138"/>
              </w:rPr>
              <w:t>Quarterly CDM review</w:t>
            </w:r>
          </w:p>
        </w:tc>
        <w:tc>
          <w:tcPr>
            <w:tcW w:w="15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3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color w:val="2B3138"/>
              </w:rPr>
              <w:t>$1,000 / run</w:t>
            </w:r>
          </w:p>
        </w:tc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4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color w:val="2B3138"/>
              </w:rPr>
              <w:t>7</w:t>
            </w:r>
          </w:p>
        </w:tc>
        <w:tc>
          <w:tcPr>
            <w:tcW w:w="13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5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color w:val="2B3138"/>
              </w:rPr>
              <w:t>4</w:t>
            </w:r>
          </w:p>
        </w:tc>
        <w:tc>
          <w:tcPr>
            <w:tcW w:w="11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6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color w:val="2B3138"/>
              </w:rPr>
              <w:t>$28,000</w:t>
            </w:r>
          </w:p>
        </w:tc>
      </w:tr>
    </w:tbl>
    <w:p w14:paraId="428FC4B8" w14:textId="77777777" w:rsidR="0016152D" w:rsidRDefault="004A642C">
      <w:pPr>
        <w:spacing w:before="70" w:after="120"/>
        <w:jc w:val="right"/>
      </w:pPr>
      <w:r>
        <w:rPr>
          <w:rFonts w:ascii="Calibri" w:eastAsia="Calibri" w:hAnsi="Calibri" w:cs="Calibri"/>
          <w:b/>
          <w:bCs/>
          <w:color w:val="2B3138"/>
          <w:sz w:val="22"/>
          <w:szCs w:val="22"/>
        </w:rPr>
        <w:t>Total (</w:t>
      </w:r>
      <w:proofErr w:type="gramStart"/>
      <w:r>
        <w:rPr>
          <w:rFonts w:ascii="Calibri" w:eastAsia="Calibri" w:hAnsi="Calibri" w:cs="Calibri"/>
          <w:b/>
          <w:bCs/>
          <w:color w:val="2B3138"/>
          <w:sz w:val="22"/>
          <w:szCs w:val="22"/>
        </w:rPr>
        <w:t xml:space="preserve">annual)   </w:t>
      </w:r>
      <w:proofErr w:type="gramEnd"/>
      <w:r>
        <w:rPr>
          <w:rFonts w:ascii="Calibri" w:eastAsia="Calibri" w:hAnsi="Calibri" w:cs="Calibri"/>
          <w:b/>
          <w:bCs/>
          <w:color w:val="0F3A4A"/>
          <w:sz w:val="22"/>
          <w:szCs w:val="22"/>
        </w:rPr>
        <w:t>$28,000</w:t>
      </w:r>
    </w:p>
    <w:p w14:paraId="428FC4B9" w14:textId="63CF5108" w:rsidR="0016152D" w:rsidRDefault="0016152D">
      <w:pPr>
        <w:spacing w:after="120"/>
      </w:pPr>
    </w:p>
    <w:tbl>
      <w:tblPr>
        <w:tblW w:w="8800" w:type="dxa"/>
        <w:tblBorders>
          <w:top w:val="single" w:sz="2" w:space="0" w:color="D9DEE3"/>
          <w:left w:val="single" w:sz="2" w:space="0" w:color="D9DEE3"/>
          <w:bottom w:val="single" w:sz="2" w:space="0" w:color="D9DEE3"/>
          <w:right w:val="single" w:sz="2" w:space="0" w:color="D9DEE3"/>
          <w:insideH w:val="single" w:sz="2" w:space="0" w:color="D9DEE3"/>
          <w:insideV w:val="single" w:sz="2" w:space="0" w:color="D9DE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200"/>
      </w:tblGrid>
      <w:tr w:rsidR="0016152D" w14:paraId="428FC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0F3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A" w14:textId="77777777" w:rsidR="0016152D" w:rsidRDefault="004A642C">
            <w:r>
              <w:rPr>
                <w:rFonts w:ascii="Calibri" w:eastAsia="Calibri" w:hAnsi="Calibri" w:cs="Calibri"/>
                <w:b/>
                <w:bCs/>
                <w:color w:val="FFFFFF"/>
              </w:rPr>
              <w:t>Rate</w:t>
            </w:r>
          </w:p>
        </w:tc>
        <w:tc>
          <w:tcPr>
            <w:tcW w:w="3200" w:type="dxa"/>
            <w:shd w:val="clear" w:color="auto" w:fill="0F3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B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 run</w:t>
            </w:r>
          </w:p>
        </w:tc>
      </w:tr>
      <w:tr w:rsidR="0016152D" w14:paraId="428FC4B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D" w14:textId="77777777" w:rsidR="0016152D" w:rsidRDefault="004A642C">
            <w:r>
              <w:rPr>
                <w:rFonts w:ascii="Calibri" w:eastAsia="Calibri" w:hAnsi="Calibri" w:cs="Calibri"/>
                <w:color w:val="2B3138"/>
              </w:rPr>
              <w:t>Standard rate</w:t>
            </w:r>
          </w:p>
        </w:tc>
        <w:tc>
          <w:tcPr>
            <w:tcW w:w="3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BE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color w:val="2B3138"/>
              </w:rPr>
              <w:t>$2,500</w:t>
            </w:r>
          </w:p>
        </w:tc>
      </w:tr>
      <w:tr w:rsidR="0016152D" w14:paraId="428FC4C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C0" w14:textId="77777777" w:rsidR="0016152D" w:rsidRDefault="004A642C">
            <w:r>
              <w:rPr>
                <w:rFonts w:ascii="Calibri" w:eastAsia="Calibri" w:hAnsi="Calibri" w:cs="Calibri"/>
                <w:b/>
                <w:bCs/>
                <w:color w:val="2B3138"/>
              </w:rPr>
              <w:t>Client-hosted discount applied</w:t>
            </w:r>
          </w:p>
        </w:tc>
        <w:tc>
          <w:tcPr>
            <w:tcW w:w="3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C4C1" w14:textId="77777777" w:rsidR="0016152D" w:rsidRDefault="004A642C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B3138"/>
              </w:rPr>
              <w:t>$1,000</w:t>
            </w:r>
          </w:p>
        </w:tc>
      </w:tr>
    </w:tbl>
    <w:p w14:paraId="428FC4C3" w14:textId="77777777" w:rsidR="0016152D" w:rsidRDefault="004A642C">
      <w:pPr>
        <w:spacing w:before="8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The standard rate is $2,500 per run. Because ChargeGuard is hosted on the client's own infrastructure, we carry no hosting or infrastructure cost, and that saving is passed through as a discounted rate of $1,000 per run.</w:t>
      </w:r>
    </w:p>
    <w:p w14:paraId="428FC4C4" w14:textId="77777777" w:rsidR="0016152D" w:rsidRDefault="004A642C">
      <w:pPr>
        <w:spacing w:before="220" w:after="90"/>
      </w:pPr>
      <w:r>
        <w:rPr>
          <w:rFonts w:ascii="Calibri" w:eastAsia="Calibri" w:hAnsi="Calibri" w:cs="Calibri"/>
          <w:b/>
          <w:bCs/>
          <w:color w:val="0F3A4A"/>
          <w:sz w:val="23"/>
          <w:szCs w:val="23"/>
        </w:rPr>
        <w:t>Terms</w:t>
      </w:r>
    </w:p>
    <w:p w14:paraId="428FC4C5" w14:textId="77777777" w:rsidR="0016152D" w:rsidRDefault="004A642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B3138"/>
          <w:sz w:val="21"/>
          <w:szCs w:val="21"/>
        </w:rPr>
        <w:t xml:space="preserve">Billed quarterly, one invoice per quarter covering all hospitals in that </w:t>
      </w:r>
      <w:proofErr w:type="gramStart"/>
      <w:r>
        <w:rPr>
          <w:rFonts w:ascii="Calibri" w:eastAsia="Calibri" w:hAnsi="Calibri" w:cs="Calibri"/>
          <w:color w:val="2B3138"/>
          <w:sz w:val="21"/>
          <w:szCs w:val="21"/>
        </w:rPr>
        <w:t>run</w:t>
      </w:r>
      <w:proofErr w:type="gramEnd"/>
      <w:r>
        <w:rPr>
          <w:rFonts w:ascii="Calibri" w:eastAsia="Calibri" w:hAnsi="Calibri" w:cs="Calibri"/>
          <w:color w:val="2B3138"/>
          <w:sz w:val="21"/>
          <w:szCs w:val="21"/>
        </w:rPr>
        <w:t>.</w:t>
      </w:r>
    </w:p>
    <w:p w14:paraId="428FC4C6" w14:textId="77777777" w:rsidR="0016152D" w:rsidRDefault="004A642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B3138"/>
          <w:sz w:val="21"/>
          <w:szCs w:val="21"/>
        </w:rPr>
        <w:t xml:space="preserve">Pricing </w:t>
      </w:r>
      <w:proofErr w:type="gramStart"/>
      <w:r>
        <w:rPr>
          <w:rFonts w:ascii="Calibri" w:eastAsia="Calibri" w:hAnsi="Calibri" w:cs="Calibri"/>
          <w:color w:val="2B3138"/>
          <w:sz w:val="21"/>
          <w:szCs w:val="21"/>
        </w:rPr>
        <w:t>holds at</w:t>
      </w:r>
      <w:proofErr w:type="gramEnd"/>
      <w:r>
        <w:rPr>
          <w:rFonts w:ascii="Calibri" w:eastAsia="Calibri" w:hAnsi="Calibri" w:cs="Calibri"/>
          <w:color w:val="2B3138"/>
          <w:sz w:val="21"/>
          <w:szCs w:val="21"/>
        </w:rPr>
        <w:t xml:space="preserve"> $1,000 per hospital per run as additional hospitals are added.</w:t>
      </w:r>
    </w:p>
    <w:p w14:paraId="428FC4C7" w14:textId="77777777" w:rsidR="0016152D" w:rsidRDefault="004A642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B3138"/>
          <w:sz w:val="21"/>
          <w:szCs w:val="21"/>
        </w:rPr>
        <w:t>No implementation, onboarding, or infrastructure fees.</w:t>
      </w:r>
    </w:p>
    <w:sectPr w:rsidR="0016152D">
      <w:head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5AD2A" w14:textId="77777777" w:rsidR="004A642C" w:rsidRDefault="004A642C" w:rsidP="00375E37">
      <w:r>
        <w:separator/>
      </w:r>
    </w:p>
  </w:endnote>
  <w:endnote w:type="continuationSeparator" w:id="0">
    <w:p w14:paraId="40D2DD13" w14:textId="77777777" w:rsidR="004A642C" w:rsidRDefault="004A642C" w:rsidP="00375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4376B" w14:textId="77777777" w:rsidR="004A642C" w:rsidRDefault="004A642C" w:rsidP="00375E37">
      <w:r>
        <w:separator/>
      </w:r>
    </w:p>
  </w:footnote>
  <w:footnote w:type="continuationSeparator" w:id="0">
    <w:p w14:paraId="2B57958E" w14:textId="77777777" w:rsidR="004A642C" w:rsidRDefault="004A642C" w:rsidP="00375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B14E" w14:textId="339F2C42" w:rsidR="00375E37" w:rsidRDefault="00375E3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719E17" wp14:editId="7D4F3C75">
          <wp:simplePos x="0" y="0"/>
          <wp:positionH relativeFrom="column">
            <wp:posOffset>-577305</wp:posOffset>
          </wp:positionH>
          <wp:positionV relativeFrom="paragraph">
            <wp:posOffset>-319042</wp:posOffset>
          </wp:positionV>
          <wp:extent cx="337185" cy="337185"/>
          <wp:effectExtent l="0" t="0" r="5715" b="0"/>
          <wp:wrapTight wrapText="bothSides">
            <wp:wrapPolygon edited="0">
              <wp:start x="2441" y="0"/>
              <wp:lineTo x="0" y="9763"/>
              <wp:lineTo x="0" y="13424"/>
              <wp:lineTo x="2441" y="19525"/>
              <wp:lineTo x="18305" y="19525"/>
              <wp:lineTo x="20746" y="13424"/>
              <wp:lineTo x="20746" y="10983"/>
              <wp:lineTo x="18305" y="0"/>
              <wp:lineTo x="2441" y="0"/>
            </wp:wrapPolygon>
          </wp:wrapTight>
          <wp:docPr id="1868263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263960" name="Picture 18682639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7185" cy="337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550E8"/>
    <w:multiLevelType w:val="hybridMultilevel"/>
    <w:tmpl w:val="2DCA0E78"/>
    <w:lvl w:ilvl="0" w:tplc="8EE09ACC">
      <w:start w:val="1"/>
      <w:numFmt w:val="bullet"/>
      <w:lvlText w:val="●"/>
      <w:lvlJc w:val="left"/>
      <w:pPr>
        <w:ind w:left="720" w:hanging="360"/>
      </w:pPr>
    </w:lvl>
    <w:lvl w:ilvl="1" w:tplc="0254AF24">
      <w:start w:val="1"/>
      <w:numFmt w:val="bullet"/>
      <w:lvlText w:val="○"/>
      <w:lvlJc w:val="left"/>
      <w:pPr>
        <w:ind w:left="1440" w:hanging="360"/>
      </w:pPr>
    </w:lvl>
    <w:lvl w:ilvl="2" w:tplc="7DD833E4">
      <w:start w:val="1"/>
      <w:numFmt w:val="bullet"/>
      <w:lvlText w:val="■"/>
      <w:lvlJc w:val="left"/>
      <w:pPr>
        <w:ind w:left="2160" w:hanging="360"/>
      </w:pPr>
    </w:lvl>
    <w:lvl w:ilvl="3" w:tplc="F82431F8">
      <w:start w:val="1"/>
      <w:numFmt w:val="bullet"/>
      <w:lvlText w:val="●"/>
      <w:lvlJc w:val="left"/>
      <w:pPr>
        <w:ind w:left="2880" w:hanging="360"/>
      </w:pPr>
    </w:lvl>
    <w:lvl w:ilvl="4" w:tplc="3C2E3B0C">
      <w:start w:val="1"/>
      <w:numFmt w:val="bullet"/>
      <w:lvlText w:val="○"/>
      <w:lvlJc w:val="left"/>
      <w:pPr>
        <w:ind w:left="3600" w:hanging="360"/>
      </w:pPr>
    </w:lvl>
    <w:lvl w:ilvl="5" w:tplc="ABAEA196">
      <w:start w:val="1"/>
      <w:numFmt w:val="bullet"/>
      <w:lvlText w:val="■"/>
      <w:lvlJc w:val="left"/>
      <w:pPr>
        <w:ind w:left="4320" w:hanging="360"/>
      </w:pPr>
    </w:lvl>
    <w:lvl w:ilvl="6" w:tplc="9D647138">
      <w:start w:val="1"/>
      <w:numFmt w:val="bullet"/>
      <w:lvlText w:val="●"/>
      <w:lvlJc w:val="left"/>
      <w:pPr>
        <w:ind w:left="5040" w:hanging="360"/>
      </w:pPr>
    </w:lvl>
    <w:lvl w:ilvl="7" w:tplc="139A4A22">
      <w:start w:val="1"/>
      <w:numFmt w:val="bullet"/>
      <w:lvlText w:val="●"/>
      <w:lvlJc w:val="left"/>
      <w:pPr>
        <w:ind w:left="5760" w:hanging="360"/>
      </w:pPr>
    </w:lvl>
    <w:lvl w:ilvl="8" w:tplc="865271CC">
      <w:start w:val="1"/>
      <w:numFmt w:val="bullet"/>
      <w:lvlText w:val="●"/>
      <w:lvlJc w:val="left"/>
      <w:pPr>
        <w:ind w:left="6480" w:hanging="360"/>
      </w:pPr>
    </w:lvl>
  </w:abstractNum>
  <w:num w:numId="1" w16cid:durableId="1933125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52D"/>
    <w:rsid w:val="0016152D"/>
    <w:rsid w:val="00375E37"/>
    <w:rsid w:val="004A642C"/>
    <w:rsid w:val="00C34153"/>
    <w:rsid w:val="00CA034D"/>
    <w:rsid w:val="00CC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FC495"/>
  <w15:docId w15:val="{A99C5105-81C5-4E8E-B987-73D57DC5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5E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E37"/>
  </w:style>
  <w:style w:type="paragraph" w:styleId="Footer">
    <w:name w:val="footer"/>
    <w:basedOn w:val="Normal"/>
    <w:link w:val="FooterChar"/>
    <w:uiPriority w:val="99"/>
    <w:unhideWhenUsed/>
    <w:rsid w:val="00375E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kaylee rae</cp:lastModifiedBy>
  <cp:revision>4</cp:revision>
  <dcterms:created xsi:type="dcterms:W3CDTF">2026-08-28T17:48:00Z</dcterms:created>
  <dcterms:modified xsi:type="dcterms:W3CDTF">2026-08-28T17:55:00Z</dcterms:modified>
</cp:coreProperties>
</file>