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350"/>
          <w:sz w:val="34"/>
          <w:szCs w:val="34"/>
        </w:rPr>
        <w:t xml:space="preserve">ChargeGuard Rule Alignment Audit</w:t>
      </w:r>
    </w:p>
    <w:p>
      <w:pPr>
        <w:spacing w:after="120"/>
      </w:pPr>
      <w:r>
        <w:rPr>
          <w:rFonts w:ascii="Calibri" w:cs="Calibri" w:eastAsia="Calibri" w:hAnsi="Calibri"/>
          <w:i/>
          <w:iCs/>
          <w:color w:val="6B7280"/>
          <w:sz w:val="20"/>
          <w:szCs w:val="20"/>
        </w:rPr>
        <w:t xml:space="preserve">How the tool's checks line up against the reference CDM review methodology (the expert replication guide, formula library, and review dictionary). Status is Match, Partial, or Gap, with the fix needed to reconcile each. Reviewed against the Sample Hospital run (8,080 CDM lines).</w:t>
      </w:r>
    </w:p>
    <w:p>
      <w:pPr>
        <w:pBdr>
          <w:bottom w:val="single" w:color="D9DEE3" w:sz="6" w:space="4"/>
        </w:pBdr>
        <w:spacing w:after="100" w:before="240"/>
      </w:pPr>
      <w:r>
        <w:rPr>
          <w:rFonts w:ascii="Calibri" w:cs="Calibri" w:eastAsia="Calibri" w:hAnsi="Calibri"/>
          <w:b/>
          <w:bCs/>
          <w:color w:val="1F3350"/>
          <w:sz w:val="25"/>
          <w:szCs w:val="25"/>
        </w:rPr>
        <w:t xml:space="preserve">Pricing methodology (highest priority)</w:t>
      </w:r>
    </w:p>
    <w:p>
      <w:pPr>
        <w:spacing w:after="120"/>
      </w:pPr>
      <w:r>
        <w:rPr>
          <w:rFonts w:ascii="Calibri" w:cs="Calibri" w:eastAsia="Calibri" w:hAnsi="Calibri"/>
          <w:color w:val="333B45"/>
          <w:sz w:val="21"/>
          <w:szCs w:val="21"/>
        </w:rPr>
        <w:t xml:space="preserve">The reference method prices on markup over the Medicare fee schedule, with a target band of 2.5x to 3.0x. Below 2.5x is an underpricing opportunity (reprice up to the 2.5x floor times annual units); above 3.0x is over-target. The tool today benchmarks mostly against the peer average charge and only flags underpricing below 1.0x of the Medicare rate, so it misses the 1.0x to 2.5x underpriced band that the reference treats as the core opportunity.</w:t>
      </w:r>
    </w:p>
    <w:tbl>
      <w:tblPr>
        <w:tblW w:type="dxa" w:w="9200"/>
        <w:tblBorders>
          <w:top w:val="single" w:color="D9DEE3" w:sz="2"/>
          <w:left w:val="single" w:color="D9DEE3" w:sz="2"/>
          <w:bottom w:val="single" w:color="D9DEE3" w:sz="2"/>
          <w:right w:val="single" w:color="D9DEE3" w:sz="2"/>
          <w:insideH w:val="single" w:color="D9DEE3" w:sz="2"/>
          <w:insideV w:val="single" w:color="D9DEE3" w:sz="2"/>
        </w:tblBorders>
      </w:tblPr>
      <w:tblGrid>
        <w:gridCol w:w="2100"/>
        <w:gridCol w:w="3050"/>
        <w:gridCol w:w="2050"/>
        <w:gridCol w:w="900"/>
        <w:gridCol w:w="1100"/>
      </w:tblGrid>
      <w:tr>
        <w:trPr>
          <w:tblHeader/>
        </w:trPr>
        <w:tc>
          <w:tcPr>
            <w:tcW w:type="dxa" w:w="21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Area</w:t>
            </w:r>
          </w:p>
        </w:tc>
        <w:tc>
          <w:tcPr>
            <w:tcW w:type="dxa" w:w="305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Reference method</w:t>
            </w:r>
          </w:p>
        </w:tc>
        <w:tc>
          <w:tcPr>
            <w:tcW w:type="dxa" w:w="205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Tool today</w:t>
            </w:r>
          </w:p>
        </w:tc>
        <w:tc>
          <w:tcPr>
            <w:tcW w:type="dxa" w:w="9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Status</w:t>
            </w:r>
          </w:p>
        </w:tc>
        <w:tc>
          <w:tcPr>
            <w:tcW w:type="dxa" w:w="11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Fix</w:t>
            </w:r>
          </w:p>
        </w:tc>
      </w:tr>
      <w:tr>
        <w:tc>
          <w:tcPr>
            <w:tcW w:type="dxa" w:w="2100"/>
            <w:tcMar>
              <w:top w:type="dxa" w:w="60"/>
              <w:left w:type="dxa" w:w="110"/>
              <w:bottom w:type="dxa" w:w="60"/>
              <w:right w:type="dxa" w:w="110"/>
            </w:tcMar>
          </w:tcPr>
          <w:p>
            <w:r>
              <w:rPr>
                <w:rFonts w:ascii="Calibri" w:cs="Calibri" w:eastAsia="Calibri" w:hAnsi="Calibri"/>
                <w:b w:val="false"/>
                <w:bCs w:val="false"/>
                <w:color w:val="333B45"/>
                <w:sz w:val="18"/>
                <w:szCs w:val="18"/>
              </w:rPr>
              <w:t xml:space="preserve">Markup band</w:t>
            </w:r>
          </w:p>
        </w:tc>
        <w:tc>
          <w:tcPr>
            <w:tcW w:type="dxa" w:w="3050"/>
            <w:tcMar>
              <w:top w:type="dxa" w:w="60"/>
              <w:left w:type="dxa" w:w="110"/>
              <w:bottom w:type="dxa" w:w="60"/>
              <w:right w:type="dxa" w:w="110"/>
            </w:tcMar>
          </w:tcPr>
          <w:p>
            <w:r>
              <w:rPr>
                <w:rFonts w:ascii="Calibri" w:cs="Calibri" w:eastAsia="Calibri" w:hAnsi="Calibri"/>
                <w:b w:val="false"/>
                <w:bCs w:val="false"/>
                <w:color w:val="333B45"/>
                <w:sz w:val="18"/>
                <w:szCs w:val="18"/>
              </w:rPr>
              <w:t xml:space="preserve">2.5x–3.0x over Medicare fee; below 2.5x = opportunity</w:t>
            </w:r>
          </w:p>
        </w:tc>
        <w:tc>
          <w:tcPr>
            <w:tcW w:type="dxa" w:w="2050"/>
            <w:tcMar>
              <w:top w:type="dxa" w:w="60"/>
              <w:left w:type="dxa" w:w="110"/>
              <w:bottom w:type="dxa" w:w="60"/>
              <w:right w:type="dxa" w:w="110"/>
            </w:tcMar>
          </w:tcPr>
          <w:p>
            <w:r>
              <w:rPr>
                <w:rFonts w:ascii="Calibri" w:cs="Calibri" w:eastAsia="Calibri" w:hAnsi="Calibri"/>
                <w:b w:val="false"/>
                <w:bCs w:val="false"/>
                <w:color w:val="333B45"/>
                <w:sz w:val="18"/>
                <w:szCs w:val="18"/>
              </w:rPr>
              <w:t xml:space="preserve">BM.high fires &gt;3.0x of peer avg charge</w:t>
            </w:r>
          </w:p>
        </w:tc>
        <w:tc>
          <w:tcPr>
            <w:tcW w:type="dxa" w:w="90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1100"/>
            <w:tcMar>
              <w:top w:type="dxa" w:w="60"/>
              <w:left w:type="dxa" w:w="110"/>
              <w:bottom w:type="dxa" w:w="60"/>
              <w:right w:type="dxa" w:w="110"/>
            </w:tcMar>
          </w:tcPr>
          <w:p>
            <w:r>
              <w:rPr>
                <w:rFonts w:ascii="Calibri" w:cs="Calibri" w:eastAsia="Calibri" w:hAnsi="Calibri"/>
                <w:b w:val="false"/>
                <w:bCs w:val="false"/>
                <w:color w:val="333B45"/>
                <w:sz w:val="18"/>
                <w:szCs w:val="18"/>
              </w:rPr>
              <w:t xml:space="preserve">Add markup-vs-Medicare band rule</w:t>
            </w:r>
          </w:p>
        </w:tc>
      </w:tr>
      <w:tr>
        <w:tc>
          <w:tcPr>
            <w:tcW w:type="dxa" w:w="21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Underpriced</w:t>
            </w:r>
          </w:p>
        </w:tc>
        <w:tc>
          <w:tcPr>
            <w:tcW w:type="dxa" w:w="305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markup &lt; 2.5x flagged, opportunity = (2.5x fee − price) × units</w:t>
            </w:r>
          </w:p>
        </w:tc>
        <w:tc>
          <w:tcPr>
            <w:tcW w:type="dxa" w:w="205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'U' fires only below 1.0x fee schedule</w:t>
            </w:r>
          </w:p>
        </w:tc>
        <w:tc>
          <w:tcPr>
            <w:tcW w:type="dxa" w:w="900"/>
            <w:tcMar>
              <w:top w:type="dxa" w:w="60"/>
              <w:left w:type="dxa" w:w="110"/>
              <w:bottom w:type="dxa" w:w="60"/>
              <w:right w:type="dxa" w:w="110"/>
            </w:tcMar>
          </w:tcPr>
          <w:p>
            <w:r>
              <w:rPr>
                <w:rFonts w:ascii="Calibri" w:cs="Calibri" w:eastAsia="Calibri" w:hAnsi="Calibri"/>
                <w:b/>
                <w:bCs/>
                <w:color w:val="B42318"/>
                <w:sz w:val="18"/>
                <w:szCs w:val="18"/>
              </w:rPr>
              <w:t xml:space="preserve">Gap</w:t>
            </w:r>
          </w:p>
        </w:tc>
        <w:tc>
          <w:tcPr>
            <w:tcW w:type="dxa" w:w="11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Raise threshold to &lt;2.5x, add $ opportunity</w:t>
            </w:r>
          </w:p>
        </w:tc>
      </w:tr>
      <w:tr>
        <w:tc>
          <w:tcPr>
            <w:tcW w:type="dxa" w:w="2100"/>
            <w:tcMar>
              <w:top w:type="dxa" w:w="60"/>
              <w:left w:type="dxa" w:w="110"/>
              <w:bottom w:type="dxa" w:w="60"/>
              <w:right w:type="dxa" w:w="110"/>
            </w:tcMar>
          </w:tcPr>
          <w:p>
            <w:r>
              <w:rPr>
                <w:rFonts w:ascii="Calibri" w:cs="Calibri" w:eastAsia="Calibri" w:hAnsi="Calibri"/>
                <w:b w:val="false"/>
                <w:bCs w:val="false"/>
                <w:color w:val="333B45"/>
                <w:sz w:val="18"/>
                <w:szCs w:val="18"/>
              </w:rPr>
              <w:t xml:space="preserve">Over-market</w:t>
            </w:r>
          </w:p>
        </w:tc>
        <w:tc>
          <w:tcPr>
            <w:tcW w:type="dxa" w:w="3050"/>
            <w:tcMar>
              <w:top w:type="dxa" w:w="60"/>
              <w:left w:type="dxa" w:w="110"/>
              <w:bottom w:type="dxa" w:w="60"/>
              <w:right w:type="dxa" w:w="110"/>
            </w:tcMar>
          </w:tcPr>
          <w:p>
            <w:r>
              <w:rPr>
                <w:rFonts w:ascii="Calibri" w:cs="Calibri" w:eastAsia="Calibri" w:hAnsi="Calibri"/>
                <w:b w:val="false"/>
                <w:bCs w:val="false"/>
                <w:color w:val="333B45"/>
                <w:sz w:val="18"/>
                <w:szCs w:val="18"/>
              </w:rPr>
              <w:t xml:space="preserve">markup &gt; 3.0x</w:t>
            </w:r>
          </w:p>
        </w:tc>
        <w:tc>
          <w:tcPr>
            <w:tcW w:type="dxa" w:w="2050"/>
            <w:tcMar>
              <w:top w:type="dxa" w:w="60"/>
              <w:left w:type="dxa" w:w="110"/>
              <w:bottom w:type="dxa" w:w="60"/>
              <w:right w:type="dxa" w:w="110"/>
            </w:tcMar>
          </w:tcPr>
          <w:p>
            <w:r>
              <w:rPr>
                <w:rFonts w:ascii="Calibri" w:cs="Calibri" w:eastAsia="Calibri" w:hAnsi="Calibri"/>
                <w:b w:val="false"/>
                <w:bCs w:val="false"/>
                <w:color w:val="333B45"/>
                <w:sz w:val="18"/>
                <w:szCs w:val="18"/>
              </w:rPr>
              <w:t xml:space="preserve">BM.high &gt;3.0x (peer avg, not Medicare)</w:t>
            </w:r>
          </w:p>
        </w:tc>
        <w:tc>
          <w:tcPr>
            <w:tcW w:type="dxa" w:w="90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1100"/>
            <w:tcMar>
              <w:top w:type="dxa" w:w="60"/>
              <w:left w:type="dxa" w:w="110"/>
              <w:bottom w:type="dxa" w:w="60"/>
              <w:right w:type="dxa" w:w="110"/>
            </w:tcMar>
          </w:tcPr>
          <w:p>
            <w:r>
              <w:rPr>
                <w:rFonts w:ascii="Calibri" w:cs="Calibri" w:eastAsia="Calibri" w:hAnsi="Calibri"/>
                <w:b w:val="false"/>
                <w:bCs w:val="false"/>
                <w:color w:val="333B45"/>
                <w:sz w:val="18"/>
                <w:szCs w:val="18"/>
              </w:rPr>
              <w:t xml:space="preserve">Base on Medicare markup</w:t>
            </w:r>
          </w:p>
        </w:tc>
      </w:tr>
    </w:tbl>
    <w:p>
      <w:pPr>
        <w:pBdr>
          <w:bottom w:val="single" w:color="D9DEE3" w:sz="6" w:space="4"/>
        </w:pBdr>
        <w:spacing w:after="100" w:before="240"/>
      </w:pPr>
      <w:r>
        <w:rPr>
          <w:rFonts w:ascii="Calibri" w:cs="Calibri" w:eastAsia="Calibri" w:hAnsi="Calibri"/>
          <w:b/>
          <w:bCs/>
          <w:color w:val="1F3350"/>
          <w:sz w:val="25"/>
          <w:szCs w:val="25"/>
        </w:rPr>
        <w:t xml:space="preserve">Zero-price handling</w:t>
      </w:r>
    </w:p>
    <w:p>
      <w:pPr>
        <w:spacing w:after="120"/>
      </w:pPr>
      <w:r>
        <w:rPr>
          <w:rFonts w:ascii="Calibri" w:cs="Calibri" w:eastAsia="Calibri" w:hAnsi="Calibri"/>
          <w:color w:val="333B45"/>
          <w:sz w:val="21"/>
          <w:szCs w:val="21"/>
        </w:rPr>
        <w:t xml:space="preserve">The reference splits $0 lines into three categories and only one needs pricing. The tool flags all $0 lines the same way, so it over-reports.</w:t>
      </w:r>
    </w:p>
    <w:tbl>
      <w:tblPr>
        <w:tblW w:type="dxa" w:w="9200"/>
        <w:tblBorders>
          <w:top w:val="single" w:color="D9DEE3" w:sz="2"/>
          <w:left w:val="single" w:color="D9DEE3" w:sz="2"/>
          <w:bottom w:val="single" w:color="D9DEE3" w:sz="2"/>
          <w:right w:val="single" w:color="D9DEE3" w:sz="2"/>
          <w:insideH w:val="single" w:color="D9DEE3" w:sz="2"/>
          <w:insideV w:val="single" w:color="D9DEE3" w:sz="2"/>
        </w:tblBorders>
      </w:tblPr>
      <w:tblGrid>
        <w:gridCol w:w="2100"/>
        <w:gridCol w:w="3050"/>
        <w:gridCol w:w="2050"/>
        <w:gridCol w:w="900"/>
        <w:gridCol w:w="1100"/>
      </w:tblGrid>
      <w:tr>
        <w:trPr>
          <w:tblHeader/>
        </w:trPr>
        <w:tc>
          <w:tcPr>
            <w:tcW w:type="dxa" w:w="21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Area</w:t>
            </w:r>
          </w:p>
        </w:tc>
        <w:tc>
          <w:tcPr>
            <w:tcW w:type="dxa" w:w="305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Reference method</w:t>
            </w:r>
          </w:p>
        </w:tc>
        <w:tc>
          <w:tcPr>
            <w:tcW w:type="dxa" w:w="205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Tool today</w:t>
            </w:r>
          </w:p>
        </w:tc>
        <w:tc>
          <w:tcPr>
            <w:tcW w:type="dxa" w:w="9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Status</w:t>
            </w:r>
          </w:p>
        </w:tc>
        <w:tc>
          <w:tcPr>
            <w:tcW w:type="dxa" w:w="11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Fix</w:t>
            </w:r>
          </w:p>
        </w:tc>
      </w:tr>
      <w:tr>
        <w:tc>
          <w:tcPr>
            <w:tcW w:type="dxa" w:w="2100"/>
            <w:tcMar>
              <w:top w:type="dxa" w:w="60"/>
              <w:left w:type="dxa" w:w="110"/>
              <w:bottom w:type="dxa" w:w="60"/>
              <w:right w:type="dxa" w:w="110"/>
            </w:tcMar>
          </w:tcPr>
          <w:p>
            <w:r>
              <w:rPr>
                <w:rFonts w:ascii="Calibri" w:cs="Calibri" w:eastAsia="Calibri" w:hAnsi="Calibri"/>
                <w:b w:val="false"/>
                <w:bCs w:val="false"/>
                <w:color w:val="333B45"/>
                <w:sz w:val="18"/>
                <w:szCs w:val="18"/>
              </w:rPr>
              <w:t xml:space="preserve">Global surgery</w:t>
            </w:r>
          </w:p>
        </w:tc>
        <w:tc>
          <w:tcPr>
            <w:tcW w:type="dxa" w:w="3050"/>
            <w:tcMar>
              <w:top w:type="dxa" w:w="60"/>
              <w:left w:type="dxa" w:w="110"/>
              <w:bottom w:type="dxa" w:w="60"/>
              <w:right w:type="dxa" w:w="110"/>
            </w:tcMar>
          </w:tcPr>
          <w:p>
            <w:r>
              <w:rPr>
                <w:rFonts w:ascii="Calibri" w:cs="Calibri" w:eastAsia="Calibri" w:hAnsi="Calibri"/>
                <w:b w:val="false"/>
                <w:bCs w:val="false"/>
                <w:color w:val="333B45"/>
                <w:sz w:val="18"/>
                <w:szCs w:val="18"/>
              </w:rPr>
              <w:t xml:space="preserve">99024 correctly $0 (SI=B), no action</w:t>
            </w:r>
          </w:p>
        </w:tc>
        <w:tc>
          <w:tcPr>
            <w:tcW w:type="dxa" w:w="2050"/>
            <w:tcMar>
              <w:top w:type="dxa" w:w="60"/>
              <w:left w:type="dxa" w:w="110"/>
              <w:bottom w:type="dxa" w:w="60"/>
              <w:right w:type="dxa" w:w="110"/>
            </w:tcMar>
          </w:tcPr>
          <w:p>
            <w:r>
              <w:rPr>
                <w:rFonts w:ascii="Calibri" w:cs="Calibri" w:eastAsia="Calibri" w:hAnsi="Calibri"/>
                <w:b w:val="false"/>
                <w:bCs w:val="false"/>
                <w:color w:val="333B45"/>
                <w:sz w:val="18"/>
                <w:szCs w:val="18"/>
              </w:rPr>
              <w:t xml:space="preserve">Flagged as high</w:t>
            </w:r>
          </w:p>
        </w:tc>
        <w:tc>
          <w:tcPr>
            <w:tcW w:type="dxa" w:w="900"/>
            <w:tcMar>
              <w:top w:type="dxa" w:w="60"/>
              <w:left w:type="dxa" w:w="110"/>
              <w:bottom w:type="dxa" w:w="60"/>
              <w:right w:type="dxa" w:w="110"/>
            </w:tcMar>
          </w:tcPr>
          <w:p>
            <w:r>
              <w:rPr>
                <w:rFonts w:ascii="Calibri" w:cs="Calibri" w:eastAsia="Calibri" w:hAnsi="Calibri"/>
                <w:b/>
                <w:bCs/>
                <w:color w:val="B42318"/>
                <w:sz w:val="18"/>
                <w:szCs w:val="18"/>
              </w:rPr>
              <w:t xml:space="preserve">Gap</w:t>
            </w:r>
          </w:p>
        </w:tc>
        <w:tc>
          <w:tcPr>
            <w:tcW w:type="dxa" w:w="1100"/>
            <w:tcMar>
              <w:top w:type="dxa" w:w="60"/>
              <w:left w:type="dxa" w:w="110"/>
              <w:bottom w:type="dxa" w:w="60"/>
              <w:right w:type="dxa" w:w="110"/>
            </w:tcMar>
          </w:tcPr>
          <w:p>
            <w:r>
              <w:rPr>
                <w:rFonts w:ascii="Calibri" w:cs="Calibri" w:eastAsia="Calibri" w:hAnsi="Calibri"/>
                <w:b w:val="false"/>
                <w:bCs w:val="false"/>
                <w:color w:val="333B45"/>
                <w:sz w:val="18"/>
                <w:szCs w:val="18"/>
              </w:rPr>
              <w:t xml:space="preserve">Exclude 99024 / SI=B</w:t>
            </w:r>
          </w:p>
        </w:tc>
      </w:tr>
      <w:tr>
        <w:tc>
          <w:tcPr>
            <w:tcW w:type="dxa" w:w="21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Unlisted NOS</w:t>
            </w:r>
          </w:p>
        </w:tc>
        <w:tc>
          <w:tcPr>
            <w:tcW w:type="dxa" w:w="305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x9999 codes correctly $0 by design</w:t>
            </w:r>
          </w:p>
        </w:tc>
        <w:tc>
          <w:tcPr>
            <w:tcW w:type="dxa" w:w="205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Flagged as high</w:t>
            </w:r>
          </w:p>
        </w:tc>
        <w:tc>
          <w:tcPr>
            <w:tcW w:type="dxa" w:w="900"/>
            <w:tcMar>
              <w:top w:type="dxa" w:w="60"/>
              <w:left w:type="dxa" w:w="110"/>
              <w:bottom w:type="dxa" w:w="60"/>
              <w:right w:type="dxa" w:w="110"/>
            </w:tcMar>
          </w:tcPr>
          <w:p>
            <w:r>
              <w:rPr>
                <w:rFonts w:ascii="Calibri" w:cs="Calibri" w:eastAsia="Calibri" w:hAnsi="Calibri"/>
                <w:b/>
                <w:bCs/>
                <w:color w:val="B42318"/>
                <w:sz w:val="18"/>
                <w:szCs w:val="18"/>
              </w:rPr>
              <w:t xml:space="preserve">Gap</w:t>
            </w:r>
          </w:p>
        </w:tc>
        <w:tc>
          <w:tcPr>
            <w:tcW w:type="dxa" w:w="11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Exclude codes ending 9999</w:t>
            </w:r>
          </w:p>
        </w:tc>
      </w:tr>
      <w:tr>
        <w:tc>
          <w:tcPr>
            <w:tcW w:type="dxa" w:w="2100"/>
            <w:tcMar>
              <w:top w:type="dxa" w:w="60"/>
              <w:left w:type="dxa" w:w="110"/>
              <w:bottom w:type="dxa" w:w="60"/>
              <w:right w:type="dxa" w:w="110"/>
            </w:tcMar>
          </w:tcPr>
          <w:p>
            <w:r>
              <w:rPr>
                <w:rFonts w:ascii="Calibri" w:cs="Calibri" w:eastAsia="Calibri" w:hAnsi="Calibri"/>
                <w:b w:val="false"/>
                <w:bCs w:val="false"/>
                <w:color w:val="333B45"/>
                <w:sz w:val="18"/>
                <w:szCs w:val="18"/>
              </w:rPr>
              <w:t xml:space="preserve">Variable dose</w:t>
            </w:r>
          </w:p>
        </w:tc>
        <w:tc>
          <w:tcPr>
            <w:tcW w:type="dxa" w:w="3050"/>
            <w:tcMar>
              <w:top w:type="dxa" w:w="60"/>
              <w:left w:type="dxa" w:w="110"/>
              <w:bottom w:type="dxa" w:w="60"/>
              <w:right w:type="dxa" w:w="110"/>
            </w:tcMar>
          </w:tcPr>
          <w:p>
            <w:r>
              <w:rPr>
                <w:rFonts w:ascii="Calibri" w:cs="Calibri" w:eastAsia="Calibri" w:hAnsi="Calibri"/>
                <w:b w:val="false"/>
                <w:bCs w:val="false"/>
                <w:color w:val="333B45"/>
                <w:sz w:val="18"/>
                <w:szCs w:val="18"/>
              </w:rPr>
              <w:t xml:space="preserve">multi-line $0 pharmacy HCPCS = price + set multiplier</w:t>
            </w:r>
          </w:p>
        </w:tc>
        <w:tc>
          <w:tcPr>
            <w:tcW w:type="dxa" w:w="2050"/>
            <w:tcMar>
              <w:top w:type="dxa" w:w="60"/>
              <w:left w:type="dxa" w:w="110"/>
              <w:bottom w:type="dxa" w:w="60"/>
              <w:right w:type="dxa" w:w="110"/>
            </w:tcMar>
          </w:tcPr>
          <w:p>
            <w:r>
              <w:rPr>
                <w:rFonts w:ascii="Calibri" w:cs="Calibri" w:eastAsia="Calibri" w:hAnsi="Calibri"/>
                <w:b w:val="false"/>
                <w:bCs w:val="false"/>
                <w:color w:val="333B45"/>
                <w:sz w:val="18"/>
                <w:szCs w:val="18"/>
              </w:rPr>
              <w:t xml:space="preserve">Flagged as generic $0</w:t>
            </w:r>
          </w:p>
        </w:tc>
        <w:tc>
          <w:tcPr>
            <w:tcW w:type="dxa" w:w="90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1100"/>
            <w:tcMar>
              <w:top w:type="dxa" w:w="60"/>
              <w:left w:type="dxa" w:w="110"/>
              <w:bottom w:type="dxa" w:w="60"/>
              <w:right w:type="dxa" w:w="110"/>
            </w:tcMar>
          </w:tcPr>
          <w:p>
            <w:r>
              <w:rPr>
                <w:rFonts w:ascii="Calibri" w:cs="Calibri" w:eastAsia="Calibri" w:hAnsi="Calibri"/>
                <w:b w:val="false"/>
                <w:bCs w:val="false"/>
                <w:color w:val="333B45"/>
                <w:sz w:val="18"/>
                <w:szCs w:val="18"/>
              </w:rPr>
              <w:t xml:space="preserve">Group + route to multiplier fix</w:t>
            </w:r>
          </w:p>
        </w:tc>
      </w:tr>
    </w:tbl>
    <w:p>
      <w:pPr>
        <w:pBdr>
          <w:bottom w:val="single" w:color="D9DEE3" w:sz="6" w:space="4"/>
        </w:pBdr>
        <w:spacing w:after="100" w:before="240"/>
      </w:pPr>
      <w:r>
        <w:rPr>
          <w:rFonts w:ascii="Calibri" w:cs="Calibri" w:eastAsia="Calibri" w:hAnsi="Calibri"/>
          <w:b/>
          <w:bCs/>
          <w:color w:val="1F3350"/>
          <w:sz w:val="25"/>
          <w:szCs w:val="25"/>
        </w:rPr>
        <w:t xml:space="preserve">Duplicates, bilateral, and variance</w:t>
      </w:r>
    </w:p>
    <w:tbl>
      <w:tblPr>
        <w:tblW w:type="dxa" w:w="9200"/>
        <w:tblBorders>
          <w:top w:val="single" w:color="D9DEE3" w:sz="2"/>
          <w:left w:val="single" w:color="D9DEE3" w:sz="2"/>
          <w:bottom w:val="single" w:color="D9DEE3" w:sz="2"/>
          <w:right w:val="single" w:color="D9DEE3" w:sz="2"/>
          <w:insideH w:val="single" w:color="D9DEE3" w:sz="2"/>
          <w:insideV w:val="single" w:color="D9DEE3" w:sz="2"/>
        </w:tblBorders>
      </w:tblPr>
      <w:tblGrid>
        <w:gridCol w:w="2100"/>
        <w:gridCol w:w="3050"/>
        <w:gridCol w:w="2050"/>
        <w:gridCol w:w="900"/>
        <w:gridCol w:w="1100"/>
      </w:tblGrid>
      <w:tr>
        <w:trPr>
          <w:tblHeader/>
        </w:trPr>
        <w:tc>
          <w:tcPr>
            <w:tcW w:type="dxa" w:w="21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Area</w:t>
            </w:r>
          </w:p>
        </w:tc>
        <w:tc>
          <w:tcPr>
            <w:tcW w:type="dxa" w:w="305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Reference method</w:t>
            </w:r>
          </w:p>
        </w:tc>
        <w:tc>
          <w:tcPr>
            <w:tcW w:type="dxa" w:w="205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Tool today</w:t>
            </w:r>
          </w:p>
        </w:tc>
        <w:tc>
          <w:tcPr>
            <w:tcW w:type="dxa" w:w="9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Status</w:t>
            </w:r>
          </w:p>
        </w:tc>
        <w:tc>
          <w:tcPr>
            <w:tcW w:type="dxa" w:w="11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Fix</w:t>
            </w:r>
          </w:p>
        </w:tc>
      </w:tr>
      <w:tr>
        <w:tc>
          <w:tcPr>
            <w:tcW w:type="dxa" w:w="2100"/>
            <w:tcMar>
              <w:top w:type="dxa" w:w="60"/>
              <w:left w:type="dxa" w:w="110"/>
              <w:bottom w:type="dxa" w:w="60"/>
              <w:right w:type="dxa" w:w="110"/>
            </w:tcMar>
          </w:tcPr>
          <w:p>
            <w:r>
              <w:rPr>
                <w:rFonts w:ascii="Calibri" w:cs="Calibri" w:eastAsia="Calibri" w:hAnsi="Calibri"/>
                <w:b w:val="false"/>
                <w:bCs w:val="false"/>
                <w:color w:val="333B45"/>
                <w:sz w:val="18"/>
                <w:szCs w:val="18"/>
              </w:rPr>
              <w:t xml:space="preserve">Duplicate lines</w:t>
            </w:r>
          </w:p>
        </w:tc>
        <w:tc>
          <w:tcPr>
            <w:tcW w:type="dxa" w:w="3050"/>
            <w:tcMar>
              <w:top w:type="dxa" w:w="60"/>
              <w:left w:type="dxa" w:w="110"/>
              <w:bottom w:type="dxa" w:w="60"/>
              <w:right w:type="dxa" w:w="110"/>
            </w:tcMar>
          </w:tcPr>
          <w:p>
            <w:r>
              <w:rPr>
                <w:rFonts w:ascii="Calibri" w:cs="Calibri" w:eastAsia="Calibri" w:hAnsi="Calibri"/>
                <w:b w:val="false"/>
                <w:bCs w:val="false"/>
                <w:color w:val="333B45"/>
                <w:sz w:val="18"/>
                <w:szCs w:val="18"/>
              </w:rPr>
              <w:t xml:space="preserve">by Charge Master Code; classify EXACT vs NEAR</w:t>
            </w:r>
          </w:p>
        </w:tc>
        <w:tc>
          <w:tcPr>
            <w:tcW w:type="dxa" w:w="2050"/>
            <w:tcMar>
              <w:top w:type="dxa" w:w="60"/>
              <w:left w:type="dxa" w:w="110"/>
              <w:bottom w:type="dxa" w:w="60"/>
              <w:right w:type="dxa" w:w="110"/>
            </w:tcMar>
          </w:tcPr>
          <w:p>
            <w:r>
              <w:rPr>
                <w:rFonts w:ascii="Calibri" w:cs="Calibri" w:eastAsia="Calibri" w:hAnsi="Calibri"/>
                <w:b w:val="false"/>
                <w:bCs w:val="false"/>
                <w:color w:val="333B45"/>
                <w:sz w:val="18"/>
                <w:szCs w:val="18"/>
              </w:rPr>
              <w:t xml:space="preserve">keys on HCPCS+rev+price</w:t>
            </w:r>
          </w:p>
        </w:tc>
        <w:tc>
          <w:tcPr>
            <w:tcW w:type="dxa" w:w="90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1100"/>
            <w:tcMar>
              <w:top w:type="dxa" w:w="60"/>
              <w:left w:type="dxa" w:w="110"/>
              <w:bottom w:type="dxa" w:w="60"/>
              <w:right w:type="dxa" w:w="110"/>
            </w:tcMar>
          </w:tcPr>
          <w:p>
            <w:r>
              <w:rPr>
                <w:rFonts w:ascii="Calibri" w:cs="Calibri" w:eastAsia="Calibri" w:hAnsi="Calibri"/>
                <w:b w:val="false"/>
                <w:bCs w:val="false"/>
                <w:color w:val="333B45"/>
                <w:sz w:val="18"/>
                <w:szCs w:val="18"/>
              </w:rPr>
              <w:t xml:space="preserve">Key on charge code; add exact/near</w:t>
            </w:r>
          </w:p>
        </w:tc>
      </w:tr>
      <w:tr>
        <w:tc>
          <w:tcPr>
            <w:tcW w:type="dxa" w:w="21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Bilateral 1.75x</w:t>
            </w:r>
          </w:p>
        </w:tc>
        <w:tc>
          <w:tcPr>
            <w:tcW w:type="dxa" w:w="305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base = lowest line; flag 2.0x (down) and &lt;1.75x (up); exclude surgical ≤69999 and physician dept</w:t>
            </w:r>
          </w:p>
        </w:tc>
        <w:tc>
          <w:tcPr>
            <w:tcW w:type="dxa" w:w="205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ratio vs unilateral, no exclusions</w:t>
            </w:r>
          </w:p>
        </w:tc>
        <w:tc>
          <w:tcPr>
            <w:tcW w:type="dxa" w:w="90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11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Add exclusions + 2.0x/below-1.75x flags</w:t>
            </w:r>
          </w:p>
        </w:tc>
      </w:tr>
      <w:tr>
        <w:tc>
          <w:tcPr>
            <w:tcW w:type="dxa" w:w="2100"/>
            <w:tcMar>
              <w:top w:type="dxa" w:w="60"/>
              <w:left w:type="dxa" w:w="110"/>
              <w:bottom w:type="dxa" w:w="60"/>
              <w:right w:type="dxa" w:w="110"/>
            </w:tcMar>
          </w:tcPr>
          <w:p>
            <w:r>
              <w:rPr>
                <w:rFonts w:ascii="Calibri" w:cs="Calibri" w:eastAsia="Calibri" w:hAnsi="Calibri"/>
                <w:b w:val="false"/>
                <w:bCs w:val="false"/>
                <w:color w:val="333B45"/>
                <w:sz w:val="18"/>
                <w:szCs w:val="18"/>
              </w:rPr>
              <w:t xml:space="preserve">Missing RT/LT</w:t>
            </w:r>
          </w:p>
        </w:tc>
        <w:tc>
          <w:tcPr>
            <w:tcW w:type="dxa" w:w="3050"/>
            <w:tcMar>
              <w:top w:type="dxa" w:w="60"/>
              <w:left w:type="dxa" w:w="110"/>
              <w:bottom w:type="dxa" w:w="60"/>
              <w:right w:type="dxa" w:w="110"/>
            </w:tcMar>
          </w:tcPr>
          <w:p>
            <w:r>
              <w:rPr>
                <w:rFonts w:ascii="Calibri" w:cs="Calibri" w:eastAsia="Calibri" w:hAnsi="Calibri"/>
                <w:b w:val="false"/>
                <w:bCs w:val="false"/>
                <w:color w:val="333B45"/>
                <w:sz w:val="18"/>
                <w:szCs w:val="18"/>
              </w:rPr>
              <w:t xml:space="preserve">flag when a mod-50 line lacks RT/LT counterpart</w:t>
            </w:r>
          </w:p>
        </w:tc>
        <w:tc>
          <w:tcPr>
            <w:tcW w:type="dxa" w:w="2050"/>
            <w:tcMar>
              <w:top w:type="dxa" w:w="60"/>
              <w:left w:type="dxa" w:w="110"/>
              <w:bottom w:type="dxa" w:w="60"/>
              <w:right w:type="dxa" w:w="110"/>
            </w:tcMar>
          </w:tcPr>
          <w:p>
            <w:r>
              <w:rPr>
                <w:rFonts w:ascii="Calibri" w:cs="Calibri" w:eastAsia="Calibri" w:hAnsi="Calibri"/>
                <w:b w:val="false"/>
                <w:bCs w:val="false"/>
                <w:color w:val="333B45"/>
                <w:sz w:val="18"/>
                <w:szCs w:val="18"/>
              </w:rPr>
              <w:t xml:space="preserve">10.B present</w:t>
            </w:r>
          </w:p>
        </w:tc>
        <w:tc>
          <w:tcPr>
            <w:tcW w:type="dxa" w:w="900"/>
            <w:tcMar>
              <w:top w:type="dxa" w:w="60"/>
              <w:left w:type="dxa" w:w="110"/>
              <w:bottom w:type="dxa" w:w="60"/>
              <w:right w:type="dxa" w:w="110"/>
            </w:tcMar>
          </w:tcPr>
          <w:p>
            <w:r>
              <w:rPr>
                <w:rFonts w:ascii="Calibri" w:cs="Calibri" w:eastAsia="Calibri" w:hAnsi="Calibri"/>
                <w:b/>
                <w:bCs/>
                <w:color w:val="067647"/>
                <w:sz w:val="18"/>
                <w:szCs w:val="18"/>
              </w:rPr>
              <w:t xml:space="preserve">Match</w:t>
            </w:r>
          </w:p>
        </w:tc>
        <w:tc>
          <w:tcPr>
            <w:tcW w:type="dxa" w:w="1100"/>
            <w:tcMar>
              <w:top w:type="dxa" w:w="60"/>
              <w:left w:type="dxa" w:w="110"/>
              <w:bottom w:type="dxa" w:w="60"/>
              <w:right w:type="dxa" w:w="110"/>
            </w:tcMar>
          </w:tcPr>
          <w:p>
            <w:r>
              <w:rPr>
                <w:rFonts w:ascii="Calibri" w:cs="Calibri" w:eastAsia="Calibri" w:hAnsi="Calibri"/>
                <w:b w:val="false"/>
                <w:bCs w:val="false"/>
                <w:color w:val="333B45"/>
                <w:sz w:val="18"/>
                <w:szCs w:val="18"/>
              </w:rPr>
              <w:t xml:space="preserve">None</w:t>
            </w:r>
          </w:p>
        </w:tc>
      </w:tr>
      <w:tr>
        <w:tc>
          <w:tcPr>
            <w:tcW w:type="dxa" w:w="21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Price variance</w:t>
            </w:r>
          </w:p>
        </w:tc>
        <w:tc>
          <w:tcPr>
            <w:tcW w:type="dxa" w:w="305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&gt; 3x spread across duplicate HCPCS lines</w:t>
            </w:r>
          </w:p>
        </w:tc>
        <w:tc>
          <w:tcPr>
            <w:tcW w:type="dxa" w:w="205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3.2 flags &gt;1.2x; 6.6 flags &gt;5x dept median</w:t>
            </w:r>
          </w:p>
        </w:tc>
        <w:tc>
          <w:tcPr>
            <w:tcW w:type="dxa" w:w="900"/>
            <w:tcMar>
              <w:top w:type="dxa" w:w="60"/>
              <w:left w:type="dxa" w:w="110"/>
              <w:bottom w:type="dxa" w:w="60"/>
              <w:right w:type="dxa" w:w="110"/>
            </w:tcMar>
          </w:tcPr>
          <w:p>
            <w:r>
              <w:rPr>
                <w:rFonts w:ascii="Calibri" w:cs="Calibri" w:eastAsia="Calibri" w:hAnsi="Calibri"/>
                <w:b/>
                <w:bCs/>
                <w:color w:val="B45309"/>
                <w:sz w:val="18"/>
                <w:szCs w:val="18"/>
              </w:rPr>
              <w:t xml:space="preserve">Partial</w:t>
            </w:r>
          </w:p>
        </w:tc>
        <w:tc>
          <w:tcPr>
            <w:tcW w:type="dxa" w:w="11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Align threshold to 3x</w:t>
            </w:r>
          </w:p>
        </w:tc>
      </w:tr>
    </w:tbl>
    <w:p>
      <w:pPr>
        <w:pBdr>
          <w:bottom w:val="single" w:color="D9DEE3" w:sz="6" w:space="4"/>
        </w:pBdr>
        <w:spacing w:after="100" w:before="240"/>
      </w:pPr>
      <w:r>
        <w:rPr>
          <w:rFonts w:ascii="Calibri" w:cs="Calibri" w:eastAsia="Calibri" w:hAnsi="Calibri"/>
          <w:b/>
          <w:bCs/>
          <w:color w:val="1F3350"/>
          <w:sz w:val="25"/>
          <w:szCs w:val="25"/>
        </w:rPr>
        <w:t xml:space="preserve">Reference-table coverage</w:t>
      </w:r>
    </w:p>
    <w:p>
      <w:pPr>
        <w:spacing w:after="120"/>
      </w:pPr>
      <w:r>
        <w:rPr>
          <w:rFonts w:ascii="Calibri" w:cs="Calibri" w:eastAsia="Calibri" w:hAnsi="Calibri"/>
          <w:color w:val="333B45"/>
          <w:sz w:val="21"/>
          <w:szCs w:val="21"/>
        </w:rPr>
        <w:t xml:space="preserve">Several checks depend on hardcoded reference lists. The tool's lists are much smaller than the reference dictionary, so those checks currently catch only a fraction of cases.</w:t>
      </w:r>
    </w:p>
    <w:tbl>
      <w:tblPr>
        <w:tblW w:type="dxa" w:w="8200"/>
        <w:tblBorders>
          <w:top w:val="single" w:color="D9DEE3" w:sz="2"/>
          <w:left w:val="single" w:color="D9DEE3" w:sz="2"/>
          <w:bottom w:val="single" w:color="D9DEE3" w:sz="2"/>
          <w:right w:val="single" w:color="D9DEE3" w:sz="2"/>
          <w:insideH w:val="single" w:color="D9DEE3" w:sz="2"/>
          <w:insideV w:val="single" w:color="D9DEE3" w:sz="2"/>
        </w:tblBorders>
      </w:tblPr>
      <w:tblGrid>
        <w:gridCol w:w="3000"/>
        <w:gridCol w:w="1600"/>
        <w:gridCol w:w="1600"/>
        <w:gridCol w:w="2000"/>
      </w:tblGrid>
      <w:tr>
        <w:trPr>
          <w:tblHeader/>
        </w:trPr>
        <w:tc>
          <w:tcPr>
            <w:tcW w:type="dxa" w:w="30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Reference list</w:t>
            </w:r>
          </w:p>
        </w:tc>
        <w:tc>
          <w:tcPr>
            <w:tcW w:type="dxa" w:w="16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In tool</w:t>
            </w:r>
          </w:p>
        </w:tc>
        <w:tc>
          <w:tcPr>
            <w:tcW w:type="dxa" w:w="16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In reference</w:t>
            </w:r>
          </w:p>
        </w:tc>
        <w:tc>
          <w:tcPr>
            <w:tcW w:type="dxa" w:w="2000"/>
            <w:shd w:fill="1F3350" w:color="auto" w:val="clear"/>
            <w:tcMar>
              <w:top w:type="dxa" w:w="60"/>
              <w:left w:type="dxa" w:w="110"/>
              <w:bottom w:type="dxa" w:w="60"/>
              <w:right w:type="dxa" w:w="110"/>
            </w:tcMar>
          </w:tcPr>
          <w:p>
            <w:r>
              <w:rPr>
                <w:rFonts w:ascii="Calibri" w:cs="Calibri" w:eastAsia="Calibri" w:hAnsi="Calibri"/>
                <w:b/>
                <w:bCs/>
                <w:color w:val="FFFFFF"/>
                <w:sz w:val="18"/>
                <w:szCs w:val="18"/>
              </w:rPr>
              <w:t xml:space="preserve">Fix</w:t>
            </w:r>
          </w:p>
        </w:tc>
      </w:tr>
      <w:tr>
        <w:tc>
          <w:tcPr>
            <w:tcW w:type="dxa" w:w="3000"/>
            <w:tcMar>
              <w:top w:type="dxa" w:w="60"/>
              <w:left w:type="dxa" w:w="110"/>
              <w:bottom w:type="dxa" w:w="60"/>
              <w:right w:type="dxa" w:w="110"/>
            </w:tcMar>
          </w:tcPr>
          <w:p>
            <w:r>
              <w:rPr>
                <w:rFonts w:ascii="Calibri" w:cs="Calibri" w:eastAsia="Calibri" w:hAnsi="Calibri"/>
                <w:b w:val="false"/>
                <w:bCs w:val="false"/>
                <w:color w:val="333B45"/>
                <w:sz w:val="18"/>
                <w:szCs w:val="18"/>
              </w:rPr>
              <w:t xml:space="preserve">Add-on codes</w:t>
            </w:r>
          </w:p>
        </w:tc>
        <w:tc>
          <w:tcPr>
            <w:tcW w:type="dxa" w:w="1600"/>
            <w:tcMar>
              <w:top w:type="dxa" w:w="60"/>
              <w:left w:type="dxa" w:w="110"/>
              <w:bottom w:type="dxa" w:w="60"/>
              <w:right w:type="dxa" w:w="110"/>
            </w:tcMar>
          </w:tcPr>
          <w:p>
            <w:r>
              <w:rPr>
                <w:rFonts w:ascii="Calibri" w:cs="Calibri" w:eastAsia="Calibri" w:hAnsi="Calibri"/>
                <w:b w:val="false"/>
                <w:bCs w:val="false"/>
                <w:color w:val="333B45"/>
                <w:sz w:val="18"/>
                <w:szCs w:val="18"/>
              </w:rPr>
              <w:t xml:space="preserve">~9</w:t>
            </w:r>
          </w:p>
        </w:tc>
        <w:tc>
          <w:tcPr>
            <w:tcW w:type="dxa" w:w="1600"/>
            <w:tcMar>
              <w:top w:type="dxa" w:w="60"/>
              <w:left w:type="dxa" w:w="110"/>
              <w:bottom w:type="dxa" w:w="60"/>
              <w:right w:type="dxa" w:w="110"/>
            </w:tcMar>
          </w:tcPr>
          <w:p>
            <w:r>
              <w:rPr>
                <w:rFonts w:ascii="Calibri" w:cs="Calibri" w:eastAsia="Calibri" w:hAnsi="Calibri"/>
                <w:b w:val="false"/>
                <w:bCs w:val="false"/>
                <w:color w:val="333B45"/>
                <w:sz w:val="18"/>
                <w:szCs w:val="18"/>
              </w:rPr>
              <w:t xml:space="preserve">71</w:t>
            </w:r>
          </w:p>
        </w:tc>
        <w:tc>
          <w:tcPr>
            <w:tcW w:type="dxa" w:w="2000"/>
            <w:tcMar>
              <w:top w:type="dxa" w:w="60"/>
              <w:left w:type="dxa" w:w="110"/>
              <w:bottom w:type="dxa" w:w="60"/>
              <w:right w:type="dxa" w:w="110"/>
            </w:tcMar>
          </w:tcPr>
          <w:p>
            <w:r>
              <w:rPr>
                <w:rFonts w:ascii="Calibri" w:cs="Calibri" w:eastAsia="Calibri" w:hAnsi="Calibri"/>
                <w:b w:val="false"/>
                <w:bCs w:val="false"/>
                <w:color w:val="333B45"/>
                <w:sz w:val="18"/>
                <w:szCs w:val="18"/>
              </w:rPr>
              <w:t xml:space="preserve">Import full list</w:t>
            </w:r>
          </w:p>
        </w:tc>
      </w:tr>
      <w:tr>
        <w:tc>
          <w:tcPr>
            <w:tcW w:type="dxa" w:w="30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Radiology laterality</w:t>
            </w:r>
          </w:p>
        </w:tc>
        <w:tc>
          <w:tcPr>
            <w:tcW w:type="dxa" w:w="16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~12</w:t>
            </w:r>
          </w:p>
        </w:tc>
        <w:tc>
          <w:tcPr>
            <w:tcW w:type="dxa" w:w="16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96</w:t>
            </w:r>
          </w:p>
        </w:tc>
        <w:tc>
          <w:tcPr>
            <w:tcW w:type="dxa" w:w="20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Import full list</w:t>
            </w:r>
          </w:p>
        </w:tc>
      </w:tr>
      <w:tr>
        <w:tc>
          <w:tcPr>
            <w:tcW w:type="dxa" w:w="3000"/>
            <w:tcMar>
              <w:top w:type="dxa" w:w="60"/>
              <w:left w:type="dxa" w:w="110"/>
              <w:bottom w:type="dxa" w:w="60"/>
              <w:right w:type="dxa" w:w="110"/>
            </w:tcMar>
          </w:tcPr>
          <w:p>
            <w:r>
              <w:rPr>
                <w:rFonts w:ascii="Calibri" w:cs="Calibri" w:eastAsia="Calibri" w:hAnsi="Calibri"/>
                <w:b w:val="false"/>
                <w:bCs w:val="false"/>
                <w:color w:val="333B45"/>
                <w:sz w:val="18"/>
                <w:szCs w:val="18"/>
              </w:rPr>
              <w:t xml:space="preserve">Lab panels</w:t>
            </w:r>
          </w:p>
        </w:tc>
        <w:tc>
          <w:tcPr>
            <w:tcW w:type="dxa" w:w="1600"/>
            <w:tcMar>
              <w:top w:type="dxa" w:w="60"/>
              <w:left w:type="dxa" w:w="110"/>
              <w:bottom w:type="dxa" w:w="60"/>
              <w:right w:type="dxa" w:w="110"/>
            </w:tcMar>
          </w:tcPr>
          <w:p>
            <w:r>
              <w:rPr>
                <w:rFonts w:ascii="Calibri" w:cs="Calibri" w:eastAsia="Calibri" w:hAnsi="Calibri"/>
                <w:b w:val="false"/>
                <w:bCs w:val="false"/>
                <w:color w:val="333B45"/>
                <w:sz w:val="18"/>
                <w:szCs w:val="18"/>
              </w:rPr>
              <w:t xml:space="preserve">~5</w:t>
            </w:r>
          </w:p>
        </w:tc>
        <w:tc>
          <w:tcPr>
            <w:tcW w:type="dxa" w:w="1600"/>
            <w:tcMar>
              <w:top w:type="dxa" w:w="60"/>
              <w:left w:type="dxa" w:w="110"/>
              <w:bottom w:type="dxa" w:w="60"/>
              <w:right w:type="dxa" w:w="110"/>
            </w:tcMar>
          </w:tcPr>
          <w:p>
            <w:r>
              <w:rPr>
                <w:rFonts w:ascii="Calibri" w:cs="Calibri" w:eastAsia="Calibri" w:hAnsi="Calibri"/>
                <w:b w:val="false"/>
                <w:bCs w:val="false"/>
                <w:color w:val="333B45"/>
                <w:sz w:val="18"/>
                <w:szCs w:val="18"/>
              </w:rPr>
              <w:t xml:space="preserve">15</w:t>
            </w:r>
          </w:p>
        </w:tc>
        <w:tc>
          <w:tcPr>
            <w:tcW w:type="dxa" w:w="2000"/>
            <w:tcMar>
              <w:top w:type="dxa" w:w="60"/>
              <w:left w:type="dxa" w:w="110"/>
              <w:bottom w:type="dxa" w:w="60"/>
              <w:right w:type="dxa" w:w="110"/>
            </w:tcMar>
          </w:tcPr>
          <w:p>
            <w:r>
              <w:rPr>
                <w:rFonts w:ascii="Calibri" w:cs="Calibri" w:eastAsia="Calibri" w:hAnsi="Calibri"/>
                <w:b w:val="false"/>
                <w:bCs w:val="false"/>
                <w:color w:val="333B45"/>
                <w:sz w:val="18"/>
                <w:szCs w:val="18"/>
              </w:rPr>
              <w:t xml:space="preserve">Import full list</w:t>
            </w:r>
          </w:p>
        </w:tc>
      </w:tr>
      <w:tr>
        <w:tc>
          <w:tcPr>
            <w:tcW w:type="dxa" w:w="30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Modifier hardcode list</w:t>
            </w:r>
          </w:p>
        </w:tc>
        <w:tc>
          <w:tcPr>
            <w:tcW w:type="dxa" w:w="16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4 base</w:t>
            </w:r>
          </w:p>
        </w:tc>
        <w:tc>
          <w:tcPr>
            <w:tcW w:type="dxa" w:w="16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23+ (Other-Modifier)</w:t>
            </w:r>
          </w:p>
        </w:tc>
        <w:tc>
          <w:tcPr>
            <w:tcW w:type="dxa" w:w="2000"/>
            <w:shd w:fill="F4F7FA" w:color="auto" w:val="clear"/>
            <w:tcMar>
              <w:top w:type="dxa" w:w="60"/>
              <w:left w:type="dxa" w:w="110"/>
              <w:bottom w:type="dxa" w:w="60"/>
              <w:right w:type="dxa" w:w="110"/>
            </w:tcMar>
          </w:tcPr>
          <w:p>
            <w:r>
              <w:rPr>
                <w:rFonts w:ascii="Calibri" w:cs="Calibri" w:eastAsia="Calibri" w:hAnsi="Calibri"/>
                <w:b w:val="false"/>
                <w:bCs w:val="false"/>
                <w:color w:val="333B45"/>
                <w:sz w:val="18"/>
                <w:szCs w:val="18"/>
              </w:rPr>
              <w:t xml:space="preserve">Import reference list</w:t>
            </w:r>
          </w:p>
        </w:tc>
      </w:tr>
    </w:tbl>
    <w:p>
      <w:pPr>
        <w:pBdr>
          <w:bottom w:val="single" w:color="D9DEE3" w:sz="6" w:space="4"/>
        </w:pBdr>
        <w:spacing w:after="100" w:before="240"/>
      </w:pPr>
      <w:r>
        <w:rPr>
          <w:rFonts w:ascii="Calibri" w:cs="Calibri" w:eastAsia="Calibri" w:hAnsi="Calibri"/>
          <w:b/>
          <w:bCs/>
          <w:color w:val="1F3350"/>
          <w:sz w:val="25"/>
          <w:szCs w:val="25"/>
        </w:rPr>
        <w:t xml:space="preserve">Aligned already (no change needed)</w:t>
      </w:r>
    </w:p>
    <w:p>
      <w:pPr>
        <w:spacing w:after="120"/>
      </w:pPr>
      <w:r>
        <w:rPr>
          <w:rFonts w:ascii="Calibri" w:cs="Calibri" w:eastAsia="Calibri" w:hAnsi="Calibri"/>
          <w:color w:val="333B45"/>
          <w:sz w:val="21"/>
          <w:szCs w:val="21"/>
        </w:rPr>
        <w:t xml:space="preserve">Retired HCPCS, SI=B bundled, SI=Q1–Q4 packaging, SI=J/K pass-through, SI=A non-OPPS, vaccine admin G-codes, device-to-procedure C-code crosswalk, self-administered drugs (Rev 637), pharmacy NDC / UOM / billing-unit vs ASP, multi revenue-code, modifier-25 co-billing, and the price-transparency shoppable-services checks all follow the reference method. Code and NDC normalization conventions also match (5-char zero-pad HCPCS, 11-digit NDC).</w:t>
      </w:r>
    </w:p>
    <w:p>
      <w:pPr>
        <w:pBdr>
          <w:bottom w:val="single" w:color="D9DEE3" w:sz="6" w:space="4"/>
        </w:pBdr>
        <w:spacing w:after="100" w:before="240"/>
      </w:pPr>
      <w:r>
        <w:rPr>
          <w:rFonts w:ascii="Calibri" w:cs="Calibri" w:eastAsia="Calibri" w:hAnsi="Calibri"/>
          <w:b/>
          <w:bCs/>
          <w:color w:val="1F3350"/>
          <w:sz w:val="25"/>
          <w:szCs w:val="25"/>
        </w:rPr>
        <w:t xml:space="preserve">In the reference but not built yet</w:t>
      </w:r>
    </w:p>
    <w:p>
      <w:pPr>
        <w:pStyle w:val="ListParagraph"/>
        <w:numPr>
          <w:ilvl w:val="0"/>
          <w:numId w:val="2"/>
        </w:numPr>
        <w:spacing w:after="80"/>
      </w:pPr>
      <w:r>
        <w:rPr>
          <w:rFonts w:ascii="Calibri" w:cs="Calibri" w:eastAsia="Calibri" w:hAnsi="Calibri"/>
          <w:color w:val="333B45"/>
          <w:sz w:val="21"/>
          <w:szCs w:val="21"/>
        </w:rPr>
        <w:t xml:space="preserve">Retired code enrichment: add replacement code and term date (the reference researched 78 codes). Today the tool flags retired codes but does not suggest the replacement.</w:t>
      </w:r>
    </w:p>
    <w:p>
      <w:pPr>
        <w:pStyle w:val="ListParagraph"/>
        <w:numPr>
          <w:ilvl w:val="0"/>
          <w:numId w:val="2"/>
        </w:numPr>
        <w:spacing w:after="80"/>
      </w:pPr>
      <w:r>
        <w:rPr>
          <w:rFonts w:ascii="Calibri" w:cs="Calibri" w:eastAsia="Calibri" w:hAnsi="Calibri"/>
          <w:color w:val="333B45"/>
          <w:sz w:val="21"/>
          <w:szCs w:val="21"/>
        </w:rPr>
        <w:t xml:space="preserve">MRI bundling analysis (composite-APC packaging for the MRI CPT range).</w:t>
      </w:r>
    </w:p>
    <w:p>
      <w:pPr>
        <w:pStyle w:val="ListParagraph"/>
        <w:numPr>
          <w:ilvl w:val="0"/>
          <w:numId w:val="2"/>
        </w:numPr>
        <w:spacing w:after="80"/>
      </w:pPr>
      <w:r>
        <w:rPr>
          <w:rFonts w:ascii="Calibri" w:cs="Calibri" w:eastAsia="Calibri" w:hAnsi="Calibri"/>
          <w:color w:val="333B45"/>
          <w:sz w:val="21"/>
          <w:szCs w:val="21"/>
        </w:rPr>
        <w:t xml:space="preserve">Co-billing patterns: colonoscopy and stress-test pairs, and the OPPS multiple-endoscopy rule.</w:t>
      </w:r>
    </w:p>
    <w:p>
      <w:pPr>
        <w:pStyle w:val="ListParagraph"/>
        <w:numPr>
          <w:ilvl w:val="0"/>
          <w:numId w:val="2"/>
        </w:numPr>
        <w:spacing w:after="80"/>
      </w:pPr>
      <w:r>
        <w:rPr>
          <w:rFonts w:ascii="Calibri" w:cs="Calibri" w:eastAsia="Calibri" w:hAnsi="Calibri"/>
          <w:color w:val="333B45"/>
          <w:sz w:val="21"/>
          <w:szCs w:val="21"/>
        </w:rPr>
        <w:t xml:space="preserve">Anesthesia pricing: base units times locality conversion factor (needs the CMS anesthesia base-unit and conversion-factor files).</w:t>
      </w:r>
    </w:p>
    <w:p>
      <w:pPr>
        <w:pBdr>
          <w:bottom w:val="single" w:color="D9DEE3" w:sz="6" w:space="4"/>
        </w:pBdr>
        <w:spacing w:after="100" w:before="240"/>
      </w:pPr>
      <w:r>
        <w:rPr>
          <w:rFonts w:ascii="Calibri" w:cs="Calibri" w:eastAsia="Calibri" w:hAnsi="Calibri"/>
          <w:b/>
          <w:bCs/>
          <w:color w:val="1F3350"/>
          <w:sz w:val="25"/>
          <w:szCs w:val="25"/>
        </w:rPr>
        <w:t xml:space="preserve">Recommended order to fix</w:t>
      </w:r>
    </w:p>
    <w:p>
      <w:pPr>
        <w:pStyle w:val="ListParagraph"/>
        <w:numPr>
          <w:ilvl w:val="0"/>
          <w:numId w:val="2"/>
        </w:numPr>
        <w:spacing w:after="80"/>
      </w:pPr>
      <w:r>
        <w:rPr>
          <w:rFonts w:ascii="Calibri" w:cs="Calibri" w:eastAsia="Calibri" w:hAnsi="Calibri"/>
          <w:color w:val="333B45"/>
          <w:sz w:val="21"/>
          <w:szCs w:val="21"/>
        </w:rPr>
        <w:t xml:space="preserve">Pricing band: move underpricing and over-market to markup over Medicare with the 2.5x–3.0x band and a dollar-opportunity figure. Biggest impact on matching the reference numbers.</w:t>
      </w:r>
    </w:p>
    <w:p>
      <w:pPr>
        <w:pStyle w:val="ListParagraph"/>
        <w:numPr>
          <w:ilvl w:val="0"/>
          <w:numId w:val="2"/>
        </w:numPr>
        <w:spacing w:after="80"/>
      </w:pPr>
      <w:r>
        <w:rPr>
          <w:rFonts w:ascii="Calibri" w:cs="Calibri" w:eastAsia="Calibri" w:hAnsi="Calibri"/>
          <w:color w:val="333B45"/>
          <w:sz w:val="21"/>
          <w:szCs w:val="21"/>
        </w:rPr>
        <w:t xml:space="preserve">Zero-price categories: stop flagging 99024, x9999, and SI=B; route multi-line $0 pharmacy to the multiplier fix.</w:t>
      </w:r>
    </w:p>
    <w:p>
      <w:pPr>
        <w:pStyle w:val="ListParagraph"/>
        <w:numPr>
          <w:ilvl w:val="0"/>
          <w:numId w:val="2"/>
        </w:numPr>
        <w:spacing w:after="80"/>
      </w:pPr>
      <w:r>
        <w:rPr>
          <w:rFonts w:ascii="Calibri" w:cs="Calibri" w:eastAsia="Calibri" w:hAnsi="Calibri"/>
          <w:color w:val="333B45"/>
          <w:sz w:val="21"/>
          <w:szCs w:val="21"/>
        </w:rPr>
        <w:t xml:space="preserve">Reference tables: import the full add-on, radiology-laterality, lab-panel, and modifier lists from the dictionary.</w:t>
      </w:r>
    </w:p>
    <w:p>
      <w:pPr>
        <w:pStyle w:val="ListParagraph"/>
        <w:numPr>
          <w:ilvl w:val="0"/>
          <w:numId w:val="2"/>
        </w:numPr>
        <w:spacing w:after="80"/>
      </w:pPr>
      <w:r>
        <w:rPr>
          <w:rFonts w:ascii="Calibri" w:cs="Calibri" w:eastAsia="Calibri" w:hAnsi="Calibri"/>
          <w:color w:val="333B45"/>
          <w:sz w:val="21"/>
          <w:szCs w:val="21"/>
        </w:rPr>
        <w:t xml:space="preserve">Duplicate + bilateral + variance: align keys, exclusions, and thresholds to the reference.</w:t>
      </w:r>
    </w:p>
    <w:p>
      <w:pPr>
        <w:pStyle w:val="ListParagraph"/>
        <w:numPr>
          <w:ilvl w:val="0"/>
          <w:numId w:val="2"/>
        </w:numPr>
        <w:spacing w:after="80"/>
      </w:pPr>
      <w:r>
        <w:rPr>
          <w:rFonts w:ascii="Calibri" w:cs="Calibri" w:eastAsia="Calibri" w:hAnsi="Calibri"/>
          <w:color w:val="333B45"/>
          <w:sz w:val="21"/>
          <w:szCs w:val="21"/>
        </w:rPr>
        <w:t xml:space="preserve">Then the not-yet-built items (retired enrichment, MRI bundling, co-billing, anesthesia).</w:t>
      </w:r>
    </w:p>
    <w:p>
      <w:pPr>
        <w:spacing w:before="160"/>
      </w:pPr>
      <w:r>
        <w:rPr>
          <w:rFonts w:ascii="Calibri" w:cs="Calibri" w:eastAsia="Calibri" w:hAnsi="Calibri"/>
          <w:i/>
          <w:iCs/>
          <w:color w:val="6B7280"/>
          <w:sz w:val="20"/>
          <w:szCs w:val="20"/>
        </w:rPr>
        <w:t xml:space="preserve">Once you share the email, I will fold any specific thresholds or priorities from it into this list before we change code.</w:t>
      </w:r>
    </w:p>
    <w:sectPr>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2026-08-31T17:28:30.610Z</dcterms:created>
  <dcterms:modified xsi:type="dcterms:W3CDTF">2026-08-31T17:28:30.610Z</dcterms:modified>
</cp:coreProperties>
</file>

<file path=docProps/custom.xml><?xml version="1.0" encoding="utf-8"?>
<Properties xmlns="http://schemas.openxmlformats.org/officeDocument/2006/custom-properties" xmlns:vt="http://schemas.openxmlformats.org/officeDocument/2006/docPropsVTypes"/>
</file>