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828800" cy="1099279"/>
            <wp:docPr id="1" name="Picture 1"/>
            <wp:cNvGraphicFramePr>
              <a:graphicFrameLocks noChangeAspect="1"/>
            </wp:cNvGraphicFramePr>
            <a:graphic>
              <a:graphicData uri="http://schemas.openxmlformats.org/drawingml/2006/picture">
                <pic:pic>
                  <pic:nvPicPr>
                    <pic:cNvPr id="0" name="bbe-logo.png"/>
                    <pic:cNvPicPr/>
                  </pic:nvPicPr>
                  <pic:blipFill>
                    <a:blip r:embed="rId9"/>
                    <a:stretch>
                      <a:fillRect/>
                    </a:stretch>
                  </pic:blipFill>
                  <pic:spPr>
                    <a:xfrm>
                      <a:off x="0" y="0"/>
                      <a:ext cx="1828800" cy="1099279"/>
                    </a:xfrm>
                    <a:prstGeom prst="rect"/>
                  </pic:spPr>
                </pic:pic>
              </a:graphicData>
            </a:graphic>
          </wp:inline>
        </w:drawing>
      </w:r>
    </w:p>
    <w:p>
      <w:pPr>
        <w:spacing w:before="160" w:after="40"/>
        <w:jc w:val="left"/>
      </w:pPr>
      <w:r>
        <w:rPr>
          <w:b/>
          <w:color w:val="293B4B"/>
          <w:sz w:val="44"/>
        </w:rPr>
        <w:t>Executive Transition Coaching Agreement</w:t>
      </w:r>
    </w:p>
    <w:p>
      <w:pPr>
        <w:spacing w:after="240"/>
      </w:pPr>
      <w:r>
        <w:rPr>
          <w:color w:val="555555"/>
          <w:sz w:val="24"/>
        </w:rPr>
        <w:t>Jud Rex / Town of Warrenton, Virginia</w:t>
      </w:r>
    </w:p>
    <w:tbl>
      <w:tblPr>
        <w:tblW w:type="auto" w:w="0"/>
        <w:jc w:val="left"/>
        <w:tblLayout w:type="fixed"/>
        <w:tblLook w:firstColumn="1" w:firstRow="1" w:lastColumn="0" w:lastRow="0" w:noHBand="0" w:noVBand="1" w:val="04A0"/>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2736"/>
        <w:gridCol w:w="6912"/>
      </w:tblGrid>
      <w:tr>
        <w:tc>
          <w:tcPr>
            <w:tcW w:type="dxa" w:w="4896"/>
            <w:tcMar>
              <w:top w:w="100" w:type="dxa"/>
              <w:start w:w="140" w:type="dxa"/>
              <w:bottom w:w="100" w:type="dxa"/>
              <w:end w:w="140" w:type="dxa"/>
            </w:tcMar>
            <w:vAlign w:val="center"/>
            <w:shd w:fill="F2F4F7"/>
          </w:tcPr>
          <w:p>
            <w:r>
              <w:rPr>
                <w:b/>
              </w:rPr>
              <w:t>Prepared by</w:t>
            </w:r>
          </w:p>
        </w:tc>
        <w:tc>
          <w:tcPr>
            <w:tcW w:type="dxa" w:w="4896"/>
            <w:tcMar>
              <w:top w:w="100" w:type="dxa"/>
              <w:start w:w="140" w:type="dxa"/>
              <w:bottom w:w="100" w:type="dxa"/>
              <w:end w:w="140" w:type="dxa"/>
            </w:tcMar>
            <w:vAlign w:val="center"/>
            <w:shd w:fill="F2F4F7"/>
          </w:tcPr>
          <w:p>
            <w:r>
              <w:rPr>
                <w:b/>
              </w:rPr>
              <w:t>Bullard Business Execution</w:t>
            </w:r>
          </w:p>
        </w:tc>
      </w:tr>
      <w:tr>
        <w:tc>
          <w:tcPr>
            <w:tcW w:type="dxa" w:w="2736"/>
            <w:tcMar>
              <w:top w:w="100" w:type="dxa"/>
              <w:start w:w="140" w:type="dxa"/>
              <w:bottom w:w="100" w:type="dxa"/>
              <w:end w:w="140" w:type="dxa"/>
            </w:tcMar>
            <w:vAlign w:val="center"/>
          </w:tcPr>
          <w:p>
            <w:r>
              <w:rPr>
                <w:b/>
                <w:color w:val="293B4B"/>
              </w:rPr>
              <w:t>Client</w:t>
            </w:r>
          </w:p>
        </w:tc>
        <w:tc>
          <w:tcPr>
            <w:tcW w:type="dxa" w:w="6912"/>
            <w:tcMar>
              <w:top w:w="100" w:type="dxa"/>
              <w:start w:w="140" w:type="dxa"/>
              <w:bottom w:w="100" w:type="dxa"/>
              <w:end w:w="140" w:type="dxa"/>
            </w:tcMar>
            <w:vAlign w:val="center"/>
          </w:tcPr>
          <w:p>
            <w:r>
              <w:t>Town of Warrenton / Jud Rex</w:t>
            </w:r>
          </w:p>
        </w:tc>
      </w:tr>
      <w:tr>
        <w:tc>
          <w:tcPr>
            <w:tcW w:type="dxa" w:w="2736"/>
            <w:tcMar>
              <w:top w:w="100" w:type="dxa"/>
              <w:start w:w="140" w:type="dxa"/>
              <w:bottom w:w="100" w:type="dxa"/>
              <w:end w:w="140" w:type="dxa"/>
            </w:tcMar>
            <w:vAlign w:val="center"/>
          </w:tcPr>
          <w:p>
            <w:r>
              <w:rPr>
                <w:b/>
                <w:color w:val="293B4B"/>
              </w:rPr>
              <w:t>Engagement</w:t>
            </w:r>
          </w:p>
        </w:tc>
        <w:tc>
          <w:tcPr>
            <w:tcW w:type="dxa" w:w="6912"/>
            <w:tcMar>
              <w:top w:w="100" w:type="dxa"/>
              <w:start w:w="140" w:type="dxa"/>
              <w:bottom w:w="100" w:type="dxa"/>
              <w:end w:w="140" w:type="dxa"/>
            </w:tcMar>
            <w:vAlign w:val="center"/>
          </w:tcPr>
          <w:p>
            <w:r>
              <w:t>12-month executive transition coaching</w:t>
            </w:r>
          </w:p>
        </w:tc>
      </w:tr>
      <w:tr>
        <w:tc>
          <w:tcPr>
            <w:tcW w:type="dxa" w:w="2736"/>
            <w:tcMar>
              <w:top w:w="100" w:type="dxa"/>
              <w:start w:w="140" w:type="dxa"/>
              <w:bottom w:w="100" w:type="dxa"/>
              <w:end w:w="140" w:type="dxa"/>
            </w:tcMar>
            <w:vAlign w:val="center"/>
          </w:tcPr>
          <w:p>
            <w:r>
              <w:rPr>
                <w:b/>
                <w:color w:val="293B4B"/>
              </w:rPr>
              <w:t>Fees</w:t>
            </w:r>
          </w:p>
        </w:tc>
        <w:tc>
          <w:tcPr>
            <w:tcW w:type="dxa" w:w="6912"/>
            <w:tcMar>
              <w:top w:w="100" w:type="dxa"/>
              <w:start w:w="140" w:type="dxa"/>
              <w:bottom w:w="100" w:type="dxa"/>
              <w:end w:w="140" w:type="dxa"/>
            </w:tcMar>
            <w:vAlign w:val="center"/>
          </w:tcPr>
          <w:p>
            <w:r>
              <w:t>$3,500/month for months 1-6; $2,500/month for months 7-12</w:t>
            </w:r>
          </w:p>
        </w:tc>
      </w:tr>
      <w:tr>
        <w:tc>
          <w:tcPr>
            <w:tcW w:type="dxa" w:w="2736"/>
            <w:tcMar>
              <w:top w:w="100" w:type="dxa"/>
              <w:start w:w="140" w:type="dxa"/>
              <w:bottom w:w="100" w:type="dxa"/>
              <w:end w:w="140" w:type="dxa"/>
            </w:tcMar>
            <w:vAlign w:val="center"/>
          </w:tcPr>
          <w:p>
            <w:r>
              <w:rPr>
                <w:b/>
                <w:color w:val="293B4B"/>
              </w:rPr>
              <w:t>Total</w:t>
            </w:r>
          </w:p>
        </w:tc>
        <w:tc>
          <w:tcPr>
            <w:tcW w:type="dxa" w:w="6912"/>
            <w:tcMar>
              <w:top w:w="100" w:type="dxa"/>
              <w:start w:w="140" w:type="dxa"/>
              <w:bottom w:w="100" w:type="dxa"/>
              <w:end w:w="140" w:type="dxa"/>
            </w:tcMar>
            <w:vAlign w:val="center"/>
          </w:tcPr>
          <w:p>
            <w:r>
              <w:t>$36,000</w:t>
            </w:r>
          </w:p>
        </w:tc>
      </w:tr>
    </w:tbl>
    <w:p>
      <w:pPr>
        <w:pStyle w:val="Heading1"/>
      </w:pPr>
      <w:r>
        <w:t>1. Engagement Overview</w:t>
      </w:r>
    </w:p>
    <w:p>
      <w:r>
        <w:t>Bullard Business Execution will provide executive transition coaching to Jud Rex during his first year as Town Manager of Warrenton. The engagement is designed to support confidence with staff and council, stronger context-setting, senior-team support, and disciplined execution around council priorities.</w:t>
      </w:r>
    </w:p>
    <w:p>
      <w:pPr>
        <w:pStyle w:val="Heading1"/>
      </w:pPr>
      <w:r>
        <w:t>2. Coaching Objectives</w:t>
      </w:r>
    </w:p>
    <w:p>
      <w:pPr>
        <w:pStyle w:val="ListBullet"/>
      </w:pPr>
      <w:r>
        <w:t>Build "confidence and trust" with staff, council, and community.</w:t>
      </w:r>
    </w:p>
    <w:p>
      <w:pPr>
        <w:pStyle w:val="ListBullet"/>
      </w:pPr>
      <w:r>
        <w:t>Help recommendations begin from "a baseline of facts."</w:t>
      </w:r>
    </w:p>
    <w:p>
      <w:pPr>
        <w:pStyle w:val="ListBullet"/>
      </w:pPr>
      <w:r>
        <w:t>Support capital project, zoning ordinance, and budget process execution.</w:t>
      </w:r>
    </w:p>
    <w:p>
      <w:pPr>
        <w:pStyle w:val="ListBullet"/>
      </w:pPr>
      <w:r>
        <w:t>Support the senior team around security, trust, and "I've got their back."</w:t>
      </w:r>
    </w:p>
    <w:p>
      <w:pPr>
        <w:pStyle w:val="ListBullet"/>
      </w:pPr>
      <w:r>
        <w:t>Maintain focus discipline around "avoiding side quests."</w:t>
      </w:r>
    </w:p>
    <w:p>
      <w:pPr>
        <w:pStyle w:val="Heading1"/>
      </w:pPr>
      <w:r>
        <w:t>3. Scope of Services</w:t>
      </w:r>
    </w:p>
    <w:p>
      <w:r>
        <w:t>The engagement includes:</w:t>
      </w:r>
    </w:p>
    <w:p>
      <w:pPr>
        <w:pStyle w:val="ListBullet"/>
      </w:pPr>
      <w:r>
        <w:t>Recurring one-on-one executive coaching sessions with Jud Rex.</w:t>
      </w:r>
    </w:p>
    <w:p>
      <w:pPr>
        <w:pStyle w:val="ListBullet"/>
      </w:pPr>
      <w:r>
        <w:t>Transition judgment support around staff, council, community pressure, and current projects.</w:t>
      </w:r>
    </w:p>
    <w:p>
      <w:pPr>
        <w:pStyle w:val="ListBullet"/>
      </w:pPr>
      <w:r>
        <w:t>Recommendation framing and context-setting support for council-facing work.</w:t>
      </w:r>
    </w:p>
    <w:p>
      <w:pPr>
        <w:pStyle w:val="ListBullet"/>
      </w:pPr>
      <w:r>
        <w:t>Execution coaching connected to the Capital Improvement Program, zoning ordinance rewrite, and budget process.</w:t>
      </w:r>
    </w:p>
    <w:p>
      <w:pPr>
        <w:pStyle w:val="ListBullet"/>
      </w:pPr>
      <w:r>
        <w:t>Senior-team support strategy, including optional leadership development planning after the first internal assessment.</w:t>
      </w:r>
    </w:p>
    <w:p>
      <w:pPr>
        <w:pStyle w:val="Heading1"/>
      </w:pPr>
      <w:r>
        <w:t>4. Term and Fees</w:t>
      </w:r>
    </w:p>
    <w:p>
      <w:r>
        <w:t>The recommended term is twelve months from the agreed start date. Fees are:</w:t>
      </w:r>
    </w:p>
    <w:tbl>
      <w:tblPr>
        <w:tblW w:type="auto" w:w="0"/>
        <w:jc w:val="left"/>
        <w:tblLayout w:type="fixed"/>
        <w:tblLook w:firstColumn="1" w:firstRow="1" w:lastColumn="0" w:lastRow="0" w:noHBand="0" w:noVBand="1" w:val="04A0"/>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64"/>
        <w:gridCol w:w="3264"/>
        <w:gridCol w:w="3264"/>
      </w:tblGrid>
      <w:tr>
        <w:tc>
          <w:tcPr>
            <w:tcW w:type="dxa" w:w="3264"/>
            <w:shd w:fill="F2F4F7"/>
            <w:tcMar>
              <w:top w:w="100" w:type="dxa"/>
              <w:start w:w="140" w:type="dxa"/>
              <w:bottom w:w="100" w:type="dxa"/>
              <w:end w:w="140" w:type="dxa"/>
            </w:tcMar>
            <w:vAlign w:val="center"/>
          </w:tcPr>
          <w:p>
            <w:r>
              <w:rPr>
                <w:b/>
                <w:color w:val="293B4B"/>
              </w:rPr>
              <w:t>Period</w:t>
            </w:r>
          </w:p>
        </w:tc>
        <w:tc>
          <w:tcPr>
            <w:tcW w:type="dxa" w:w="3264"/>
            <w:shd w:fill="F2F4F7"/>
            <w:tcMar>
              <w:top w:w="100" w:type="dxa"/>
              <w:start w:w="140" w:type="dxa"/>
              <w:bottom w:w="100" w:type="dxa"/>
              <w:end w:w="140" w:type="dxa"/>
            </w:tcMar>
            <w:vAlign w:val="center"/>
          </w:tcPr>
          <w:p>
            <w:r>
              <w:rPr>
                <w:b/>
                <w:color w:val="293B4B"/>
              </w:rPr>
              <w:t>Cadence</w:t>
            </w:r>
          </w:p>
        </w:tc>
        <w:tc>
          <w:tcPr>
            <w:tcW w:type="dxa" w:w="3264"/>
            <w:shd w:fill="F2F4F7"/>
            <w:tcMar>
              <w:top w:w="100" w:type="dxa"/>
              <w:start w:w="140" w:type="dxa"/>
              <w:bottom w:w="100" w:type="dxa"/>
              <w:end w:w="140" w:type="dxa"/>
            </w:tcMar>
            <w:vAlign w:val="center"/>
          </w:tcPr>
          <w:p>
            <w:r>
              <w:rPr>
                <w:b/>
                <w:color w:val="293B4B"/>
              </w:rPr>
              <w:t>Fee</w:t>
            </w:r>
          </w:p>
        </w:tc>
      </w:tr>
      <w:tr>
        <w:tc>
          <w:tcPr>
            <w:tcW w:type="dxa" w:w="3264"/>
            <w:tcMar>
              <w:top w:w="100" w:type="dxa"/>
              <w:start w:w="140" w:type="dxa"/>
              <w:bottom w:w="100" w:type="dxa"/>
              <w:end w:w="140" w:type="dxa"/>
            </w:tcMar>
            <w:vAlign w:val="center"/>
          </w:tcPr>
          <w:p>
            <w:r>
              <w:t>Months 1-6</w:t>
            </w:r>
          </w:p>
        </w:tc>
        <w:tc>
          <w:tcPr>
            <w:tcW w:type="dxa" w:w="3264"/>
            <w:tcMar>
              <w:top w:w="100" w:type="dxa"/>
              <w:start w:w="140" w:type="dxa"/>
              <w:bottom w:w="100" w:type="dxa"/>
              <w:end w:w="140" w:type="dxa"/>
            </w:tcMar>
            <w:vAlign w:val="center"/>
          </w:tcPr>
          <w:p>
            <w:r>
              <w:t>Executive coaching cadence to be confirmed</w:t>
            </w:r>
          </w:p>
        </w:tc>
        <w:tc>
          <w:tcPr>
            <w:tcW w:type="dxa" w:w="3264"/>
            <w:tcMar>
              <w:top w:w="100" w:type="dxa"/>
              <w:start w:w="140" w:type="dxa"/>
              <w:bottom w:w="100" w:type="dxa"/>
              <w:end w:w="140" w:type="dxa"/>
            </w:tcMar>
            <w:vAlign w:val="center"/>
          </w:tcPr>
          <w:p>
            <w:r>
              <w:t>$3,500/month</w:t>
            </w:r>
          </w:p>
        </w:tc>
      </w:tr>
      <w:tr>
        <w:tc>
          <w:tcPr>
            <w:tcW w:type="dxa" w:w="3264"/>
            <w:tcMar>
              <w:top w:w="100" w:type="dxa"/>
              <w:start w:w="140" w:type="dxa"/>
              <w:bottom w:w="100" w:type="dxa"/>
              <w:end w:w="140" w:type="dxa"/>
            </w:tcMar>
            <w:vAlign w:val="center"/>
          </w:tcPr>
          <w:p>
            <w:r>
              <w:t>Months 7-12</w:t>
            </w:r>
          </w:p>
        </w:tc>
        <w:tc>
          <w:tcPr>
            <w:tcW w:type="dxa" w:w="3264"/>
            <w:tcMar>
              <w:top w:w="100" w:type="dxa"/>
              <w:start w:w="140" w:type="dxa"/>
              <w:bottom w:w="100" w:type="dxa"/>
              <w:end w:w="140" w:type="dxa"/>
            </w:tcMar>
            <w:vAlign w:val="center"/>
          </w:tcPr>
          <w:p>
            <w:r>
              <w:t>Executive coaching cadence to be confirmed</w:t>
            </w:r>
          </w:p>
        </w:tc>
        <w:tc>
          <w:tcPr>
            <w:tcW w:type="dxa" w:w="3264"/>
            <w:tcMar>
              <w:top w:w="100" w:type="dxa"/>
              <w:start w:w="140" w:type="dxa"/>
              <w:bottom w:w="100" w:type="dxa"/>
              <w:end w:w="140" w:type="dxa"/>
            </w:tcMar>
            <w:vAlign w:val="center"/>
          </w:tcPr>
          <w:p>
            <w:r>
              <w:t>$2,500/month</w:t>
            </w:r>
          </w:p>
        </w:tc>
      </w:tr>
      <w:tr>
        <w:tc>
          <w:tcPr>
            <w:tcW w:type="dxa" w:w="3264"/>
            <w:tcMar>
              <w:top w:w="100" w:type="dxa"/>
              <w:start w:w="140" w:type="dxa"/>
              <w:bottom w:w="100" w:type="dxa"/>
              <w:end w:w="140" w:type="dxa"/>
            </w:tcMar>
            <w:vAlign w:val="center"/>
          </w:tcPr>
          <w:p>
            <w:r>
              <w:t>Total</w:t>
            </w:r>
          </w:p>
        </w:tc>
        <w:tc>
          <w:tcPr>
            <w:tcW w:type="dxa" w:w="3264"/>
            <w:tcMar>
              <w:top w:w="100" w:type="dxa"/>
              <w:start w:w="140" w:type="dxa"/>
              <w:bottom w:w="100" w:type="dxa"/>
              <w:end w:w="140" w:type="dxa"/>
            </w:tcMar>
            <w:vAlign w:val="center"/>
          </w:tcPr>
          <w:p>
            <w:r>
              <w:t>12-month engagement</w:t>
            </w:r>
          </w:p>
        </w:tc>
        <w:tc>
          <w:tcPr>
            <w:tcW w:type="dxa" w:w="3264"/>
            <w:tcMar>
              <w:top w:w="100" w:type="dxa"/>
              <w:start w:w="140" w:type="dxa"/>
              <w:bottom w:w="100" w:type="dxa"/>
              <w:end w:w="140" w:type="dxa"/>
            </w:tcMar>
            <w:vAlign w:val="center"/>
          </w:tcPr>
          <w:p>
            <w:r>
              <w:t>$36,000</w:t>
            </w:r>
          </w:p>
        </w:tc>
      </w:tr>
    </w:tbl>
    <w:p>
      <w:pPr>
        <w:pStyle w:val="Heading1"/>
      </w:pPr>
      <w:r>
        <w:t>5. Payment Terms</w:t>
      </w:r>
    </w:p>
    <w:p>
      <w:r>
        <w:t>Fees are invoiced monthly and payable within 15 days of invoice unless otherwise agreed in writing. Any additional services outside this scope must be approved in writing before work begins.</w:t>
      </w:r>
    </w:p>
    <w:p>
      <w:pPr>
        <w:pStyle w:val="Heading1"/>
      </w:pPr>
      <w:r>
        <w:t>6. Client Responsibilities</w:t>
      </w:r>
    </w:p>
    <w:p>
      <w:pPr>
        <w:pStyle w:val="ListBullet"/>
      </w:pPr>
      <w:r>
        <w:t>Participate in scheduled coaching sessions.</w:t>
      </w:r>
    </w:p>
    <w:p>
      <w:pPr>
        <w:pStyle w:val="ListBullet"/>
      </w:pPr>
      <w:r>
        <w:t>Provide relevant context, materials, and updates needed for effective coaching.</w:t>
      </w:r>
    </w:p>
    <w:p>
      <w:pPr>
        <w:pStyle w:val="ListBullet"/>
      </w:pPr>
      <w:r>
        <w:t>Confirm whether senior-team leadership development is included in the initial engagement or added later.</w:t>
      </w:r>
    </w:p>
    <w:p>
      <w:pPr>
        <w:pStyle w:val="ListBullet"/>
      </w:pPr>
      <w:r>
        <w:t>Identify the approval path and authorized signer for the engagement.</w:t>
      </w:r>
    </w:p>
    <w:p>
      <w:pPr>
        <w:pStyle w:val="Heading1"/>
      </w:pPr>
      <w:r>
        <w:t>7. Confidentiality</w:t>
      </w:r>
    </w:p>
    <w:p>
      <w:r>
        <w:t>Bullard Business Execution will treat coaching conversations and shared materials as confidential, except where disclosure is required by law or expressly authorized by the client.</w:t>
      </w:r>
    </w:p>
    <w:p>
      <w:pPr>
        <w:pStyle w:val="Heading1"/>
      </w:pPr>
      <w:r>
        <w:t>8. Cancellation and Rescheduling</w:t>
      </w:r>
    </w:p>
    <w:p>
      <w:r>
        <w:t>Either party may reschedule individual sessions with reasonable notice. Either party may terminate the engagement with 30 days written notice. Fees for services performed through the termination date remain payable.</w:t>
      </w:r>
    </w:p>
    <w:p>
      <w:pPr>
        <w:pStyle w:val="Heading1"/>
      </w:pPr>
      <w:r>
        <w:t>9. Authorization</w:t>
      </w:r>
    </w:p>
    <w:p>
      <w:r>
        <w:t>By signing below, the parties authorize the executive transition coaching engagement described above.</w:t>
      </w:r>
    </w:p>
    <w:tbl>
      <w:tblPr>
        <w:tblW w:type="auto" w:w="0"/>
        <w:jc w:val="left"/>
        <w:tblLayout w:type="fixed"/>
        <w:tblLook w:firstColumn="1" w:firstRow="1" w:lastColumn="0" w:lastRow="0" w:noHBand="0" w:noVBand="1" w:val="04A0"/>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4896"/>
        <w:gridCol w:w="4896"/>
      </w:tblGrid>
      <w:tr>
        <w:tc>
          <w:tcPr>
            <w:tcW w:type="dxa" w:w="4896"/>
            <w:tcMar>
              <w:top w:w="120" w:type="dxa"/>
              <w:start w:w="140" w:type="dxa"/>
              <w:bottom w:w="120" w:type="dxa"/>
              <w:end w:w="140" w:type="dxa"/>
            </w:tcMar>
            <w:shd w:fill="F2F4F7"/>
          </w:tcPr>
          <w:p>
            <w:r>
              <w:rPr>
                <w:b/>
                <w:color w:val="293B4B"/>
              </w:rPr>
              <w:t>Bullard Business Execution</w:t>
            </w:r>
          </w:p>
        </w:tc>
        <w:tc>
          <w:tcPr>
            <w:tcW w:type="dxa" w:w="4896"/>
            <w:tcMar>
              <w:top w:w="120" w:type="dxa"/>
              <w:start w:w="140" w:type="dxa"/>
              <w:bottom w:w="120" w:type="dxa"/>
              <w:end w:w="140" w:type="dxa"/>
            </w:tcMar>
            <w:shd w:fill="F2F4F7"/>
          </w:tcPr>
          <w:p>
            <w:r>
              <w:rPr>
                <w:b/>
                <w:color w:val="293B4B"/>
              </w:rPr>
              <w:t>Town of Warrenton</w:t>
            </w:r>
          </w:p>
        </w:tc>
      </w:tr>
      <w:tr>
        <w:tc>
          <w:tcPr>
            <w:tcW w:type="dxa" w:w="4896"/>
            <w:tcMar>
              <w:top w:w="120" w:type="dxa"/>
              <w:start w:w="140" w:type="dxa"/>
              <w:bottom w:w="120" w:type="dxa"/>
              <w:end w:w="140" w:type="dxa"/>
            </w:tcMar>
          </w:tcPr>
          <w:p>
            <w:r>
              <w:t>Signature: ______________________________</w:t>
            </w:r>
          </w:p>
        </w:tc>
        <w:tc>
          <w:tcPr>
            <w:tcW w:type="dxa" w:w="4896"/>
            <w:tcMar>
              <w:top w:w="120" w:type="dxa"/>
              <w:start w:w="140" w:type="dxa"/>
              <w:bottom w:w="120" w:type="dxa"/>
              <w:end w:w="140" w:type="dxa"/>
            </w:tcMar>
          </w:tcPr>
          <w:p>
            <w:r>
              <w:t>Signature: ______________________________</w:t>
            </w:r>
          </w:p>
        </w:tc>
      </w:tr>
      <w:tr>
        <w:tc>
          <w:tcPr>
            <w:tcW w:type="dxa" w:w="4896"/>
            <w:tcMar>
              <w:top w:w="120" w:type="dxa"/>
              <w:start w:w="140" w:type="dxa"/>
              <w:bottom w:w="120" w:type="dxa"/>
              <w:end w:w="140" w:type="dxa"/>
            </w:tcMar>
          </w:tcPr>
          <w:p>
            <w:r>
              <w:t>Name/Title: Kevin Bullard</w:t>
            </w:r>
          </w:p>
        </w:tc>
        <w:tc>
          <w:tcPr>
            <w:tcW w:type="dxa" w:w="4896"/>
            <w:tcMar>
              <w:top w:w="120" w:type="dxa"/>
              <w:start w:w="140" w:type="dxa"/>
              <w:bottom w:w="120" w:type="dxa"/>
              <w:end w:w="140" w:type="dxa"/>
            </w:tcMar>
          </w:tcPr>
          <w:p>
            <w:r>
              <w:t>Name/Title: _____________________________</w:t>
            </w:r>
          </w:p>
        </w:tc>
      </w:tr>
      <w:tr>
        <w:tc>
          <w:tcPr>
            <w:tcW w:type="dxa" w:w="4896"/>
            <w:tcMar>
              <w:top w:w="120" w:type="dxa"/>
              <w:start w:w="140" w:type="dxa"/>
              <w:bottom w:w="120" w:type="dxa"/>
              <w:end w:w="140" w:type="dxa"/>
            </w:tcMar>
          </w:tcPr>
          <w:p>
            <w:r>
              <w:t>Date: ___________________</w:t>
            </w:r>
          </w:p>
        </w:tc>
        <w:tc>
          <w:tcPr>
            <w:tcW w:type="dxa" w:w="4896"/>
            <w:tcMar>
              <w:top w:w="120" w:type="dxa"/>
              <w:start w:w="140" w:type="dxa"/>
              <w:bottom w:w="120" w:type="dxa"/>
              <w:end w:w="140" w:type="dxa"/>
            </w:tcMar>
          </w:tcPr>
          <w:p>
            <w:r>
              <w:t>Date: ___________________</w:t>
            </w:r>
          </w:p>
        </w:tc>
      </w:tr>
    </w:tbl>
    <w:sectPr w:rsidR="00FC693F" w:rsidRPr="0006063C" w:rsidSect="00034616">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Bullard Business Execution - Executive Transition Coaching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93B4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93B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2D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