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Rapid</w:t>
      </w:r>
      <w:r>
        <w:t xml:space="preserve"> </w:t>
      </w:r>
      <w:r>
        <w:t xml:space="preserve">Request</w:t>
      </w:r>
      <w:r>
        <w:t xml:space="preserve"> </w:t>
      </w:r>
      <w:r>
        <w:t xml:space="preserve">for</w:t>
      </w:r>
      <w:r>
        <w:t xml:space="preserve"> </w:t>
      </w:r>
      <w:r>
        <w:t xml:space="preserve">Information:</w:t>
      </w:r>
      <w:r>
        <w:t xml:space="preserve"> </w:t>
      </w:r>
      <w:r>
        <w:t xml:space="preserve">Legal</w:t>
      </w:r>
      <w:r>
        <w:t xml:space="preserve"> </w:t>
      </w:r>
      <w:r>
        <w:t xml:space="preserve">Technology</w:t>
      </w:r>
    </w:p>
    <w:p>
      <w:pPr>
        <w:pStyle w:val="Subtitle"/>
      </w:pPr>
      <w:r>
        <w:t xml:space="preserve">Vandelay</w:t>
      </w:r>
      <w:r>
        <w:t xml:space="preserve"> </w:t>
      </w:r>
      <w:r>
        <w:t xml:space="preserve">Industries</w:t>
      </w:r>
      <w:r>
        <w:t xml:space="preserve"> </w:t>
      </w:r>
      <w:r>
        <w:t xml:space="preserve">Procurement</w:t>
      </w:r>
      <w:r>
        <w:t xml:space="preserve"> </w:t>
      </w:r>
      <w:r>
        <w:t xml:space="preserve">·</w:t>
      </w:r>
      <w:r>
        <w:t xml:space="preserve"> </w:t>
      </w:r>
      <w:r>
        <w:t xml:space="preserve">Template</w:t>
      </w:r>
      <w:r>
        <w:t xml:space="preserve"> </w:t>
      </w:r>
      <w:r>
        <w:t xml:space="preserve">PR-TPL-031</w:t>
      </w:r>
      <w:r>
        <w:t xml:space="preserve"> </w:t>
      </w:r>
      <w:r>
        <w:t xml:space="preserve">v2</w:t>
      </w:r>
      <w:r>
        <w:t xml:space="preserve"> </w:t>
      </w:r>
      <w:r>
        <w:t xml:space="preserve">·</w:t>
      </w:r>
      <w:r>
        <w:t xml:space="preserve"> </w:t>
      </w:r>
      <w:r>
        <w:t xml:space="preserve">For</w:t>
      </w:r>
      <w:r>
        <w:t xml:space="preserve"> </w:t>
      </w:r>
      <w:r>
        <w:t xml:space="preserve">renewals</w:t>
      </w:r>
      <w:r>
        <w:t xml:space="preserve"> </w:t>
      </w:r>
      <w:r>
        <w:t xml:space="preserve">requiring</w:t>
      </w:r>
      <w:r>
        <w:t xml:space="preserve"> </w:t>
      </w:r>
      <w:r>
        <w:t xml:space="preserve">a</w:t>
      </w:r>
      <w:r>
        <w:t xml:space="preserve"> </w:t>
      </w:r>
      <w:r>
        <w:t xml:space="preserve">competitive</w:t>
      </w:r>
      <w:r>
        <w:t xml:space="preserve"> </w:t>
      </w:r>
      <w:r>
        <w:t xml:space="preserve">check</w:t>
      </w:r>
    </w:p>
    <w:p>
      <w:pPr>
        <w:pStyle w:val="FirstParagraph"/>
      </w:pPr>
      <w:r>
        <w:rPr>
          <w:b/>
        </w:rPr>
        <w:t xml:space="preserve">VANDELAY INDUSTRIES, INC. · PROCUREMENT · VENDOR MANAGEMENT</w:t>
      </w:r>
    </w:p>
    <w:p>
      <w:pPr>
        <w:pStyle w:val="BodyText"/>
      </w:pPr>
      <w:r>
        <w:rPr>
          <w:b/>
        </w:rPr>
        <w:t xml:space="preserve">RAPID REQUEST FOR INFORMATION (RFI)</w:t>
      </w:r>
      <w:r>
        <w:br/>
      </w:r>
      <w:r>
        <w:rPr>
          <w:b/>
        </w:rPr>
        <w:t xml:space="preserve">[System category], Legal Department</w:t>
      </w:r>
    </w:p>
    <w:p>
      <w:pPr>
        <w:pStyle w:val="BodyText"/>
      </w:pPr>
      <w:r>
        <w:rPr>
          <w:i/>
        </w:rPr>
        <w:t xml:space="preserve">Template guidance appears in italics and brackets. Delete before issue. The rapid RFI exists to satisfy the competitive-check requirement of the procurement policy inside a renewal window. It is not a full RFP. Keep it to fifteen questions or fewer, ask only what the vendor’s public material does not already answer, and give respondents ten business days.</w:t>
      </w:r>
    </w:p>
    <w:tbl>
      <w:tblPr>
        <w:tblStyle w:val="Table"/>
        <w:tblW w:type="pct" w:w="5000.0"/>
        <w:tblLook w:firstRow="0"/>
      </w:tblPr>
      <w:tblGrid>
        <w:gridCol w:w="3960"/>
        <w:gridCol w:w="3960"/>
      </w:tblGrid>
      <w:tr>
        <w:tc>
          <w:p>
            <w:pPr>
              <w:pStyle w:val="Compact"/>
              <w:jc w:val="left"/>
            </w:pPr>
            <w:r>
              <w:rPr>
                <w:b/>
              </w:rPr>
              <w:t xml:space="preserve">Issued by</w:t>
            </w:r>
          </w:p>
        </w:tc>
        <w:tc>
          <w:p>
            <w:pPr>
              <w:pStyle w:val="Compact"/>
              <w:jc w:val="left"/>
            </w:pPr>
            <w:r>
              <w:t xml:space="preserve">Vandelay Industries, Inc., Procurement (Vendor Management), on behalf of the Legal Department</w:t>
            </w:r>
          </w:p>
        </w:tc>
      </w:tr>
      <w:tr>
        <w:tc>
          <w:p>
            <w:pPr>
              <w:pStyle w:val="Compact"/>
              <w:jc w:val="left"/>
            </w:pPr>
            <w:r>
              <w:rPr>
                <w:b/>
              </w:rPr>
              <w:t xml:space="preserve">Issue date</w:t>
            </w:r>
          </w:p>
        </w:tc>
        <w:tc>
          <w:p>
            <w:pPr>
              <w:pStyle w:val="Compact"/>
              <w:jc w:val="left"/>
            </w:pPr>
            <w:r>
              <w:t xml:space="preserve">[date]</w:t>
            </w:r>
          </w:p>
        </w:tc>
      </w:tr>
      <w:tr>
        <w:tc>
          <w:p>
            <w:pPr>
              <w:pStyle w:val="Compact"/>
              <w:jc w:val="left"/>
            </w:pPr>
            <w:r>
              <w:rPr>
                <w:b/>
              </w:rPr>
              <w:t xml:space="preserve">Responses due</w:t>
            </w:r>
          </w:p>
        </w:tc>
        <w:tc>
          <w:p>
            <w:pPr>
              <w:pStyle w:val="Compact"/>
              <w:jc w:val="left"/>
            </w:pPr>
            <w:r>
              <w:t xml:space="preserve">[date, ten business days after issue], 5:00 p.m. Eastern</w:t>
            </w:r>
          </w:p>
        </w:tc>
      </w:tr>
      <w:tr>
        <w:tc>
          <w:p>
            <w:pPr>
              <w:pStyle w:val="Compact"/>
              <w:jc w:val="left"/>
            </w:pPr>
            <w:r>
              <w:rPr>
                <w:b/>
              </w:rPr>
              <w:t xml:space="preserve">Respond to</w:t>
            </w:r>
          </w:p>
        </w:tc>
        <w:tc>
          <w:p>
            <w:pPr>
              <w:pStyle w:val="Compact"/>
              <w:jc w:val="left"/>
            </w:pPr>
            <w:r>
              <w:t xml:space="preserve">[name], Head of Vendor Management, [email]; copy [name], Director, Legal Operations</w:t>
            </w:r>
          </w:p>
        </w:tc>
      </w:tr>
      <w:tr>
        <w:tc>
          <w:p>
            <w:pPr>
              <w:pStyle w:val="Compact"/>
              <w:jc w:val="left"/>
            </w:pPr>
            <w:r>
              <w:rPr>
                <w:b/>
              </w:rPr>
              <w:t xml:space="preserve">Questions from respondents</w:t>
            </w:r>
          </w:p>
        </w:tc>
        <w:tc>
          <w:p>
            <w:pPr>
              <w:pStyle w:val="Compact"/>
              <w:jc w:val="left"/>
            </w:pPr>
            <w:r>
              <w:t xml:space="preserve">Written questions to the same addresses by [date, day 3]; answers shared with all respondents by [day 5]</w:t>
            </w:r>
          </w:p>
        </w:tc>
      </w:tr>
      <w:tr>
        <w:tc>
          <w:p>
            <w:pPr>
              <w:pStyle w:val="Compact"/>
              <w:jc w:val="left"/>
            </w:pPr>
            <w:r>
              <w:rPr>
                <w:b/>
              </w:rPr>
              <w:t xml:space="preserve">Format</w:t>
            </w:r>
          </w:p>
        </w:tc>
        <w:tc>
          <w:p>
            <w:pPr>
              <w:pStyle w:val="Compact"/>
              <w:jc w:val="left"/>
            </w:pPr>
            <w:r>
              <w:t xml:space="preserve">Written responses in the numbered order below, 12 pages maximum excluding attachments; one 60-minute demonstration per respondent may be requested in the week following responses</w:t>
            </w:r>
          </w:p>
        </w:tc>
      </w:tr>
      <w:tr>
        <w:tc>
          <w:p>
            <w:pPr>
              <w:pStyle w:val="Compact"/>
              <w:jc w:val="left"/>
            </w:pPr>
            <w:r>
              <w:rPr>
                <w:b/>
              </w:rPr>
              <w:t xml:space="preserve">Confidentiality</w:t>
            </w:r>
          </w:p>
        </w:tc>
        <w:tc>
          <w:p>
            <w:pPr>
              <w:pStyle w:val="Compact"/>
              <w:jc w:val="left"/>
            </w:pPr>
            <w:r>
              <w:t xml:space="preserve">Responses are received under the mutual confidentiality agreement in force or the terms in Section 5</w:t>
            </w:r>
          </w:p>
        </w:tc>
      </w:tr>
    </w:tbl>
    <w:p>
      <w:pPr>
        <w:pStyle w:val="Heading1"/>
      </w:pPr>
      <w:bookmarkStart w:id="20" w:name="purpose"/>
      <w:r>
        <w:t xml:space="preserve">1. Purpose</w:t>
      </w:r>
      <w:bookmarkEnd w:id="20"/>
    </w:p>
    <w:p>
      <w:pPr>
        <w:pStyle w:val="FirstParagraph"/>
      </w:pPr>
      <w:r>
        <w:t xml:space="preserve">Vandelay’s Legal Department is evaluating its options ahead of the renewal of its [system category] agreement, which reaches a decision point on [notice deadline]. This RFI asks a small number of specific questions so that the department can compare alternatives against its incumbent on the terms that matter to it. It is not a commitment to change vendors and is not an offer. Vandelay may proceed to negotiation, to a full RFP, or to renewal with its incumbent.</w:t>
      </w:r>
    </w:p>
    <w:p>
      <w:pPr>
        <w:pStyle w:val="Heading1"/>
      </w:pPr>
      <w:bookmarkStart w:id="21" w:name="about-the-requirement"/>
      <w:r>
        <w:t xml:space="preserve">2. About the requirement</w:t>
      </w:r>
      <w:bookmarkEnd w:id="21"/>
    </w:p>
    <w:p>
      <w:pPr>
        <w:pStyle w:val="FirstParagraph"/>
      </w:pPr>
      <w:r>
        <w:rPr>
          <w:i/>
        </w:rPr>
        <w:t xml:space="preserve">[Two short paragraphs. Size of the user population, roles, locations. Data volume. The systems it must connect to, with the custom ones flagged. The date the decision must be made. Anything the vendor must know to price accurately.]</w:t>
      </w:r>
    </w:p>
    <w:p>
      <w:pPr>
        <w:pStyle w:val="BodyText"/>
      </w:pPr>
      <w:r>
        <w:t xml:space="preserve">The Legal Department has [230] users across [New York; six US regional offices; London, Dublin, Singapore, Mexico City]: [135] lawyers, [55] paraprofessionals, [25] legal operations and technology staff, and [15] executive assistants. The current repository holds approximately [7.4 TB] and [4.9 million] documents with [eight] years of version history and metadata.</w:t>
      </w:r>
    </w:p>
    <w:p>
      <w:pPr>
        <w:pStyle w:val="BodyText"/>
      </w:pPr>
      <w:r>
        <w:t xml:space="preserve">The system must integrate with: [Microsoft 365 Outlook and Teams; VandelayID single sign-on (SAML 2.0); Inkwell eSign; LedgerLine Matters (matter management and e-billing); Lumen Discovery; Vandelay Mobile MDM]. Two integrations are custom-built and would need to be rebuilt on any new platform: [Covenant CLM (executed agreements and metadata sync) and RetainIQ (retention schedules and legal hold)]. There are [14] active legal holds that cannot be interrupted.</w:t>
      </w:r>
    </w:p>
    <w:p>
      <w:pPr>
        <w:pStyle w:val="Heading1"/>
      </w:pPr>
      <w:bookmarkStart w:id="22" w:name="questions"/>
      <w:r>
        <w:t xml:space="preserve">3. Questions</w:t>
      </w:r>
      <w:bookmarkEnd w:id="22"/>
    </w:p>
    <w:p>
      <w:pPr>
        <w:pStyle w:val="FirstParagraph"/>
      </w:pPr>
      <w:r>
        <w:rPr>
          <w:i/>
        </w:rPr>
        <w:t xml:space="preserve">[Number every question. Group by theme. Mark the ones that are disqualifying if unanswered. Fifteen or fewer.]</w:t>
      </w:r>
    </w:p>
    <w:p>
      <w:pPr>
        <w:pStyle w:val="Heading2"/>
      </w:pPr>
      <w:bookmarkStart w:id="23" w:name="a.-fit-and-migration"/>
      <w:r>
        <w:t xml:space="preserve">A. Fit and migration</w:t>
      </w:r>
      <w:bookmarkEnd w:id="23"/>
    </w:p>
    <w:p>
      <w:pPr>
        <w:numPr>
          <w:ilvl w:val="0"/>
          <w:numId w:val="1001"/>
        </w:numPr>
        <w:pStyle w:val="Compact"/>
      </w:pPr>
      <w:r>
        <w:t xml:space="preserve">Describe your migration approach from [incumbent platform] for a repository of our size, including how folder structure, metadata, version history, permissions, and ethical walls are preserved. State the typical elapsed time, the professional services cost range, and what Vandelay staff effort you assume.</w:t>
      </w:r>
    </w:p>
    <w:p>
      <w:pPr>
        <w:numPr>
          <w:ilvl w:val="0"/>
          <w:numId w:val="1001"/>
        </w:numPr>
        <w:pStyle w:val="Compact"/>
      </w:pPr>
      <w:r>
        <w:t xml:space="preserve">For each integration listed in Section 2, state whether you provide a certified connector today, a connector on a dated roadmap, or an API only. For the two custom integrations, describe how you would rebuild them, who would do the work, and the cost range.</w:t>
      </w:r>
    </w:p>
    <w:p>
      <w:pPr>
        <w:numPr>
          <w:ilvl w:val="0"/>
          <w:numId w:val="1001"/>
        </w:numPr>
        <w:pStyle w:val="Compact"/>
      </w:pPr>
      <w:r>
        <w:t xml:space="preserve">Describe how active legal holds and retention schedules are carried across during migration without interruption.</w:t>
      </w:r>
    </w:p>
    <w:p>
      <w:pPr>
        <w:pStyle w:val="Heading2"/>
      </w:pPr>
      <w:bookmarkStart w:id="24" w:name="b.-commercial-terms"/>
      <w:r>
        <w:t xml:space="preserve">B. Commercial terms</w:t>
      </w:r>
      <w:bookmarkEnd w:id="24"/>
    </w:p>
    <w:p>
      <w:pPr>
        <w:numPr>
          <w:ilvl w:val="0"/>
          <w:numId w:val="1002"/>
        </w:numPr>
        <w:pStyle w:val="Compact"/>
      </w:pPr>
      <w:r>
        <w:t xml:space="preserve">Provide indicative pricing for [240] users on a three-year term: base platform, AI features (separately priced if applicable), premium support, and included storage, with overage rates. State any enterprise-agreement pricing available to Vandelay through existing corporate relationships.</w:t>
      </w:r>
    </w:p>
    <w:p>
      <w:pPr>
        <w:numPr>
          <w:ilvl w:val="0"/>
          <w:numId w:val="1002"/>
        </w:numPr>
        <w:pStyle w:val="Compact"/>
      </w:pPr>
      <w:r>
        <w:t xml:space="preserve">State your standard annual price adjustment and whether you will accept a cap at the lesser of CPI-U or 4 percent, inside the term and at renewal.</w:t>
      </w:r>
    </w:p>
    <w:p>
      <w:pPr>
        <w:numPr>
          <w:ilvl w:val="0"/>
          <w:numId w:val="1002"/>
        </w:numPr>
        <w:pStyle w:val="Compact"/>
      </w:pPr>
      <w:r>
        <w:t xml:space="preserve">State your standard notice period for non-renewal and renewal term length, and whether you will accept a notice period of 90 days or less and a renewal term of 12 months.</w:t>
      </w:r>
    </w:p>
    <w:p>
      <w:pPr>
        <w:pStyle w:val="Heading2"/>
      </w:pPr>
      <w:bookmarkStart w:id="25" w:name="c.-service-and-support"/>
      <w:r>
        <w:t xml:space="preserve">C. Service and support</w:t>
      </w:r>
      <w:bookmarkEnd w:id="25"/>
    </w:p>
    <w:p>
      <w:pPr>
        <w:numPr>
          <w:ilvl w:val="0"/>
          <w:numId w:val="1003"/>
        </w:numPr>
        <w:pStyle w:val="Compact"/>
      </w:pPr>
      <w:r>
        <w:t xml:space="preserve">State your availability commitment, the measurement period (monthly or annual), whether service credits apply automatically per incident, and whether Vandelay may terminate without fee after repeated service-level failures.</w:t>
      </w:r>
    </w:p>
    <w:p>
      <w:pPr>
        <w:numPr>
          <w:ilvl w:val="0"/>
          <w:numId w:val="1003"/>
        </w:numPr>
        <w:pStyle w:val="Compact"/>
      </w:pPr>
      <w:r>
        <w:t xml:space="preserve">Provide your actual trailing-twelve-month availability for customers in our region, and your mean first-response and resolution times by priority for the same period.</w:t>
      </w:r>
    </w:p>
    <w:p>
      <w:pPr>
        <w:numPr>
          <w:ilvl w:val="0"/>
          <w:numId w:val="1003"/>
        </w:numPr>
        <w:pStyle w:val="Compact"/>
      </w:pPr>
      <w:r>
        <w:t xml:space="preserve">Describe performance for users in [London, Dublin, Singapore, and Mexico City], including hosting regions available and any data residency options for EU personal data.</w:t>
      </w:r>
    </w:p>
    <w:p>
      <w:pPr>
        <w:pStyle w:val="Heading2"/>
      </w:pPr>
      <w:bookmarkStart w:id="26" w:name="d.-data-security-and-ai"/>
      <w:r>
        <w:t xml:space="preserve">D. Data, security, and AI</w:t>
      </w:r>
      <w:bookmarkEnd w:id="26"/>
    </w:p>
    <w:p>
      <w:pPr>
        <w:numPr>
          <w:ilvl w:val="0"/>
          <w:numId w:val="1004"/>
        </w:numPr>
        <w:pStyle w:val="Compact"/>
      </w:pPr>
      <w:r>
        <w:t xml:space="preserve">Confirm that Vandelay will own all content and metadata, and describe the export you provide on exit: formats, vendor assistance, cost, and post-termination access period.</w:t>
      </w:r>
    </w:p>
    <w:p>
      <w:pPr>
        <w:numPr>
          <w:ilvl w:val="0"/>
          <w:numId w:val="1004"/>
        </w:numPr>
        <w:pStyle w:val="Compact"/>
      </w:pPr>
      <w:r>
        <w:t xml:space="preserve">Provide your current SOC 2 Type II report date and period, your ISO 27001 certificate and expiry, and confirm that you will deliver both annually without request as a contractual obligation.</w:t>
      </w:r>
    </w:p>
    <w:p>
      <w:pPr>
        <w:numPr>
          <w:ilvl w:val="0"/>
          <w:numId w:val="1004"/>
        </w:numPr>
        <w:pStyle w:val="Compact"/>
      </w:pPr>
      <w:r>
        <w:t xml:space="preserve">State precisely what you may do with customer content and usage data in connection with AI features. Confirm whether you will accept terms prohibiting any use of Vandelay content, de-identified or otherwise, to train or improve models available to other customers, and describe the feature-level controls available to administrators.</w:t>
      </w:r>
    </w:p>
    <w:p>
      <w:pPr>
        <w:numPr>
          <w:ilvl w:val="0"/>
          <w:numId w:val="1004"/>
        </w:numPr>
        <w:pStyle w:val="Compact"/>
      </w:pPr>
      <w:r>
        <w:t xml:space="preserve">Identify every third-party model provider and subprocessor involved in AI features, their data handling terms, and their hosting locations.</w:t>
      </w:r>
    </w:p>
    <w:p>
      <w:pPr>
        <w:pStyle w:val="Heading2"/>
      </w:pPr>
      <w:bookmarkStart w:id="27" w:name="e.-enablement-and-adoption"/>
      <w:r>
        <w:t xml:space="preserve">E. Enablement and adoption</w:t>
      </w:r>
      <w:bookmarkEnd w:id="27"/>
    </w:p>
    <w:p>
      <w:pPr>
        <w:numPr>
          <w:ilvl w:val="0"/>
          <w:numId w:val="1005"/>
        </w:numPr>
        <w:pStyle w:val="Compact"/>
      </w:pPr>
      <w:r>
        <w:t xml:space="preserve">Describe the training and enablement included in your proposal for initial rollout and for new joiners on an ongoing basis, and how you measure adoption. State what you will commit to contractually.</w:t>
      </w:r>
    </w:p>
    <w:p>
      <w:pPr>
        <w:pStyle w:val="Heading2"/>
      </w:pPr>
      <w:bookmarkStart w:id="28" w:name="f.-company"/>
      <w:r>
        <w:t xml:space="preserve">F. Company</w:t>
      </w:r>
      <w:bookmarkEnd w:id="28"/>
    </w:p>
    <w:p>
      <w:pPr>
        <w:numPr>
          <w:ilvl w:val="0"/>
          <w:numId w:val="1006"/>
        </w:numPr>
        <w:pStyle w:val="Compact"/>
      </w:pPr>
      <w:r>
        <w:t xml:space="preserve">Describe your ownership, any change of control in the last 36 months, and whether you will accept a customer termination right within 90 days of a future change of control.</w:t>
      </w:r>
    </w:p>
    <w:p>
      <w:pPr>
        <w:pStyle w:val="Heading1"/>
      </w:pPr>
      <w:bookmarkStart w:id="29" w:name="response-format-and-evaluation"/>
      <w:r>
        <w:t xml:space="preserve">4. Response format and evaluation</w:t>
      </w:r>
      <w:bookmarkEnd w:id="29"/>
    </w:p>
    <w:p>
      <w:pPr>
        <w:pStyle w:val="FirstParagraph"/>
      </w:pPr>
      <w:r>
        <w:t xml:space="preserve">Respond to each question in order, using the question number. Where you cannot answer, say so. Attach standard documents (security reports, sample agreements, connector lists) rather than summarizing them.</w:t>
      </w:r>
    </w:p>
    <w:p>
      <w:pPr>
        <w:pStyle w:val="BodyText"/>
      </w:pPr>
      <w:r>
        <w:t xml:space="preserve">Vandelay will score responses using the rubric below. Weights reflect the Legal Department’s priorities for this decision and are shared so that respondents can focus their answers.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Theme</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What a strong answer shows</w:t>
            </w:r>
          </w:p>
        </w:tc>
      </w:tr>
      <w:tr>
        <w:tc>
          <w:p>
            <w:pPr>
              <w:pStyle w:val="Compact"/>
              <w:jc w:val="left"/>
            </w:pPr>
            <w:r>
              <w:t xml:space="preserve">Fit and migration (A)</w:t>
            </w:r>
          </w:p>
        </w:tc>
        <w:tc>
          <w:p>
            <w:pPr>
              <w:pStyle w:val="Compact"/>
              <w:jc w:val="left"/>
            </w:pPr>
            <w:r>
              <w:t xml:space="preserve">[25%]</w:t>
            </w:r>
          </w:p>
        </w:tc>
        <w:tc>
          <w:p>
            <w:pPr>
              <w:pStyle w:val="Compact"/>
              <w:jc w:val="left"/>
            </w:pPr>
            <w:r>
              <w:t xml:space="preserve">Credible plan for our data volume and integrations, with named costs and dates</w:t>
            </w:r>
          </w:p>
        </w:tc>
      </w:tr>
      <w:tr>
        <w:tc>
          <w:p>
            <w:pPr>
              <w:pStyle w:val="Compact"/>
              <w:jc w:val="left"/>
            </w:pPr>
            <w:r>
              <w:t xml:space="preserve">Commercial terms (B)</w:t>
            </w:r>
          </w:p>
        </w:tc>
        <w:tc>
          <w:p>
            <w:pPr>
              <w:pStyle w:val="Compact"/>
              <w:jc w:val="left"/>
            </w:pPr>
            <w:r>
              <w:t xml:space="preserve">[20%]</w:t>
            </w:r>
          </w:p>
        </w:tc>
        <w:tc>
          <w:p>
            <w:pPr>
              <w:pStyle w:val="Compact"/>
              <w:jc w:val="left"/>
            </w:pPr>
            <w:r>
              <w:t xml:space="preserve">Pricing at or near market for our size; acceptance of caps and notice terms in Vandelay’s standard</w:t>
            </w:r>
          </w:p>
        </w:tc>
      </w:tr>
      <w:tr>
        <w:tc>
          <w:p>
            <w:pPr>
              <w:pStyle w:val="Compact"/>
              <w:jc w:val="left"/>
            </w:pPr>
            <w:r>
              <w:t xml:space="preserve">Service and support (C)</w:t>
            </w:r>
          </w:p>
        </w:tc>
        <w:tc>
          <w:p>
            <w:pPr>
              <w:pStyle w:val="Compact"/>
              <w:jc w:val="left"/>
            </w:pPr>
            <w:r>
              <w:t xml:space="preserve">[15%]</w:t>
            </w:r>
          </w:p>
        </w:tc>
        <w:tc>
          <w:p>
            <w:pPr>
              <w:pStyle w:val="Compact"/>
              <w:jc w:val="left"/>
            </w:pPr>
            <w:r>
              <w:t xml:space="preserve">Monthly measurement, automatic credits, evidence of actual performance in our regions</w:t>
            </w:r>
          </w:p>
        </w:tc>
      </w:tr>
      <w:tr>
        <w:tc>
          <w:p>
            <w:pPr>
              <w:pStyle w:val="Compact"/>
              <w:jc w:val="left"/>
            </w:pPr>
            <w:r>
              <w:t xml:space="preserve">Data, security, and AI (D)</w:t>
            </w:r>
          </w:p>
        </w:tc>
        <w:tc>
          <w:p>
            <w:pPr>
              <w:pStyle w:val="Compact"/>
              <w:jc w:val="left"/>
            </w:pPr>
            <w:r>
              <w:t xml:space="preserve">[25%]</w:t>
            </w:r>
          </w:p>
        </w:tc>
        <w:tc>
          <w:p>
            <w:pPr>
              <w:pStyle w:val="Compact"/>
              <w:jc w:val="left"/>
            </w:pPr>
            <w:r>
              <w:t xml:space="preserve">Current certifications delivered; tenant-scoped AI terms accepted; export on our terms</w:t>
            </w:r>
          </w:p>
        </w:tc>
      </w:tr>
      <w:tr>
        <w:tc>
          <w:p>
            <w:pPr>
              <w:pStyle w:val="Compact"/>
              <w:jc w:val="left"/>
            </w:pPr>
            <w:r>
              <w:t xml:space="preserve">Enablement and adoption (E)</w:t>
            </w:r>
          </w:p>
        </w:tc>
        <w:tc>
          <w:p>
            <w:pPr>
              <w:pStyle w:val="Compact"/>
              <w:jc w:val="left"/>
            </w:pPr>
            <w:r>
              <w:t xml:space="preserve">[10%]</w:t>
            </w:r>
          </w:p>
        </w:tc>
        <w:tc>
          <w:p>
            <w:pPr>
              <w:pStyle w:val="Compact"/>
              <w:jc w:val="left"/>
            </w:pPr>
            <w:r>
              <w:t xml:space="preserve">Contractual training commitments including new joiners</w:t>
            </w:r>
          </w:p>
        </w:tc>
      </w:tr>
      <w:tr>
        <w:tc>
          <w:p>
            <w:pPr>
              <w:pStyle w:val="Compact"/>
              <w:jc w:val="left"/>
            </w:pPr>
            <w:r>
              <w:t xml:space="preserve">Company (F)</w:t>
            </w:r>
          </w:p>
        </w:tc>
        <w:tc>
          <w:p>
            <w:pPr>
              <w:pStyle w:val="Compact"/>
              <w:jc w:val="left"/>
            </w:pPr>
            <w:r>
              <w:t xml:space="preserve">[5%]</w:t>
            </w:r>
          </w:p>
        </w:tc>
        <w:tc>
          <w:p>
            <w:pPr>
              <w:pStyle w:val="Compact"/>
              <w:jc w:val="left"/>
            </w:pPr>
            <w:r>
              <w:t xml:space="preserve">Stable ownership or acceptable change-of-control protections</w:t>
            </w:r>
          </w:p>
        </w:tc>
      </w:tr>
    </w:tbl>
    <w:p>
      <w:pPr>
        <w:pStyle w:val="BodyText"/>
      </w:pPr>
      <w:r>
        <w:rPr>
          <w:i/>
        </w:rPr>
        <w:t xml:space="preserve">[Adjust weights to the decision. A price-led decision moves weight to B; a risk-led decision moves it to D; an adoption-led decision moves it to E. Record the weights used in the decision file.]</w:t>
      </w:r>
    </w:p>
    <w:p>
      <w:pPr>
        <w:pStyle w:val="Heading1"/>
      </w:pPr>
      <w:bookmarkStart w:id="30" w:name="terms-of-this-rfi"/>
      <w:r>
        <w:t xml:space="preserve">5. Terms of this RFI</w:t>
      </w:r>
      <w:bookmarkEnd w:id="30"/>
    </w:p>
    <w:p>
      <w:pPr>
        <w:pStyle w:val="FirstParagraph"/>
      </w:pPr>
      <w:r>
        <w:t xml:space="preserve">This RFI is not an offer and creates no obligation on Vandelay to purchase or to proceed with any respondent. Vandelay may amend or withdraw this RFI, and may negotiate with any party including its incumbent, at any time. Respondents bear their own costs. Responses become the confidential information of the respondent and will be used by Vandelay only for evaluation; Vandelay’s information in this RFI is confidential to Vandelay and may be used only to prepare a response. Vandelay’s Software Renewal Review Standards (LO-STD-014), available on request, describe the contractual positions Vandelay expects.</w:t>
      </w:r>
    </w:p>
    <w:p>
      <w:pPr>
        <w:pStyle w:val="BodyText"/>
      </w:pPr>
      <w:r>
        <w:rPr>
          <w:i/>
        </w:rPr>
        <w:t xml:space="preserve">Procurement template PR-TPL-031 v2, March 2026. Owner: Head of Vendor Management. For legal technology renewals above $250,000 aggregate or with proposed increases above 10 percent.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71315dca"/>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7">
    <w:nsid w:val="47261bad"/>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10">
    <w:nsid w:val="b3cbbdee"/>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994114">
    <w:nsid w:val="4fbe019a"/>
    <w:multiLevelType w:val="multilevel"/>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994115">
    <w:nsid w:val="91a27d85"/>
    <w:multiLevelType w:val="multilevel"/>
    <w:lvl w:ilvl="0">
      <w:start w:val="15"/>
      <w:numFmt w:val="decimal"/>
      <w:lvlText w:val="%1."/>
      <w:lvlJc w:val="left"/>
      <w:pPr>
        <w:tabs>
          <w:tab w:val="num" w:pos="0"/>
        </w:tabs>
        <w:ind w:left="480" w:hanging="480"/>
      </w:pPr>
    </w:lvl>
    <w:lvl w:ilvl="1">
      <w:start w:val="15"/>
      <w:numFmt w:val="decimal"/>
      <w:lvlText w:val="%2."/>
      <w:lvlJc w:val="left"/>
      <w:pPr>
        <w:tabs>
          <w:tab w:val="num" w:pos="720"/>
        </w:tabs>
        <w:ind w:left="1200" w:hanging="480"/>
      </w:pPr>
    </w:lvl>
    <w:lvl w:ilvl="2">
      <w:start w:val="15"/>
      <w:numFmt w:val="decimal"/>
      <w:lvlText w:val="%3."/>
      <w:lvlJc w:val="left"/>
      <w:pPr>
        <w:tabs>
          <w:tab w:val="num" w:pos="1440"/>
        </w:tabs>
        <w:ind w:left="1920" w:hanging="480"/>
      </w:pPr>
    </w:lvl>
    <w:lvl w:ilvl="3">
      <w:start w:val="15"/>
      <w:numFmt w:val="decimal"/>
      <w:lvlText w:val="%4."/>
      <w:lvlJc w:val="left"/>
      <w:pPr>
        <w:tabs>
          <w:tab w:val="num" w:pos="2160"/>
        </w:tabs>
        <w:ind w:left="2640" w:hanging="480"/>
      </w:pPr>
    </w:lvl>
    <w:lvl w:ilvl="4">
      <w:start w:val="15"/>
      <w:numFmt w:val="decimal"/>
      <w:lvlText w:val="%5."/>
      <w:lvlJc w:val="left"/>
      <w:pPr>
        <w:tabs>
          <w:tab w:val="num" w:pos="2880"/>
        </w:tabs>
        <w:ind w:left="3360" w:hanging="480"/>
      </w:pPr>
    </w:lvl>
    <w:lvl w:ilvl="5">
      <w:start w:val="15"/>
      <w:numFmt w:val="decimal"/>
      <w:lvlText w:val="%6."/>
      <w:lvlJc w:val="left"/>
      <w:pPr>
        <w:tabs>
          <w:tab w:val="num" w:pos="3600"/>
        </w:tabs>
        <w:ind w:left="4080" w:hanging="480"/>
      </w:pPr>
    </w:lvl>
    <w:lvl w:ilvl="6">
      <w:start w:val="15"/>
      <w:numFmt w:val="decimal"/>
      <w:lvlText w:val="%7."/>
      <w:lvlJc w:val="left"/>
      <w:pPr>
        <w:tabs>
          <w:tab w:val="num" w:pos="4320"/>
        </w:tabs>
        <w:ind w:left="4800" w:hanging="480"/>
      </w:pPr>
    </w:lvl>
    <w:lvl w:ilvl="7">
      <w:start w:val="15"/>
      <w:numFmt w:val="decimal"/>
      <w:lvlText w:val="%8."/>
      <w:lvlJc w:val="left"/>
      <w:pPr>
        <w:tabs>
          <w:tab w:val="num" w:pos="5040"/>
        </w:tabs>
        <w:ind w:left="5520" w:hanging="480"/>
      </w:pPr>
    </w:lvl>
    <w:lvl w:ilvl="8">
      <w:start w:val="15"/>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Arial"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Arial" w:hAnsi="Arial"/>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Arial"/>
        <a:font script="Hebr" typeface="Arial"/>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Rapid Request for Information: Legal Technology</dc:title>
  <dc:creator/>
  <cp:keywords/>
  <dcterms:created xsi:type="dcterms:W3CDTF">2026-09-07T19:18:07Z</dcterms:created>
  <dcterms:modified xsi:type="dcterms:W3CDTF">2026-09-07T19:18:07Z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Vandelay Industries Procurement · Template PR-TPL-031 v2 · For renewals requiring a competitive check</vt:lpwstr>
  </property>
</Properties>
</file>