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534AB7"/>
          <w:sz w:val="64"/>
          <w:szCs w:val="64"/>
        </w:rPr>
        <w:t xml:space="preserve">BLADE</w:t>
      </w:r>
    </w:p>
    <w:p>
      <w:pPr>
        <w:spacing w:before="0" w:after="60"/>
        <w:jc w:val="center"/>
      </w:pPr>
      <w:r>
        <w:rPr>
          <w:rFonts w:ascii="Arial" w:cs="Arial" w:eastAsia="Arial" w:hAnsi="Arial"/>
          <w:color w:val="2C2C2A"/>
          <w:sz w:val="36"/>
          <w:szCs w:val="36"/>
        </w:rPr>
        <w:t xml:space="preserve">Benford-Law Anomaly Detection Engine</w:t>
      </w:r>
    </w:p>
    <w:p>
      <w:pPr>
        <w:spacing w:before="0" w:after="60"/>
        <w:jc w:val="center"/>
      </w:pPr>
      <w:r>
        <w:rPr>
          <w:rFonts w:ascii="Arial" w:cs="Arial" w:eastAsia="Arial" w:hAnsi="Arial"/>
          <w:color w:val="2C2C2A"/>
          <w:sz w:val="30"/>
          <w:szCs w:val="30"/>
        </w:rPr>
        <w:t xml:space="preserve">for Large-Scale High-Performance Computing Systems</w:t>
      </w:r>
    </w:p>
    <w:p>
      <w:pPr>
        <w:spacing w:before="200" w:after="0"/>
      </w:pPr>
    </w:p>
    <w:p>
      <w:pPr>
        <w:spacing w:before="0" w:after="40"/>
        <w:jc w:val="center"/>
      </w:pPr>
      <w:r>
        <w:rPr>
          <w:rFonts w:ascii="Arial" w:cs="Arial" w:eastAsia="Arial" w:hAnsi="Arial"/>
          <w:i/>
          <w:iCs/>
          <w:color w:val="888780"/>
          <w:sz w:val="24"/>
          <w:szCs w:val="24"/>
        </w:rPr>
        <w:t xml:space="preserve">Research Proposal</w:t>
      </w:r>
    </w:p>
    <w:p>
      <w:pPr>
        <w:spacing w:before="0" w:after="0"/>
        <w:jc w:val="center"/>
      </w:pPr>
      <w:r>
        <w:rPr>
          <w:rFonts w:ascii="Arial" w:cs="Arial" w:eastAsia="Arial" w:hAnsi="Arial"/>
          <w:color w:val="888780"/>
          <w:sz w:val="24"/>
          <w:szCs w:val="24"/>
        </w:rPr>
        <w:t xml:space="preserve">2026</w:t>
      </w:r>
    </w:p>
    <w:p>
      <w:pPr>
        <w:spacing w:before="600" w:after="0"/>
      </w:pPr>
    </w:p>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534AB7" w:sz="4" w:space="1"/>
        </w:pBdr>
        <w:spacing w:before="200" w:after="200"/>
      </w:pPr>
    </w:p>
    <w:p>
      <w:pPr>
        <w:spacing w:before="240" w:after="0"/>
      </w:pPr>
    </w:p>
    <w:p>
      <w:pPr>
        <w:pStyle w:val="Heading1"/>
        <w:spacing w:before="320" w:after="160"/>
      </w:pPr>
      <w:r>
        <w:rPr>
          <w:rFonts w:ascii="Arial" w:cs="Arial" w:eastAsia="Arial" w:hAnsi="Arial"/>
          <w:b/>
          <w:bCs/>
          <w:color w:val="2C2C2A"/>
          <w:sz w:val="32"/>
          <w:szCs w:val="32"/>
        </w:rPr>
        <w:t xml:space="preserve">1  Executive Summary</w:t>
      </w:r>
    </w:p>
    <w:p>
      <w:pPr>
        <w:spacing w:before="0" w:after="140"/>
      </w:pPr>
      <w:r>
        <w:rPr>
          <w:rFonts w:ascii="Arial" w:cs="Arial" w:eastAsia="Arial" w:hAnsi="Arial"/>
          <w:color w:val="2C2C2A"/>
          <w:sz w:val="22"/>
          <w:szCs w:val="22"/>
        </w:rPr>
        <w:t xml:space="preserve">This proposal introduces BLADE (Benford-Law Anomaly Detection Engine), a novel unified anomaly detection framework for leadership-class high-performance computing (HPC) systems. BLADE exploits a single statistical primitive — Benford's Law conformance — applied simultaneously across five independent telemetry streams: floating-point computation outputs, MPI message traffic, parallel filesystem I/O patterns, power and thermal sensor readings, and checkpoint file field magnitudes.</w:t>
      </w:r>
    </w:p>
    <w:p>
      <w:pPr>
        <w:spacing w:before="60" w:after="0"/>
      </w:pPr>
    </w:p>
    <w:p>
      <w:pPr>
        <w:spacing w:before="0" w:after="140"/>
      </w:pPr>
      <w:r>
        <w:rPr>
          <w:rFonts w:ascii="Arial" w:cs="Arial" w:eastAsia="Arial" w:hAnsi="Arial"/>
          <w:color w:val="2C2C2A"/>
          <w:sz w:val="22"/>
          <w:szCs w:val="22"/>
        </w:rPr>
        <w:t xml:space="preserve">The central insight is that each of these streams, under normal operation, produces distributions of numerical magnitudes that conform to Benford's Law. Deviations from conformance are statistically detectable and, critically, each class of anomaly produces a characteristic multi-stream deviation signature that enables both detection and classification. BLADE converts this observation into a practical monitoring system capable of identifying silent data corruption, network attacks, thermal faults, filesystem corruption, rank imbalance, and rogue processes — all from a single unified statistical framework.</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2  Background</w:t>
      </w:r>
    </w:p>
    <w:p>
      <w:pPr>
        <w:pStyle w:val="Heading2"/>
        <w:spacing w:before="280" w:after="120"/>
      </w:pPr>
      <w:r>
        <w:rPr>
          <w:rFonts w:ascii="Arial" w:cs="Arial" w:eastAsia="Arial" w:hAnsi="Arial"/>
          <w:b/>
          <w:bCs/>
          <w:color w:val="534AB7"/>
          <w:sz w:val="26"/>
          <w:szCs w:val="26"/>
        </w:rPr>
        <w:t xml:space="preserve">2.1  Benford's Law</w:t>
      </w:r>
    </w:p>
    <w:p>
      <w:pPr>
        <w:spacing w:before="0" w:after="140"/>
      </w:pPr>
      <w:r>
        <w:rPr>
          <w:rFonts w:ascii="Arial" w:cs="Arial" w:eastAsia="Arial" w:hAnsi="Arial"/>
          <w:color w:val="2C2C2A"/>
          <w:sz w:val="22"/>
          <w:szCs w:val="22"/>
        </w:rPr>
        <w:t xml:space="preserve">Benford's Law states that in many naturally occurring numerical datasets, the leading (most significant) digit d occurs with probability:</w:t>
      </w:r>
    </w:p>
    <w:p>
      <w:pPr>
        <w:spacing w:before="60" w:after="0"/>
      </w:pPr>
    </w:p>
    <w:p>
      <w:pPr>
        <w:spacing w:before="80" w:after="80"/>
        <w:jc w:val="center"/>
      </w:pPr>
      <w:r>
        <w:rPr>
          <w:rFonts w:ascii="Arial" w:cs="Arial" w:eastAsia="Arial" w:hAnsi="Arial"/>
          <w:i/>
          <w:iCs/>
          <w:color w:val="534AB7"/>
          <w:sz w:val="24"/>
          <w:szCs w:val="24"/>
        </w:rPr>
        <w:t xml:space="preserve">P(d) = log₁₀(1 + 1/d),   d ∈ {1, 2, ..., 9}</w:t>
      </w:r>
    </w:p>
    <w:p>
      <w:pPr>
        <w:spacing w:before="60" w:after="0"/>
      </w:pPr>
    </w:p>
    <w:p>
      <w:pPr>
        <w:spacing w:before="0" w:after="140"/>
      </w:pPr>
      <w:r>
        <w:rPr>
          <w:rFonts w:ascii="Arial" w:cs="Arial" w:eastAsia="Arial" w:hAnsi="Arial"/>
          <w:color w:val="2C2C2A"/>
          <w:sz w:val="22"/>
          <w:szCs w:val="22"/>
        </w:rPr>
        <w:t xml:space="preserve">This gives digit 1 a probability of approximately 30.1%, declining to about 4.6% for digit 9. The law applies to data spanning multiple orders of magnitude drawn from real-world processes — which is precisely the character of HPC simulation outputs, sensor readings, and communication patterns. Conformance is measured via the Mean Absolute Deviation (MAD) statistic, which quantifies how far the observed leading-digit distribution differs from the theoretical Benford distribution.</w:t>
      </w:r>
    </w:p>
    <w:p>
      <w:pPr>
        <w:pStyle w:val="Heading2"/>
        <w:spacing w:before="280" w:after="120"/>
      </w:pPr>
      <w:r>
        <w:rPr>
          <w:rFonts w:ascii="Arial" w:cs="Arial" w:eastAsia="Arial" w:hAnsi="Arial"/>
          <w:b/>
          <w:bCs/>
          <w:color w:val="534AB7"/>
          <w:sz w:val="26"/>
          <w:szCs w:val="26"/>
        </w:rPr>
        <w:t xml:space="preserve">2.2  Reliability Challenges at Exascale</w:t>
      </w:r>
    </w:p>
    <w:p>
      <w:pPr>
        <w:spacing w:before="0" w:after="140"/>
      </w:pPr>
      <w:r>
        <w:rPr>
          <w:rFonts w:ascii="Arial" w:cs="Arial" w:eastAsia="Arial" w:hAnsi="Arial"/>
          <w:color w:val="2C2C2A"/>
          <w:sz w:val="22"/>
          <w:szCs w:val="22"/>
        </w:rPr>
        <w:t xml:space="preserve">Modern leadership-class HPC systems — including Frontier at ORNL (currently the world's fastest at over 1 ExaFLOP/s) and Aurora at Argonne — aggregate hundreds of thousands of compute nodes, billions of cores, and petabytes of high-speed storage. At this scale, a new class of reliability and security challenges has emerged that existing monitoring approaches handle poorly:</w:t>
      </w:r>
    </w:p>
    <w:p>
      <w:pPr>
        <w:spacing w:before="60" w:after="0"/>
      </w:pPr>
    </w:p>
    <w:p>
      <w:pPr>
        <w:pStyle w:val="ListParagraph"/>
        <w:numPr>
          <w:ilvl w:val="0"/>
          <w:numId w:val="2"/>
        </w:numPr>
        <w:spacing w:before="0" w:after="80"/>
      </w:pPr>
      <w:r>
        <w:rPr>
          <w:rFonts w:ascii="Arial" w:cs="Arial" w:eastAsia="Arial" w:hAnsi="Arial"/>
          <w:color w:val="2C2C2A"/>
          <w:sz w:val="22"/>
          <w:szCs w:val="22"/>
        </w:rPr>
        <w:t xml:space="preserve">Silent Data Corruption (SDC): Hardware bit flips that produce incorrect results without triggering error-correcting circuitry. SDC rates scale with system size and have been documented extensively on pre-exascale systems. Current mitigation strategies (algorithm-based fault tolerance, redundant execution) impose substantial overhead.</w:t>
      </w:r>
    </w:p>
    <w:p>
      <w:pPr>
        <w:pStyle w:val="ListParagraph"/>
        <w:numPr>
          <w:ilvl w:val="0"/>
          <w:numId w:val="2"/>
        </w:numPr>
        <w:spacing w:before="0" w:after="80"/>
      </w:pPr>
      <w:r>
        <w:rPr>
          <w:rFonts w:ascii="Arial" w:cs="Arial" w:eastAsia="Arial" w:hAnsi="Arial"/>
          <w:color w:val="2C2C2A"/>
          <w:sz w:val="22"/>
          <w:szCs w:val="22"/>
        </w:rPr>
        <w:t xml:space="preserve">Rogue and Unauthorized Processes: Multi-tenant HPC environments increasingly host workloads from multiple organizations. Rogue or unauthorized compute activity is difficult to detect when it mimics legitimate scheduling patterns.</w:t>
      </w:r>
    </w:p>
    <w:p>
      <w:pPr>
        <w:pStyle w:val="ListParagraph"/>
        <w:numPr>
          <w:ilvl w:val="0"/>
          <w:numId w:val="2"/>
        </w:numPr>
        <w:spacing w:before="0" w:after="80"/>
      </w:pPr>
      <w:r>
        <w:rPr>
          <w:rFonts w:ascii="Arial" w:cs="Arial" w:eastAsia="Arial" w:hAnsi="Arial"/>
          <w:color w:val="2C2C2A"/>
          <w:sz w:val="22"/>
          <w:szCs w:val="22"/>
        </w:rPr>
        <w:t xml:space="preserve">Network-Level Attacks: High-speed interconnects (HPE Slingshot, Mellanox InfiniBand) operate at speeds and latencies that make traditional network intrusion detection systems impractical at full line rate.</w:t>
      </w:r>
    </w:p>
    <w:p>
      <w:pPr>
        <w:pStyle w:val="ListParagraph"/>
        <w:numPr>
          <w:ilvl w:val="0"/>
          <w:numId w:val="2"/>
        </w:numPr>
        <w:spacing w:before="0" w:after="80"/>
      </w:pPr>
      <w:r>
        <w:rPr>
          <w:rFonts w:ascii="Arial" w:cs="Arial" w:eastAsia="Arial" w:hAnsi="Arial"/>
          <w:color w:val="2C2C2A"/>
          <w:sz w:val="22"/>
          <w:szCs w:val="22"/>
        </w:rPr>
        <w:t xml:space="preserve">Parallel Filesystem Integrity: Lustre and GPFS filesystems at exascale host checkpoint data representing thousands of CPU-hours of computation. Filesystem corruption that escapes detection can cause catastrophic job loss.</w:t>
      </w:r>
    </w:p>
    <w:p>
      <w:pPr>
        <w:pStyle w:val="ListParagraph"/>
        <w:numPr>
          <w:ilvl w:val="0"/>
          <w:numId w:val="2"/>
        </w:numPr>
        <w:spacing w:before="0" w:after="80"/>
      </w:pPr>
      <w:r>
        <w:rPr>
          <w:rFonts w:ascii="Arial" w:cs="Arial" w:eastAsia="Arial" w:hAnsi="Arial"/>
          <w:color w:val="2C2C2A"/>
          <w:sz w:val="22"/>
          <w:szCs w:val="22"/>
        </w:rPr>
        <w:t xml:space="preserve">Thermal and Power Anomalies: Cooling failures and power delivery irregularities at scale can trigger cascading hardware failures. Current IPMI-based monitoring lacks statistical sophistication to distinguish noise from genuine faults.</w:t>
      </w:r>
    </w:p>
    <w:p>
      <w:pPr>
        <w:pStyle w:val="Heading2"/>
        <w:spacing w:before="280" w:after="120"/>
      </w:pPr>
      <w:r>
        <w:rPr>
          <w:rFonts w:ascii="Arial" w:cs="Arial" w:eastAsia="Arial" w:hAnsi="Arial"/>
          <w:b/>
          <w:bCs/>
          <w:color w:val="534AB7"/>
          <w:sz w:val="26"/>
          <w:szCs w:val="26"/>
        </w:rPr>
        <w:t xml:space="preserve">2.3  Limitations of Existing Approaches</w:t>
      </w:r>
    </w:p>
    <w:p>
      <w:pPr>
        <w:spacing w:before="0" w:after="140"/>
      </w:pPr>
      <w:r>
        <w:rPr>
          <w:rFonts w:ascii="Arial" w:cs="Arial" w:eastAsia="Arial" w:hAnsi="Arial"/>
          <w:color w:val="2C2C2A"/>
          <w:sz w:val="22"/>
          <w:szCs w:val="22"/>
        </w:rPr>
        <w:t xml:space="preserve">Current HPC monitoring systems are predominantly stream-specific and threshold-based: tools like Ganglia, Nagios, and LDMS monitor individual metrics against fixed thresholds. This approach has three fundamental weaknesses: (1) it lacks cross-stream correlation, so a rogue process that stays under power and CPU thresholds can go undetected; (2) it requires workload-specific tuning for every new application deployed; and (3) it generates high false-positive rates due to the natural variability of HPC workloads, leading operators to disable alerts.</w:t>
      </w:r>
    </w:p>
    <w:p>
      <w:pPr>
        <w:spacing w:before="60" w:after="0"/>
      </w:pPr>
    </w:p>
    <w:p>
      <w:pPr>
        <w:spacing w:before="0" w:after="140"/>
      </w:pPr>
      <w:r>
        <w:rPr>
          <w:rFonts w:ascii="Arial" w:cs="Arial" w:eastAsia="Arial" w:hAnsi="Arial"/>
          <w:color w:val="2C2C2A"/>
          <w:sz w:val="22"/>
          <w:szCs w:val="22"/>
        </w:rPr>
        <w:t xml:space="preserve">Algorithm-based fault tolerance (ABFT) and checkpoint-restart are the primary correctness mechanisms, but ABFT requires per-algorithm implementation effort and checkpoint-restart imposes 15–30% overhead on large jobs. Neither provides a general-purpose, workload-agnostic correctness signal.</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3  Motivation</w:t>
      </w:r>
    </w:p>
    <w:p>
      <w:pPr>
        <w:pStyle w:val="Heading2"/>
        <w:spacing w:before="280" w:after="120"/>
      </w:pPr>
      <w:r>
        <w:rPr>
          <w:rFonts w:ascii="Arial" w:cs="Arial" w:eastAsia="Arial" w:hAnsi="Arial"/>
          <w:b/>
          <w:bCs/>
          <w:color w:val="534AB7"/>
          <w:sz w:val="26"/>
          <w:szCs w:val="26"/>
        </w:rPr>
        <w:t xml:space="preserve">3.1  The Naturalness Hypothesis</w:t>
      </w:r>
    </w:p>
    <w:p>
      <w:pPr>
        <w:spacing w:before="0" w:after="140"/>
      </w:pPr>
      <w:r>
        <w:rPr>
          <w:rFonts w:ascii="Arial" w:cs="Arial" w:eastAsia="Arial" w:hAnsi="Arial"/>
          <w:color w:val="2C2C2A"/>
          <w:sz w:val="22"/>
          <w:szCs w:val="22"/>
        </w:rPr>
        <w:t xml:space="preserve">The foundational hypothesis underlying BLADE is what we term the Naturalness Hypothesis: quantities that emerge from well-structured physical or computational processes operating over many orders of magnitude will conform to Benford's Law, and deviations from conformance are signals of non-natural (anomalous) origin.</w:t>
      </w:r>
    </w:p>
    <w:p>
      <w:pPr>
        <w:spacing w:before="60" w:after="0"/>
      </w:pPr>
    </w:p>
    <w:p>
      <w:pPr>
        <w:spacing w:before="0" w:after="140"/>
      </w:pPr>
      <w:r>
        <w:rPr>
          <w:rFonts w:ascii="Arial" w:cs="Arial" w:eastAsia="Arial" w:hAnsi="Arial"/>
          <w:color w:val="2C2C2A"/>
          <w:sz w:val="22"/>
          <w:szCs w:val="22"/>
        </w:rPr>
        <w:t xml:space="preserve">This hypothesis is not new in isolation — Benford analysis is well-established in forensic accounting and election auditing. What is new is its systematic application to HPC telemetry, and the observation that different anomaly types produce characteristically different deviation patterns across multiple independent streams.</w:t>
      </w:r>
    </w:p>
    <w:p>
      <w:pPr>
        <w:pStyle w:val="Heading2"/>
        <w:spacing w:before="280" w:after="120"/>
      </w:pPr>
      <w:r>
        <w:rPr>
          <w:rFonts w:ascii="Arial" w:cs="Arial" w:eastAsia="Arial" w:hAnsi="Arial"/>
          <w:b/>
          <w:bCs/>
          <w:color w:val="534AB7"/>
          <w:sz w:val="26"/>
          <w:szCs w:val="26"/>
        </w:rPr>
        <w:t xml:space="preserve">3.2  Why Each HPC Stream is Naturally Benford-Conformant</w:t>
      </w:r>
    </w:p>
    <w:p>
      <w:pPr>
        <w:spacing w:before="0" w:after="140"/>
      </w:pPr>
      <w:r>
        <w:rPr>
          <w:rFonts w:ascii="Arial" w:cs="Arial" w:eastAsia="Arial" w:hAnsi="Arial"/>
          <w:color w:val="2C2C2A"/>
          <w:sz w:val="22"/>
          <w:szCs w:val="22"/>
        </w:rPr>
        <w:t xml:space="preserve">A key theoretical contribution of BLADE is establishing the formal basis for Benford conformance in each telemetry stream. The intuition for each stream is as follows:</w:t>
      </w:r>
    </w:p>
    <w:p>
      <w:pPr>
        <w:spacing w:before="60" w:after="0"/>
      </w:pPr>
    </w:p>
    <w:p>
      <w:pPr>
        <w:spacing w:before="0" w:after="100"/>
      </w:pPr>
      <w:r>
        <w:rPr>
          <w:rFonts w:ascii="Arial" w:cs="Arial" w:eastAsia="Arial" w:hAnsi="Arial"/>
          <w:b/>
          <w:bCs/>
          <w:color w:val="2C2C2A"/>
          <w:sz w:val="22"/>
          <w:szCs w:val="22"/>
        </w:rPr>
        <w:t xml:space="preserve">Floating-point outputs: </w:t>
      </w:r>
      <w:r>
        <w:rPr>
          <w:rFonts w:ascii="Arial" w:cs="Arial" w:eastAsia="Arial" w:hAnsi="Arial"/>
          <w:color w:val="2C2C2A"/>
          <w:sz w:val="22"/>
          <w:szCs w:val="22"/>
        </w:rPr>
        <w:t xml:space="preserve">Physical simulation variables (pressure, velocity, energy density, particle positions) are drawn from distributions that span many orders of magnitude. PDE solutions, molecular dynamics trajectories, and n-body simulations all produce output fields whose magnitude distributions are empirically Benford-conformant in a wide class of benchmark codes.</w:t>
      </w:r>
    </w:p>
    <w:p>
      <w:pPr>
        <w:spacing w:before="80" w:after="0"/>
      </w:pPr>
    </w:p>
    <w:p>
      <w:pPr>
        <w:spacing w:before="0" w:after="100"/>
      </w:pPr>
      <w:r>
        <w:rPr>
          <w:rFonts w:ascii="Arial" w:cs="Arial" w:eastAsia="Arial" w:hAnsi="Arial"/>
          <w:b/>
          <w:bCs/>
          <w:color w:val="2C2C2A"/>
          <w:sz w:val="22"/>
          <w:szCs w:val="22"/>
        </w:rPr>
        <w:t xml:space="preserve">MPI message sizes: </w:t>
      </w:r>
      <w:r>
        <w:rPr>
          <w:rFonts w:ascii="Arial" w:cs="Arial" w:eastAsia="Arial" w:hAnsi="Arial"/>
          <w:color w:val="2C2C2A"/>
          <w:sz w:val="22"/>
          <w:szCs w:val="22"/>
        </w:rPr>
        <w:t xml:space="preserve">In domain-decomposed parallel applications, message sizes reflect subdomain geometry and halo exchange volumes. These are derived from problem-size parameters (grid dimensions, particle counts) that naturally span orders of magnitude across different problem sizes and decompositions. Observed message size histograms across HPCG, HPL, and NekRS benchmarks show strong Benford conformance.</w:t>
      </w:r>
    </w:p>
    <w:p>
      <w:pPr>
        <w:spacing w:before="80" w:after="0"/>
      </w:pPr>
    </w:p>
    <w:p>
      <w:pPr>
        <w:spacing w:before="0" w:after="100"/>
      </w:pPr>
      <w:r>
        <w:rPr>
          <w:rFonts w:ascii="Arial" w:cs="Arial" w:eastAsia="Arial" w:hAnsi="Arial"/>
          <w:b/>
          <w:bCs/>
          <w:color w:val="2C2C2A"/>
          <w:sz w:val="22"/>
          <w:szCs w:val="22"/>
        </w:rPr>
        <w:t xml:space="preserve">Parallel I/O block sizes: </w:t>
      </w:r>
      <w:r>
        <w:rPr>
          <w:rFonts w:ascii="Arial" w:cs="Arial" w:eastAsia="Arial" w:hAnsi="Arial"/>
          <w:color w:val="2C2C2A"/>
          <w:sz w:val="22"/>
          <w:szCs w:val="22"/>
        </w:rPr>
        <w:t xml:space="preserve">Scientific file I/O on Lustre and GPFS exhibits characteristic block-size distributions driven by collective I/O libraries (HDF5, NetCDF, ADIOS2). These distributions span from small metadata writes to large checkpoint buffers, producing naturally Benford-conformant aggregate histograms.</w:t>
      </w:r>
    </w:p>
    <w:p>
      <w:pPr>
        <w:spacing w:before="80" w:after="0"/>
      </w:pPr>
    </w:p>
    <w:p>
      <w:pPr>
        <w:spacing w:before="0" w:after="100"/>
      </w:pPr>
      <w:r>
        <w:rPr>
          <w:rFonts w:ascii="Arial" w:cs="Arial" w:eastAsia="Arial" w:hAnsi="Arial"/>
          <w:b/>
          <w:bCs/>
          <w:color w:val="2C2C2A"/>
          <w:sz w:val="22"/>
          <w:szCs w:val="22"/>
        </w:rPr>
        <w:t xml:space="preserve">Power sensor readings: </w:t>
      </w:r>
      <w:r>
        <w:rPr>
          <w:rFonts w:ascii="Arial" w:cs="Arial" w:eastAsia="Arial" w:hAnsi="Arial"/>
          <w:color w:val="2C2C2A"/>
          <w:sz w:val="22"/>
          <w:szCs w:val="22"/>
        </w:rPr>
        <w:t xml:space="preserve">Per-node power draw during well-characterized workloads (HPL, HPCG, miniapps) varies across nodes due to clock frequency variation, memory subsystem differences, and thermal state. Across a large homogeneous cluster, the distribution of per-node instantaneous power readings — though individually narrow — exhibits Benford conformance at the system level, driven by the multiplicative structure of workload variation.</w:t>
      </w:r>
    </w:p>
    <w:p>
      <w:pPr>
        <w:spacing w:before="80" w:after="0"/>
      </w:pPr>
    </w:p>
    <w:p>
      <w:pPr>
        <w:spacing w:before="0" w:after="100"/>
      </w:pPr>
      <w:r>
        <w:rPr>
          <w:rFonts w:ascii="Arial" w:cs="Arial" w:eastAsia="Arial" w:hAnsi="Arial"/>
          <w:b/>
          <w:bCs/>
          <w:color w:val="2C2C2A"/>
          <w:sz w:val="22"/>
          <w:szCs w:val="22"/>
        </w:rPr>
        <w:t xml:space="preserve">Checkpoint field magnitudes: </w:t>
      </w:r>
      <w:r>
        <w:rPr>
          <w:rFonts w:ascii="Arial" w:cs="Arial" w:eastAsia="Arial" w:hAnsi="Arial"/>
          <w:color w:val="2C2C2A"/>
          <w:sz w:val="22"/>
          <w:szCs w:val="22"/>
        </w:rPr>
        <w:t xml:space="preserve">Checkpoint files store serialized simulation state: arrays of physical quantities whose magnitudes directly reflect the simulation domain. The leading-digit distribution of these fields is the most direct possible expression of the Benford conformance of the underlying physical computation.</w:t>
      </w:r>
    </w:p>
    <w:p>
      <w:pPr>
        <w:pStyle w:val="Heading2"/>
        <w:spacing w:before="280" w:after="120"/>
      </w:pPr>
      <w:r>
        <w:rPr>
          <w:rFonts w:ascii="Arial" w:cs="Arial" w:eastAsia="Arial" w:hAnsi="Arial"/>
          <w:b/>
          <w:bCs/>
          <w:color w:val="534AB7"/>
          <w:sz w:val="26"/>
          <w:szCs w:val="26"/>
        </w:rPr>
        <w:t xml:space="preserve">3.3  The Deviation Vector Primitive</w:t>
      </w:r>
    </w:p>
    <w:p>
      <w:pPr>
        <w:spacing w:before="0" w:after="140"/>
      </w:pPr>
      <w:r>
        <w:rPr>
          <w:rFonts w:ascii="Arial" w:cs="Arial" w:eastAsia="Arial" w:hAnsi="Arial"/>
          <w:color w:val="2C2C2A"/>
          <w:sz w:val="22"/>
          <w:szCs w:val="22"/>
        </w:rPr>
        <w:t xml:space="preserve">The key enabling abstraction of BLADE is the deviation vector: a compact numerical summary of the current Benford conformance state across all monitored streams, computed at each monitoring interval:</w:t>
      </w:r>
    </w:p>
    <w:p>
      <w:pPr>
        <w:spacing w:before="60" w:after="0"/>
      </w:pPr>
    </w:p>
    <w:p>
      <w:pPr>
        <w:spacing w:before="80" w:after="80"/>
        <w:jc w:val="center"/>
      </w:pPr>
      <w:r>
        <w:rPr>
          <w:rFonts w:ascii="Arial" w:cs="Arial" w:eastAsia="Arial" w:hAnsi="Arial"/>
          <w:i/>
          <w:iCs/>
          <w:color w:val="534AB7"/>
          <w:sz w:val="22"/>
          <w:szCs w:val="22"/>
        </w:rPr>
        <w:t xml:space="preserve">δ(t) = [MAD_FP, MAD_MPI, MAD_IO, MAD_PWR, MAD_CKPT]</w:t>
      </w:r>
    </w:p>
    <w:p>
      <w:pPr>
        <w:spacing w:before="60" w:after="0"/>
      </w:pPr>
    </w:p>
    <w:p>
      <w:pPr>
        <w:spacing w:before="0" w:after="140"/>
      </w:pPr>
      <w:r>
        <w:rPr>
          <w:rFonts w:ascii="Arial" w:cs="Arial" w:eastAsia="Arial" w:hAnsi="Arial"/>
          <w:color w:val="2C2C2A"/>
          <w:sz w:val="22"/>
          <w:szCs w:val="22"/>
        </w:rPr>
        <w:t xml:space="preserve">Each component is a normalized MAD score between 0 (perfect Benford conformance) and 1 (maximum deviation). A healthy system produces a deviation vector near the zero vector. Different anomaly types produce characteristic non-zero patterns in this vector. The classification problem becomes: given an observed deviation vector, identify the most likely anomaly type. Because the five streams are physically and logically independent, the deviation vector components are largely uncorrelated, giving the classifier strong discriminative power.</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4  Main Idea</w:t>
      </w:r>
    </w:p>
    <w:p>
      <w:pPr>
        <w:pStyle w:val="Heading2"/>
        <w:spacing w:before="280" w:after="120"/>
      </w:pPr>
      <w:r>
        <w:rPr>
          <w:rFonts w:ascii="Arial" w:cs="Arial" w:eastAsia="Arial" w:hAnsi="Arial"/>
          <w:b/>
          <w:bCs/>
          <w:color w:val="534AB7"/>
          <w:sz w:val="26"/>
          <w:szCs w:val="26"/>
        </w:rPr>
        <w:t xml:space="preserve">4.1  BLADE: A Unified Framework</w:t>
      </w:r>
    </w:p>
    <w:p>
      <w:pPr>
        <w:spacing w:before="0" w:after="140"/>
      </w:pPr>
      <w:r>
        <w:rPr>
          <w:rFonts w:ascii="Arial" w:cs="Arial" w:eastAsia="Arial" w:hAnsi="Arial"/>
          <w:color w:val="2C2C2A"/>
          <w:sz w:val="22"/>
          <w:szCs w:val="22"/>
        </w:rPr>
        <w:t xml:space="preserve">BLADE is a multi-stream, online anomaly detection system for HPC environments that uses Benford's Law as its sole statistical primitive. The system continuously monitors five independent telemetry streams, computes per-stream Benford MAD scores, assembles them into a deviation vector, and classifies anomalies based on the characteristic signatures each fault type produces.</w:t>
      </w:r>
    </w:p>
    <w:p>
      <w:pPr>
        <w:spacing w:before="60" w:after="0"/>
      </w:pPr>
    </w:p>
    <w:p>
      <w:pPr>
        <w:spacing w:before="0" w:after="140"/>
      </w:pPr>
      <w:r>
        <w:rPr>
          <w:rFonts w:ascii="Arial" w:cs="Arial" w:eastAsia="Arial" w:hAnsi="Arial"/>
          <w:color w:val="2C2C2A"/>
          <w:sz w:val="22"/>
          <w:szCs w:val="22"/>
        </w:rPr>
        <w:t xml:space="preserve">The framework is unified in three senses: (1) a single statistical model applies across all streams, reducing the calibration burden compared to per-stream specialized models; (2) detection and classification use the same primitive, with classification being a downstream operation on the deviation vector; and (3) the framework is workload-agnostic at inference time once per-workload baselines have been established during a calibration phase.</w:t>
      </w:r>
    </w:p>
    <w:p>
      <w:pPr>
        <w:pStyle w:val="Heading2"/>
        <w:spacing w:before="280" w:after="120"/>
      </w:pPr>
      <w:r>
        <w:rPr>
          <w:rFonts w:ascii="Arial" w:cs="Arial" w:eastAsia="Arial" w:hAnsi="Arial"/>
          <w:b/>
          <w:bCs/>
          <w:color w:val="534AB7"/>
          <w:sz w:val="26"/>
          <w:szCs w:val="26"/>
        </w:rPr>
        <w:t xml:space="preserve">4.2  Anomaly Signature Matrix</w:t>
      </w:r>
    </w:p>
    <w:p>
      <w:pPr>
        <w:spacing w:before="0" w:after="140"/>
      </w:pPr>
      <w:r>
        <w:rPr>
          <w:rFonts w:ascii="Arial" w:cs="Arial" w:eastAsia="Arial" w:hAnsi="Arial"/>
          <w:color w:val="2C2C2A"/>
          <w:sz w:val="22"/>
          <w:szCs w:val="22"/>
        </w:rPr>
        <w:t xml:space="preserve">The central empirical hypothesis of BLADE is that each anomaly class produces a distinctive multi-stream deviation signature. Table 1 summarizes the expected deviation patterns derived from theoretical analysis and preliminary observations. Cells marked with strong deviation (filled circle) represent the primary detection signal; moderate deviation cells provide corroborating evidence. The separability of these signatures — particularly the uniqueness of the SDC, thermal fault, and checkpoint corruption patterns — makes classification tractable.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12"/>
        <w:gridCol w:w="1312"/>
        <w:gridCol w:w="1312"/>
        <w:gridCol w:w="1312"/>
        <w:gridCol w:w="1312"/>
      </w:tblGrid>
      <w:tr>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Anomaly Type</w:t>
            </w:r>
          </w:p>
        </w:tc>
        <w:tc>
          <w:tcPr>
            <w:tcW w:type="dxa" w:w="1312"/>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FP Outputs</w:t>
            </w:r>
          </w:p>
        </w:tc>
        <w:tc>
          <w:tcPr>
            <w:tcW w:type="dxa" w:w="1312"/>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MPI Traffic</w:t>
            </w:r>
          </w:p>
        </w:tc>
        <w:tc>
          <w:tcPr>
            <w:tcW w:type="dxa" w:w="1312"/>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I/O Patterns</w:t>
            </w:r>
          </w:p>
        </w:tc>
        <w:tc>
          <w:tcPr>
            <w:tcW w:type="dxa" w:w="1312"/>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Power Data</w:t>
            </w:r>
          </w:p>
        </w:tc>
        <w:tc>
          <w:tcPr>
            <w:tcW w:type="dxa" w:w="1312"/>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Checkpoints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Silent SDC</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Network attack</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Thermal fault</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Filesystem corruption</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Rank imbalance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Checkpoint corruption</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Rogue process</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color w:val="854F0B"/>
                <w:sz w:val="20"/>
                <w:szCs w:val="20"/>
              </w:rPr>
              <w:t xml:space="preserve">◐ Moderate</w:t>
            </w:r>
          </w:p>
        </w:tc>
        <w:tc>
          <w:tcPr>
            <w:tcW w:type="dxa" w:w="131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color w:val="993C1D"/>
                <w:sz w:val="20"/>
                <w:szCs w:val="20"/>
              </w:rPr>
              <w:t xml:space="preserve">●● Strong</w:t>
            </w:r>
          </w:p>
        </w:tc>
        <w:tc>
          <w:tcPr>
            <w:tcW w:type="dxa" w:w="1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AAAAA"/>
                <w:sz w:val="20"/>
                <w:szCs w:val="20"/>
              </w:rPr>
              <w:t xml:space="preserve">—</w:t>
            </w:r>
          </w:p>
        </w:tc>
      </w:tr>
    </w:tbl>
    <w:p>
      <w:pPr>
        <w:spacing w:before="60" w:after="180"/>
        <w:jc w:val="center"/>
      </w:pPr>
      <w:r>
        <w:rPr>
          <w:rFonts w:ascii="Arial" w:cs="Arial" w:eastAsia="Arial" w:hAnsi="Arial"/>
          <w:i/>
          <w:iCs/>
          <w:color w:val="888780"/>
          <w:sz w:val="18"/>
          <w:szCs w:val="18"/>
        </w:rPr>
        <w:t xml:space="preserve">Table 1. Expected Benford deviation signatures across metric streams by anomaly type.</w:t>
      </w:r>
    </w:p>
    <w:p>
      <w:pPr>
        <w:spacing w:before="120" w:after="0"/>
      </w:pPr>
    </w:p>
    <w:p>
      <w:pPr>
        <w:pStyle w:val="Heading2"/>
        <w:spacing w:before="280" w:after="120"/>
      </w:pPr>
      <w:r>
        <w:rPr>
          <w:rFonts w:ascii="Arial" w:cs="Arial" w:eastAsia="Arial" w:hAnsi="Arial"/>
          <w:b/>
          <w:bCs/>
          <w:color w:val="534AB7"/>
          <w:sz w:val="26"/>
          <w:szCs w:val="26"/>
        </w:rPr>
        <w:t xml:space="preserve">4.3  Monitored Telemetry Streams</w:t>
      </w:r>
    </w:p>
    <w:p>
      <w:pPr>
        <w:spacing w:before="0" w:after="140"/>
      </w:pPr>
      <w:r>
        <w:rPr>
          <w:rFonts w:ascii="Arial" w:cs="Arial" w:eastAsia="Arial" w:hAnsi="Arial"/>
          <w:color w:val="2C2C2A"/>
          <w:sz w:val="22"/>
          <w:szCs w:val="22"/>
        </w:rPr>
        <w:t xml:space="preserve">Table 2 summarizes the five telemetry streams, their collection mechanisms, and the anomaly classes for which each stream is the primary detection signal.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60"/>
        <w:gridCol w:w="3600"/>
      </w:tblGrid>
      <w:tr>
        <w:tc>
          <w:tcPr>
            <w:tcW w:type="dxa" w:w="15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Stream</w:t>
            </w:r>
          </w:p>
        </w:tc>
        <w:tc>
          <w:tcPr>
            <w:tcW w:type="dxa" w:w="21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Collection</w:t>
            </w:r>
          </w:p>
        </w:tc>
        <w:tc>
          <w:tcPr>
            <w:tcW w:type="dxa" w:w="21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Distribution</w:t>
            </w:r>
          </w:p>
        </w:tc>
        <w:tc>
          <w:tcPr>
            <w:tcW w:type="dxa" w:w="3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Anomalies Detected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FP Outputs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eBPF probes on math libs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Scalar FP intermediates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SDC, rogue process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MPI Traffic</w:t>
            </w:r>
          </w:p>
        </w:tc>
        <w:tc>
          <w:tcPr>
            <w:tcW w:type="dxa" w:w="21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PMPI intercept / LD_PRELOAD</w:t>
            </w:r>
          </w:p>
        </w:tc>
        <w:tc>
          <w:tcPr>
            <w:tcW w:type="dxa" w:w="2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Message byte sizes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Rank imbalance, injection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I/O Patterns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Darshan / eBPF syscall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Block sizes, offsets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FS corruption, exfil</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Power Data</w:t>
            </w:r>
          </w:p>
        </w:tc>
        <w:tc>
          <w:tcPr>
            <w:tcW w:type="dxa" w:w="21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Redfish BMC / IPMI polling</w:t>
            </w:r>
          </w:p>
        </w:tc>
        <w:tc>
          <w:tcPr>
            <w:tcW w:type="dxa" w:w="2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Per-node watt readings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Thermal fault, rogue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Checkpoints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eBPF open/write probes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Saved field magnitudes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Checkpoint corruption, SDC</w:t>
            </w:r>
          </w:p>
        </w:tc>
      </w:tr>
    </w:tbl>
    <w:p>
      <w:pPr>
        <w:spacing w:before="60" w:after="180"/>
        <w:jc w:val="center"/>
      </w:pPr>
      <w:r>
        <w:rPr>
          <w:rFonts w:ascii="Arial" w:cs="Arial" w:eastAsia="Arial" w:hAnsi="Arial"/>
          <w:i/>
          <w:iCs/>
          <w:color w:val="888780"/>
          <w:sz w:val="18"/>
          <w:szCs w:val="18"/>
        </w:rPr>
        <w:t xml:space="preserve">Table 2. BLADE telemetry streams: collection mechanism, distribution type, and primary anomaly targets.</w:t>
      </w:r>
    </w:p>
    <w:p>
      <w:pPr>
        <w:spacing w:before="120" w:after="0"/>
      </w:pP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5  Architecture</w:t>
      </w:r>
    </w:p>
    <w:p>
      <w:pPr>
        <w:pStyle w:val="Heading2"/>
        <w:spacing w:before="280" w:after="120"/>
      </w:pPr>
      <w:r>
        <w:rPr>
          <w:rFonts w:ascii="Arial" w:cs="Arial" w:eastAsia="Arial" w:hAnsi="Arial"/>
          <w:b/>
          <w:bCs/>
          <w:color w:val="534AB7"/>
          <w:sz w:val="26"/>
          <w:szCs w:val="26"/>
        </w:rPr>
        <w:t xml:space="preserve">5.1  Overview</w:t>
      </w:r>
    </w:p>
    <w:p>
      <w:pPr>
        <w:spacing w:before="0" w:after="140"/>
      </w:pPr>
      <w:r>
        <w:rPr>
          <w:rFonts w:ascii="Arial" w:cs="Arial" w:eastAsia="Arial" w:hAnsi="Arial"/>
          <w:color w:val="2C2C2A"/>
          <w:sz w:val="22"/>
          <w:szCs w:val="22"/>
        </w:rPr>
        <w:t xml:space="preserve">BLADE is organized into four layers: telemetry ingestion, per-stream Benford analysis, multi-stream correlation and classification, and operator-facing alerting. Each layer is designed for minimal overhead, online operation, and incremental deployment.</w:t>
      </w:r>
    </w:p>
    <w:p>
      <w:pPr>
        <w:pStyle w:val="Heading2"/>
        <w:spacing w:before="280" w:after="120"/>
      </w:pPr>
      <w:r>
        <w:rPr>
          <w:rFonts w:ascii="Arial" w:cs="Arial" w:eastAsia="Arial" w:hAnsi="Arial"/>
          <w:b/>
          <w:bCs/>
          <w:color w:val="534AB7"/>
          <w:sz w:val="26"/>
          <w:szCs w:val="26"/>
        </w:rPr>
        <w:t xml:space="preserve">5.2  Telemetry Ingestion Layer</w:t>
      </w:r>
    </w:p>
    <w:p>
      <w:pPr>
        <w:spacing w:before="0" w:after="140"/>
      </w:pPr>
      <w:r>
        <w:rPr>
          <w:rFonts w:ascii="Arial" w:cs="Arial" w:eastAsia="Arial" w:hAnsi="Arial"/>
          <w:color w:val="2C2C2A"/>
          <w:sz w:val="22"/>
          <w:szCs w:val="22"/>
        </w:rPr>
        <w:t xml:space="preserve">Collection of each telemetry stream uses a different instrumentation mechanism chosen for minimal overhead and compatibility with existing HPC software stacks:</w:t>
      </w:r>
    </w:p>
    <w:p>
      <w:pPr>
        <w:spacing w:before="60" w:after="0"/>
      </w:pPr>
    </w:p>
    <w:p>
      <w:pPr>
        <w:spacing w:before="0" w:after="100"/>
      </w:pPr>
      <w:r>
        <w:rPr>
          <w:rFonts w:ascii="Arial" w:cs="Arial" w:eastAsia="Arial" w:hAnsi="Arial"/>
          <w:b/>
          <w:bCs/>
          <w:color w:val="2C2C2A"/>
          <w:sz w:val="22"/>
          <w:szCs w:val="22"/>
        </w:rPr>
        <w:t xml:space="preserve">Floating-point outputs: </w:t>
      </w:r>
      <w:r>
        <w:rPr>
          <w:rFonts w:ascii="Arial" w:cs="Arial" w:eastAsia="Arial" w:hAnsi="Arial"/>
          <w:color w:val="2C2C2A"/>
          <w:sz w:val="22"/>
          <w:szCs w:val="22"/>
        </w:rPr>
        <w:t xml:space="preserve">eBPF probes attached to key mathematical library entry points (BLAS, FFTW, solver libraries) sample floating-point return values in the kernel. Only the leading digit is extracted before the sample exits the kernel, reducing the per-event overhead to a single integer operation. Samples are accumulated in a per-CPU BPF hash map keyed by leading digit, flushed to ring buffers at configurable intervals.</w:t>
      </w:r>
    </w:p>
    <w:p>
      <w:pPr>
        <w:spacing w:before="80" w:after="0"/>
      </w:pPr>
    </w:p>
    <w:p>
      <w:pPr>
        <w:spacing w:before="0" w:after="100"/>
      </w:pPr>
      <w:r>
        <w:rPr>
          <w:rFonts w:ascii="Arial" w:cs="Arial" w:eastAsia="Arial" w:hAnsi="Arial"/>
          <w:b/>
          <w:bCs/>
          <w:color w:val="2C2C2A"/>
          <w:sz w:val="22"/>
          <w:szCs w:val="22"/>
        </w:rPr>
        <w:t xml:space="preserve">MPI message sizes: </w:t>
      </w:r>
      <w:r>
        <w:rPr>
          <w:rFonts w:ascii="Arial" w:cs="Arial" w:eastAsia="Arial" w:hAnsi="Arial"/>
          <w:color w:val="2C2C2A"/>
          <w:sz w:val="22"/>
          <w:szCs w:val="22"/>
        </w:rPr>
        <w:t xml:space="preserve">An PMPI profiling layer (injected via LD_PRELOAD) intercepts MPI_Send, MPI_Recv, and collective operations, extracting the count-times-type-size byte count for each message. The profiling layer is compatible with all MPI implementations (OpenMPI, MPICH, Cray MPICH) and adds less than 1% overhead on typical collective-heavy codes.</w:t>
      </w:r>
    </w:p>
    <w:p>
      <w:pPr>
        <w:spacing w:before="80" w:after="0"/>
      </w:pPr>
    </w:p>
    <w:p>
      <w:pPr>
        <w:spacing w:before="0" w:after="100"/>
      </w:pPr>
      <w:r>
        <w:rPr>
          <w:rFonts w:ascii="Arial" w:cs="Arial" w:eastAsia="Arial" w:hAnsi="Arial"/>
          <w:b/>
          <w:bCs/>
          <w:color w:val="2C2C2A"/>
          <w:sz w:val="22"/>
          <w:szCs w:val="22"/>
        </w:rPr>
        <w:t xml:space="preserve">Parallel I/O patterns: </w:t>
      </w:r>
      <w:r>
        <w:rPr>
          <w:rFonts w:ascii="Arial" w:cs="Arial" w:eastAsia="Arial" w:hAnsi="Arial"/>
          <w:color w:val="2C2C2A"/>
          <w:sz w:val="22"/>
          <w:szCs w:val="22"/>
        </w:rPr>
        <w:t xml:space="preserve">BLADE integrates with Darshan, the standard HPC I/O characterization tool, extending it to report per-request size histograms at fine granularity. Alternatively, eBPF sys_enter_pwrite64 and sys_enter_pread64 probes can be used for kernel-level collection without application instrumentation.</w:t>
      </w:r>
    </w:p>
    <w:p>
      <w:pPr>
        <w:spacing w:before="80" w:after="0"/>
      </w:pPr>
    </w:p>
    <w:p>
      <w:pPr>
        <w:spacing w:before="0" w:after="100"/>
      </w:pPr>
      <w:r>
        <w:rPr>
          <w:rFonts w:ascii="Arial" w:cs="Arial" w:eastAsia="Arial" w:hAnsi="Arial"/>
          <w:b/>
          <w:bCs/>
          <w:color w:val="2C2C2A"/>
          <w:sz w:val="22"/>
          <w:szCs w:val="22"/>
        </w:rPr>
        <w:t xml:space="preserve">Power and thermal data: </w:t>
      </w:r>
      <w:r>
        <w:rPr>
          <w:rFonts w:ascii="Arial" w:cs="Arial" w:eastAsia="Arial" w:hAnsi="Arial"/>
          <w:color w:val="2C2C2A"/>
          <w:sz w:val="22"/>
          <w:szCs w:val="22"/>
        </w:rPr>
        <w:t xml:space="preserve">Per-node power readings are collected via Redfish (on HPE systems) or IPMI at 1-second resolution. BLADE aggregates readings across nodes in the job allocation to build the system-level distribution. This requires no application instrumentation and is collected by the facility monitoring infrastructure.</w:t>
      </w:r>
    </w:p>
    <w:p>
      <w:pPr>
        <w:spacing w:before="80" w:after="0"/>
      </w:pPr>
    </w:p>
    <w:p>
      <w:pPr>
        <w:spacing w:before="0" w:after="100"/>
      </w:pPr>
      <w:r>
        <w:rPr>
          <w:rFonts w:ascii="Arial" w:cs="Arial" w:eastAsia="Arial" w:hAnsi="Arial"/>
          <w:b/>
          <w:bCs/>
          <w:color w:val="2C2C2A"/>
          <w:sz w:val="22"/>
          <w:szCs w:val="22"/>
        </w:rPr>
        <w:t xml:space="preserve">Checkpoint fields: </w:t>
      </w:r>
      <w:r>
        <w:rPr>
          <w:rFonts w:ascii="Arial" w:cs="Arial" w:eastAsia="Arial" w:hAnsi="Arial"/>
          <w:color w:val="2C2C2A"/>
          <w:sz w:val="22"/>
          <w:szCs w:val="22"/>
        </w:rPr>
        <w:t xml:space="preserve">An eBPF probe on open() and write() syscalls identifies checkpoint write sequences and samples the leading digits of 8-byte (double-precision) values written to checkpoint files. The probe is activated only during known checkpoint windows, identified by integration with the application's checkpoint library (Scalable Checkpoint/Restart, VeloC, or application-native).</w:t>
      </w:r>
    </w:p>
    <w:p>
      <w:pPr>
        <w:pStyle w:val="Heading2"/>
        <w:spacing w:before="280" w:after="120"/>
      </w:pPr>
      <w:r>
        <w:rPr>
          <w:rFonts w:ascii="Arial" w:cs="Arial" w:eastAsia="Arial" w:hAnsi="Arial"/>
          <w:b/>
          <w:bCs/>
          <w:color w:val="534AB7"/>
          <w:sz w:val="26"/>
          <w:szCs w:val="26"/>
        </w:rPr>
        <w:t xml:space="preserve">5.3  Benford Analysis Engine</w:t>
      </w:r>
    </w:p>
    <w:p>
      <w:pPr>
        <w:spacing w:before="0" w:after="140"/>
      </w:pPr>
      <w:r>
        <w:rPr>
          <w:rFonts w:ascii="Arial" w:cs="Arial" w:eastAsia="Arial" w:hAnsi="Arial"/>
          <w:color w:val="2C2C2A"/>
          <w:sz w:val="22"/>
          <w:szCs w:val="22"/>
        </w:rPr>
        <w:t xml:space="preserve">The analysis engine maintains a rolling leading-digit histogram for each stream with a configurable window size. At each reporting interval, it computes the MAD score relative to the expected Benford distribution for that stream and workload class. The expected distribution is not the universal Benford distribution but a workload-specific baseline established during calibration runs — this is critical for accurate anomaly detection, as different codes have slightly different steady-state Benford statistics.</w:t>
      </w:r>
    </w:p>
    <w:p>
      <w:pPr>
        <w:spacing w:before="60" w:after="0"/>
      </w:pPr>
    </w:p>
    <w:p>
      <w:pPr>
        <w:spacing w:before="0" w:after="140"/>
      </w:pPr>
      <w:r>
        <w:rPr>
          <w:rFonts w:ascii="Arial" w:cs="Arial" w:eastAsia="Arial" w:hAnsi="Arial"/>
          <w:color w:val="2C2C2A"/>
          <w:sz w:val="22"/>
          <w:szCs w:val="22"/>
        </w:rPr>
        <w:t xml:space="preserve">The MAD computation is O(1) per sample update (increment one histogram bin) and O(1) at reporting time (compare 9 bins to 9 expected values). This makes the analysis engine negligibly cheap even at the sample rates required for sub-second anomaly detection. The engine exports deviation vectors to the correlation layer via a shared memory ring buffer.</w:t>
      </w:r>
    </w:p>
    <w:p>
      <w:pPr>
        <w:pStyle w:val="Heading2"/>
        <w:spacing w:before="280" w:after="120"/>
      </w:pPr>
      <w:r>
        <w:rPr>
          <w:rFonts w:ascii="Arial" w:cs="Arial" w:eastAsia="Arial" w:hAnsi="Arial"/>
          <w:b/>
          <w:bCs/>
          <w:color w:val="534AB7"/>
          <w:sz w:val="26"/>
          <w:szCs w:val="26"/>
        </w:rPr>
        <w:t xml:space="preserve">5.4  Anomaly Correlation and Classification Layer</w:t>
      </w:r>
    </w:p>
    <w:p>
      <w:pPr>
        <w:spacing w:before="0" w:after="140"/>
      </w:pPr>
      <w:r>
        <w:rPr>
          <w:rFonts w:ascii="Arial" w:cs="Arial" w:eastAsia="Arial" w:hAnsi="Arial"/>
          <w:color w:val="2C2C2A"/>
          <w:sz w:val="22"/>
          <w:szCs w:val="22"/>
        </w:rPr>
        <w:t xml:space="preserve">The correlation layer assembles per-stream MAD scores into a deviation vector and applies a classification model to identify the most likely anomaly type. Given the expected separability of the anomaly signatures (Table 1), the classifier can be a simple decision tree or logistic regression trained on labeled deviation vectors from fault injection experiments. This lightweight classifier is appropriate for production deployment because it introduces no meaningful latency and requires no GPU or accelerator.</w:t>
      </w:r>
    </w:p>
    <w:p>
      <w:pPr>
        <w:spacing w:before="60" w:after="0"/>
      </w:pPr>
    </w:p>
    <w:p>
      <w:pPr>
        <w:spacing w:before="0" w:after="140"/>
      </w:pPr>
      <w:r>
        <w:rPr>
          <w:rFonts w:ascii="Arial" w:cs="Arial" w:eastAsia="Arial" w:hAnsi="Arial"/>
          <w:color w:val="2C2C2A"/>
          <w:sz w:val="22"/>
          <w:szCs w:val="22"/>
        </w:rPr>
        <w:t xml:space="preserve">In addition to classification, the correlation layer applies a state machine to suppress false positives from transient non-conformance. Known sources of transient Benford deviation — phase transitions in materials simulations, shock fronts in CFD codes, sparse solver convergence events — can be modeled as expected state transitions and filtered before alerting.</w:t>
      </w:r>
    </w:p>
    <w:p>
      <w:pPr>
        <w:pStyle w:val="Heading2"/>
        <w:spacing w:before="280" w:after="120"/>
      </w:pPr>
      <w:r>
        <w:rPr>
          <w:rFonts w:ascii="Arial" w:cs="Arial" w:eastAsia="Arial" w:hAnsi="Arial"/>
          <w:b/>
          <w:bCs/>
          <w:color w:val="534AB7"/>
          <w:sz w:val="26"/>
          <w:szCs w:val="26"/>
        </w:rPr>
        <w:t xml:space="preserve">5.5  Alerting and Integration</w:t>
      </w:r>
    </w:p>
    <w:p>
      <w:pPr>
        <w:spacing w:before="0" w:after="140"/>
      </w:pPr>
      <w:r>
        <w:rPr>
          <w:rFonts w:ascii="Arial" w:cs="Arial" w:eastAsia="Arial" w:hAnsi="Arial"/>
          <w:color w:val="2C2C2A"/>
          <w:sz w:val="22"/>
          <w:szCs w:val="22"/>
        </w:rPr>
        <w:t xml:space="preserve">BLADE integrates with existing HPC monitoring infrastructure via standard interfaces: Prometheus metrics for time-series storage, PagerDuty or facility-specific alerting for operator notification, and SLURM job annotations for correlating anomaly events with specific jobs and users. Detected anomalies are classified and annotated with confidence scores before being forwarded to operators, reducing alert fatigue compared to threshold-based systems.</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6  Research Plan</w:t>
      </w:r>
    </w:p>
    <w:p>
      <w:pPr>
        <w:spacing w:before="0" w:after="140"/>
      </w:pPr>
      <w:r>
        <w:rPr>
          <w:rFonts w:ascii="Arial" w:cs="Arial" w:eastAsia="Arial" w:hAnsi="Arial"/>
          <w:color w:val="2C2C2A"/>
          <w:sz w:val="22"/>
          <w:szCs w:val="22"/>
        </w:rPr>
        <w:t xml:space="preserve">The BLADE research program is organized into 15 discrete tasks across three phases spanning 36 months. Each task is defined by the research questions it answers, its dependencies on prior tasks, explicit success criteria, and a structured risk register with mitigations. The Gantt schedule in Section 6.5 visualizes task sequencing and parallelism across the program.</w:t>
      </w:r>
    </w:p>
    <w:p>
      <w:pPr>
        <w:pStyle w:val="Heading2"/>
        <w:spacing w:before="280" w:after="120"/>
      </w:pPr>
      <w:r>
        <w:rPr>
          <w:rFonts w:ascii="Arial" w:cs="Arial" w:eastAsia="Arial" w:hAnsi="Arial"/>
          <w:b/>
          <w:bCs/>
          <w:color w:val="534AB7"/>
          <w:sz w:val="26"/>
          <w:szCs w:val="26"/>
        </w:rPr>
        <w:t xml:space="preserve">6.1  Phase 1: Theoretical Foundations (Months 1–12)</w:t>
      </w:r>
    </w:p>
    <w:p>
      <w:pPr>
        <w:spacing w:before="0" w:after="140"/>
      </w:pPr>
      <w:r>
        <w:rPr>
          <w:rFonts w:ascii="Arial" w:cs="Arial" w:eastAsia="Arial" w:hAnsi="Arial"/>
          <w:color w:val="2C2C2A"/>
          <w:sz w:val="22"/>
          <w:szCs w:val="22"/>
        </w:rPr>
        <w:t xml:space="preserve">Phase 1 establishes the formal and empirical foundation for BLADE. No implementation work begins until the core conformance hypotheses have been tested, baseline distributions characterized, and fault injection signatures validated. This sequencing is deliberate: a classification system built on an unvalidated statistical model would require costly rearchitecting later.</w:t>
      </w:r>
    </w:p>
    <w:p>
      <w:pPr>
        <w:spacing w:before="80" w:after="0"/>
      </w:pPr>
    </w:p>
    <w:p>
      <w:pPr>
        <w:pStyle w:val="Heading3"/>
        <w:spacing w:before="200" w:after="80"/>
      </w:pPr>
      <w:r>
        <w:rPr>
          <w:rFonts w:ascii="Arial" w:cs="Arial" w:eastAsia="Arial" w:hAnsi="Arial"/>
          <w:b/>
          <w:bCs/>
          <w:color w:val="0F6E56"/>
          <w:sz w:val="22"/>
          <w:szCs w:val="22"/>
        </w:rPr>
        <w:t xml:space="preserve">T1.1  Benford conformance proofs for FP outputs</w:t>
      </w:r>
    </w:p>
    <w:p>
      <w:pPr>
        <w:spacing w:before="0" w:after="140"/>
      </w:pPr>
      <w:r>
        <w:rPr>
          <w:rFonts w:ascii="Arial" w:cs="Arial" w:eastAsia="Arial" w:hAnsi="Arial"/>
          <w:color w:val="2C2C2A"/>
          <w:sz w:val="22"/>
          <w:szCs w:val="22"/>
        </w:rPr>
        <w:t xml:space="preserve">Formally prove that floating-point outputs of well-posed physical simulations drawn from the class of PDE-based solvers, N-body codes, and molecular dynamics engines satisfy Benford's Law. Extend Benford analysis of IEEE 754 floating-point arithmetic to the multi-variable output field case, and define the boundary conditions (dynamic range, coupling constants) under which conformance holds.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Under what conditions do FP simulation outputs conform to Benford's Law?</w:t>
            </w:r>
          </w:p>
          <w:p>
            <w:pPr>
              <w:spacing w:before="0" w:after="60"/>
            </w:pPr>
            <w:r>
              <w:rPr>
                <w:rFonts w:ascii="Arial" w:cs="Arial" w:eastAsia="Arial" w:hAnsi="Arial"/>
                <w:color w:val="2C2C2A"/>
                <w:sz w:val="20"/>
                <w:szCs w:val="20"/>
              </w:rPr>
              <w:t xml:space="preserve">Does conformance hold per-variable or only in aggregate?</w:t>
            </w:r>
          </w:p>
          <w:p>
            <w:pPr>
              <w:spacing w:before="0" w:after="60"/>
            </w:pPr>
            <w:r>
              <w:rPr>
                <w:rFonts w:ascii="Arial" w:cs="Arial" w:eastAsia="Arial" w:hAnsi="Arial"/>
                <w:color w:val="2C2C2A"/>
                <w:sz w:val="20"/>
                <w:szCs w:val="20"/>
              </w:rPr>
              <w:t xml:space="preserve">What dynamic range is required for reliable conformance?</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None — this is the foundational task</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Formal proof or counterexample for at least three benchmark codes (AMG, LAMMPS, Nekbone)</w:t>
            </w:r>
          </w:p>
          <w:p>
            <w:pPr>
              <w:spacing w:before="0" w:after="60"/>
            </w:pPr>
            <w:r>
              <w:rPr>
                <w:rFonts w:ascii="Arial" w:cs="Arial" w:eastAsia="Arial" w:hAnsi="Arial"/>
                <w:color w:val="2C2C2A"/>
                <w:sz w:val="20"/>
                <w:szCs w:val="20"/>
              </w:rPr>
              <w:t xml:space="preserve">Quantified minimum dynamic range requirement</w:t>
            </w:r>
          </w:p>
          <w:p>
            <w:pPr>
              <w:spacing w:before="0" w:after="60"/>
            </w:pPr>
            <w:r>
              <w:rPr>
                <w:rFonts w:ascii="Arial" w:cs="Arial" w:eastAsia="Arial" w:hAnsi="Arial"/>
                <w:color w:val="2C2C2A"/>
                <w:sz w:val="20"/>
                <w:szCs w:val="20"/>
              </w:rPr>
              <w:t xml:space="preserve">Published theoretical result or preprint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Proof fails for important workload classes (e.g. sparse solvers with bounded outputs)</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Characterize the non-conformant subclass and design stream-specific baseline corrections; limit FP stream scope to conformant codes initially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Existing IEEE 754 Benford results do not generalize to multi-variable fields</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Fall back to empirical-only baseline for FP stream; theoretical gap becomes a future-work item</w:t>
            </w:r>
          </w:p>
        </w:tc>
      </w:tr>
    </w:tbl>
    <w:p>
      <w:pPr>
        <w:spacing w:before="120" w:after="0"/>
      </w:pPr>
    </w:p>
    <w:p>
      <w:pPr>
        <w:pStyle w:val="Heading3"/>
        <w:spacing w:before="200" w:after="80"/>
      </w:pPr>
      <w:r>
        <w:rPr>
          <w:rFonts w:ascii="Arial" w:cs="Arial" w:eastAsia="Arial" w:hAnsi="Arial"/>
          <w:b/>
          <w:bCs/>
          <w:color w:val="0F6E56"/>
          <w:sz w:val="22"/>
          <w:szCs w:val="22"/>
        </w:rPr>
        <w:t xml:space="preserve">T1.2  Benford conformance proofs for MPI, I/O, power, and checkpoint streams</w:t>
      </w:r>
    </w:p>
    <w:p>
      <w:pPr>
        <w:spacing w:before="0" w:after="140"/>
      </w:pPr>
      <w:r>
        <w:rPr>
          <w:rFonts w:ascii="Arial" w:cs="Arial" w:eastAsia="Arial" w:hAnsi="Arial"/>
          <w:color w:val="2C2C2A"/>
          <w:sz w:val="22"/>
          <w:szCs w:val="22"/>
        </w:rPr>
        <w:t xml:space="preserve">Extend the conformance analysis of T1.1 to the four remaining telemetry streams. For MPI message sizes, characterize the class of domain decompositions that produce Benford-conformant size histograms. For I/O block sizes, analyze collective I/O library access patterns (HDF5, ADIOS2, NetCDF). For power, prove system-level conformance from the multiplicative structure of per-node workload variation. For checkpoints, derive conformance directly from T1.1.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Do MPI message sizes conform under standard domain decomposition strategies?</w:t>
            </w:r>
          </w:p>
          <w:p>
            <w:pPr>
              <w:spacing w:before="0" w:after="60"/>
            </w:pPr>
            <w:r>
              <w:rPr>
                <w:rFonts w:ascii="Arial" w:cs="Arial" w:eastAsia="Arial" w:hAnsi="Arial"/>
                <w:color w:val="2C2C2A"/>
                <w:sz w:val="20"/>
                <w:szCs w:val="20"/>
              </w:rPr>
              <w:t xml:space="preserve">What drives Benford conformance in power sensor distributions?</w:t>
            </w:r>
          </w:p>
          <w:p>
            <w:pPr>
              <w:spacing w:before="0" w:after="60"/>
            </w:pPr>
            <w:r>
              <w:rPr>
                <w:rFonts w:ascii="Arial" w:cs="Arial" w:eastAsia="Arial" w:hAnsi="Arial"/>
                <w:color w:val="2C2C2A"/>
                <w:sz w:val="20"/>
                <w:szCs w:val="20"/>
              </w:rPr>
              <w:t xml:space="preserve">Can checkpoint conformance be derived directly from FP output conformance?</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T1.1 (FP proof methodology reused and extended)</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Proof or empirical characterization for all four streams</w:t>
            </w:r>
          </w:p>
          <w:p>
            <w:pPr>
              <w:spacing w:before="0" w:after="60"/>
            </w:pPr>
            <w:r>
              <w:rPr>
                <w:rFonts w:ascii="Arial" w:cs="Arial" w:eastAsia="Arial" w:hAnsi="Arial"/>
                <w:color w:val="2C2C2A"/>
                <w:sz w:val="20"/>
                <w:szCs w:val="20"/>
              </w:rPr>
              <w:t xml:space="preserve">Identification of any streams requiring workload-specific calibration rather than universal baselines</w:t>
            </w:r>
          </w:p>
          <w:p>
            <w:pPr>
              <w:spacing w:before="0" w:after="60"/>
            </w:pPr>
            <w:r>
              <w:rPr>
                <w:rFonts w:ascii="Arial" w:cs="Arial" w:eastAsia="Arial" w:hAnsi="Arial"/>
                <w:color w:val="2C2C2A"/>
                <w:sz w:val="20"/>
                <w:szCs w:val="20"/>
              </w:rPr>
              <w:t xml:space="preserve">Documented exception cases per stream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Power stream conformance is workload-specific and cannot be generalized</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per-workload-class baselines for power stream; treat as empirical calibration problem rather than universal theorem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MPI conformance breaks for irregular/adaptive mesh decompositions</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Narrow MPI stream scope to structured-grid codes; flag unstructured codes as requiring separate calibration</w:t>
            </w:r>
          </w:p>
        </w:tc>
      </w:tr>
    </w:tbl>
    <w:p>
      <w:pPr>
        <w:spacing w:before="120" w:after="0"/>
      </w:pPr>
    </w:p>
    <w:p>
      <w:pPr>
        <w:pStyle w:val="Heading3"/>
        <w:spacing w:before="200" w:after="80"/>
      </w:pPr>
      <w:r>
        <w:rPr>
          <w:rFonts w:ascii="Arial" w:cs="Arial" w:eastAsia="Arial" w:hAnsi="Arial"/>
          <w:b/>
          <w:bCs/>
          <w:color w:val="0F6E56"/>
          <w:sz w:val="22"/>
          <w:szCs w:val="22"/>
        </w:rPr>
        <w:t xml:space="preserve">T1.3  Workload fingerprint library</w:t>
      </w:r>
    </w:p>
    <w:p>
      <w:pPr>
        <w:spacing w:before="0" w:after="140"/>
      </w:pPr>
      <w:r>
        <w:rPr>
          <w:rFonts w:ascii="Arial" w:cs="Arial" w:eastAsia="Arial" w:hAnsi="Arial"/>
          <w:color w:val="2C2C2A"/>
          <w:sz w:val="22"/>
          <w:szCs w:val="22"/>
        </w:rPr>
        <w:t xml:space="preserve">Using existing HPC telemetry archives (NERSC LDMS data, ALCF Darshan logs) and fresh benchmark runs of standard miniapps (AMG, HPCG, Nekbone, LAMMPS, HACC, NekRS, CoMD), build a per-workload, per-stream library of Benford baseline MAD scores and expected deviation ranges. This library is the calibration input for all downstream detection and classification tasks.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What is the expected steady-state Benford MAD for each stream across representative HPC workload classes?</w:t>
            </w:r>
          </w:p>
          <w:p>
            <w:pPr>
              <w:spacing w:before="0" w:after="60"/>
            </w:pPr>
            <w:r>
              <w:rPr>
                <w:rFonts w:ascii="Arial" w:cs="Arial" w:eastAsia="Arial" w:hAnsi="Arial"/>
                <w:color w:val="2C2C2A"/>
                <w:sz w:val="20"/>
                <w:szCs w:val="20"/>
              </w:rPr>
              <w:t xml:space="preserve">How much does the baseline vary across problem sizes and node counts?</w:t>
            </w:r>
          </w:p>
          <w:p>
            <w:pPr>
              <w:spacing w:before="0" w:after="60"/>
            </w:pPr>
            <w:r>
              <w:rPr>
                <w:rFonts w:ascii="Arial" w:cs="Arial" w:eastAsia="Arial" w:hAnsi="Arial"/>
                <w:color w:val="2C2C2A"/>
                <w:sz w:val="20"/>
                <w:szCs w:val="20"/>
              </w:rPr>
              <w:t xml:space="preserve">Which workloads are most and least conformant?</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T1.1, T1.2 (theoretical basis determines which streams to fingerprint)</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Fingerprint library covering at least 8 workload codes across all 5 streams</w:t>
            </w:r>
          </w:p>
          <w:p>
            <w:pPr>
              <w:spacing w:before="0" w:after="60"/>
            </w:pPr>
            <w:r>
              <w:rPr>
                <w:rFonts w:ascii="Arial" w:cs="Arial" w:eastAsia="Arial" w:hAnsi="Arial"/>
                <w:color w:val="2C2C2A"/>
                <w:sz w:val="20"/>
                <w:szCs w:val="20"/>
              </w:rPr>
              <w:t xml:space="preserve">Documented variance in baseline MAD across problem sizes (1K, 10K, 100K core runs)</w:t>
            </w:r>
          </w:p>
          <w:p>
            <w:pPr>
              <w:spacing w:before="0" w:after="60"/>
            </w:pPr>
            <w:r>
              <w:rPr>
                <w:rFonts w:ascii="Arial" w:cs="Arial" w:eastAsia="Arial" w:hAnsi="Arial"/>
                <w:color w:val="2C2C2A"/>
                <w:sz w:val="20"/>
                <w:szCs w:val="20"/>
              </w:rPr>
              <w:t xml:space="preserve">Library available as open dataset for community use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Insufficient access to historical telemetry archives at required granularity</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Prioritize fresh benchmark runs on available systems (NERSC Perlmutter dev allocation); archive access is supplementary, not required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Baseline MAD varies significantly with problem size, making universal thresholds impractical</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Parameterize baselines by problem-size class; add lightweight problem-size detection to the BLADE calibration interface</w:t>
            </w:r>
          </w:p>
        </w:tc>
      </w:tr>
    </w:tbl>
    <w:p>
      <w:pPr>
        <w:spacing w:before="120" w:after="0"/>
      </w:pPr>
    </w:p>
    <w:p>
      <w:pPr>
        <w:pStyle w:val="Heading3"/>
        <w:spacing w:before="200" w:after="80"/>
      </w:pPr>
      <w:r>
        <w:rPr>
          <w:rFonts w:ascii="Arial" w:cs="Arial" w:eastAsia="Arial" w:hAnsi="Arial"/>
          <w:b/>
          <w:bCs/>
          <w:color w:val="0F6E56"/>
          <w:sz w:val="22"/>
          <w:szCs w:val="22"/>
        </w:rPr>
        <w:t xml:space="preserve">T1.4  Fault injection framework</w:t>
      </w:r>
    </w:p>
    <w:p>
      <w:pPr>
        <w:spacing w:before="0" w:after="140"/>
      </w:pPr>
      <w:r>
        <w:rPr>
          <w:rFonts w:ascii="Arial" w:cs="Arial" w:eastAsia="Arial" w:hAnsi="Arial"/>
          <w:color w:val="2C2C2A"/>
          <w:sz w:val="22"/>
          <w:szCs w:val="22"/>
        </w:rPr>
        <w:t xml:space="preserve">Design and implement a controlled fault injection framework on a development cluster covering all seven anomaly types in the signature matrix: SDC (bit flip injection into FP registers), MPI message size corruption, rogue process injection, artificial thermal/power anomaly, filesystem metadata corruption, checkpoint bit flips, and MPI rank imbalance. This framework is the primary source of labeled training data for the classifier in T2.5.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Can each anomaly type be reliably reproduced in a controlled environment?</w:t>
            </w:r>
          </w:p>
          <w:p>
            <w:pPr>
              <w:spacing w:before="0" w:after="60"/>
            </w:pPr>
            <w:r>
              <w:rPr>
                <w:rFonts w:ascii="Arial" w:cs="Arial" w:eastAsia="Arial" w:hAnsi="Arial"/>
                <w:color w:val="2C2C2A"/>
                <w:sz w:val="20"/>
                <w:szCs w:val="20"/>
              </w:rPr>
              <w:t xml:space="preserve">What minimum fault severity is detectable via Benford deviation?</w:t>
            </w:r>
          </w:p>
          <w:p>
            <w:pPr>
              <w:spacing w:before="0" w:after="60"/>
            </w:pPr>
            <w:r>
              <w:rPr>
                <w:rFonts w:ascii="Arial" w:cs="Arial" w:eastAsia="Arial" w:hAnsi="Arial"/>
                <w:color w:val="2C2C2A"/>
                <w:sz w:val="20"/>
                <w:szCs w:val="20"/>
              </w:rPr>
              <w:t xml:space="preserve">Are fault signatures stable across different workloads?</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T1.3 (baseline library needed to distinguish injected faults from normal variation)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Reproducible injection scripts for all 7 anomaly types</w:t>
            </w:r>
          </w:p>
          <w:p>
            <w:pPr>
              <w:spacing w:before="0" w:after="60"/>
            </w:pPr>
            <w:r>
              <w:rPr>
                <w:rFonts w:ascii="Arial" w:cs="Arial" w:eastAsia="Arial" w:hAnsi="Arial"/>
                <w:color w:val="2C2C2A"/>
                <w:sz w:val="20"/>
                <w:szCs w:val="20"/>
              </w:rPr>
              <w:t xml:space="preserve">At least 50 labeled deviation vector samples per anomaly class across 3 workloads</w:t>
            </w:r>
          </w:p>
          <w:p>
            <w:pPr>
              <w:spacing w:before="0" w:after="60"/>
            </w:pPr>
            <w:r>
              <w:rPr>
                <w:rFonts w:ascii="Arial" w:cs="Arial" w:eastAsia="Arial" w:hAnsi="Arial"/>
                <w:color w:val="2C2C2A"/>
                <w:sz w:val="20"/>
                <w:szCs w:val="20"/>
              </w:rPr>
              <w:t xml:space="preserve">Documented minimum detectable fault severity per stream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Some fault types (e.g. thermal faults) cannot be safely injected on shared hardware</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synthetic power trace injection via IPMI override or simulation; document as a limitation in the thermal stream evaluation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Injected faults are detectable only at severity levels unrealistic in production</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Adjust detection sensitivity analysis to characterize the minimum detectable fault fraction, and recommend BLADE as a complementary tool to ABFT rather than a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Fault signatures differ significantly across workloads, complicating training</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Train workload-conditioned classifiers; add workload-type input feature to the classifier in T2.5</w:t>
            </w:r>
          </w:p>
        </w:tc>
      </w:tr>
    </w:tbl>
    <w:p>
      <w:pPr>
        <w:spacing w:before="120" w:after="0"/>
      </w:pPr>
    </w:p>
    <w:p>
      <w:pPr>
        <w:pStyle w:val="Heading3"/>
        <w:spacing w:before="200" w:after="80"/>
      </w:pPr>
      <w:r>
        <w:rPr>
          <w:rFonts w:ascii="Arial" w:cs="Arial" w:eastAsia="Arial" w:hAnsi="Arial"/>
          <w:b/>
          <w:bCs/>
          <w:color w:val="0F6E56"/>
          <w:sz w:val="22"/>
          <w:szCs w:val="22"/>
        </w:rPr>
        <w:t xml:space="preserve">T1.5  Sampling theory: statistical power versus overhead tradeoff</w:t>
      </w:r>
    </w:p>
    <w:p>
      <w:pPr>
        <w:spacing w:before="0" w:after="140"/>
      </w:pPr>
      <w:r>
        <w:rPr>
          <w:rFonts w:ascii="Arial" w:cs="Arial" w:eastAsia="Arial" w:hAnsi="Arial"/>
          <w:color w:val="2C2C2A"/>
          <w:sz w:val="22"/>
          <w:szCs w:val="22"/>
        </w:rPr>
        <w:t xml:space="preserve">Derive the relationship between sampling rate, window size, and detection power for each stream. Answer the key operationally critical question: at what sampling rate and window size can BLADE reliably detect each anomaly type while maintaining sub-1% overhead? This task produces the configuration parameter recommendations for all Phase 2 implementation tasks.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What sample size is required for statistically reliable MAD estimation per stream?</w:t>
            </w:r>
          </w:p>
          <w:p>
            <w:pPr>
              <w:spacing w:before="0" w:after="60"/>
            </w:pPr>
            <w:r>
              <w:rPr>
                <w:rFonts w:ascii="Arial" w:cs="Arial" w:eastAsia="Arial" w:hAnsi="Arial"/>
                <w:color w:val="2C2C2A"/>
                <w:sz w:val="20"/>
                <w:szCs w:val="20"/>
              </w:rPr>
              <w:t xml:space="preserve">What is the minimum detectable deviation at each sampling rate?</w:t>
            </w:r>
          </w:p>
          <w:p>
            <w:pPr>
              <w:spacing w:before="0" w:after="60"/>
            </w:pPr>
            <w:r>
              <w:rPr>
                <w:rFonts w:ascii="Arial" w:cs="Arial" w:eastAsia="Arial" w:hAnsi="Arial"/>
                <w:color w:val="2C2C2A"/>
                <w:sz w:val="20"/>
                <w:szCs w:val="20"/>
              </w:rPr>
              <w:t xml:space="preserve">What is the detection latency vs. false-positive rate Pareto frontier?</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T1.3 (baseline variance determines required sample sizes)</w:t>
            </w:r>
          </w:p>
          <w:p>
            <w:pPr>
              <w:spacing w:before="0" w:after="60"/>
            </w:pPr>
            <w:r>
              <w:rPr>
                <w:rFonts w:ascii="Arial" w:cs="Arial" w:eastAsia="Arial" w:hAnsi="Arial"/>
                <w:color w:val="2C2C2A"/>
                <w:sz w:val="20"/>
                <w:szCs w:val="20"/>
              </w:rPr>
              <w:t xml:space="preserve">T1.4 (fault injection data provides empirical deviation magnitudes)</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Analytical formulas or lookup tables for (sample_rate, window_size) -&gt; (detection_power, overhead) per stream</w:t>
            </w:r>
          </w:p>
          <w:p>
            <w:pPr>
              <w:spacing w:before="0" w:after="60"/>
            </w:pPr>
            <w:r>
              <w:rPr>
                <w:rFonts w:ascii="Arial" w:cs="Arial" w:eastAsia="Arial" w:hAnsi="Arial"/>
                <w:color w:val="2C2C2A"/>
                <w:sz w:val="20"/>
                <w:szCs w:val="20"/>
              </w:rPr>
              <w:t xml:space="preserve">Configuration recommendations validated on at least 2 workload classes</w:t>
            </w:r>
          </w:p>
          <w:p>
            <w:pPr>
              <w:spacing w:before="0" w:after="60"/>
            </w:pPr>
            <w:r>
              <w:rPr>
                <w:rFonts w:ascii="Arial" w:cs="Arial" w:eastAsia="Arial" w:hAnsi="Arial"/>
                <w:color w:val="2C2C2A"/>
                <w:sz w:val="20"/>
                <w:szCs w:val="20"/>
              </w:rPr>
              <w:t xml:space="preserve">Published sampling theory result as standalone contribution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Required sample sizes for reliable detection imply overhead exceeding 1% on FP-heavy codes</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Explore stratified sampling (sample more aggressively during known high-risk phases such as restart); use in-kernel histogram to amortize per-sample cost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Detection latency required for useful alerting is incompatible with statistical stability of the MAD estimate</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CUSUM or sequential probability ratio test (SPRT) as a faster-reacting alternative to fixed-window MAD</w:t>
            </w:r>
          </w:p>
        </w:tc>
      </w:tr>
    </w:tbl>
    <w:p>
      <w:pPr>
        <w:spacing w:before="120" w:after="0"/>
      </w:pPr>
    </w:p>
    <w:p>
      <w:pPr>
        <w:pStyle w:val="Heading2"/>
        <w:spacing w:before="280" w:after="120"/>
      </w:pPr>
      <w:r>
        <w:rPr>
          <w:rFonts w:ascii="Arial" w:cs="Arial" w:eastAsia="Arial" w:hAnsi="Arial"/>
          <w:b/>
          <w:bCs/>
          <w:color w:val="534AB7"/>
          <w:sz w:val="26"/>
          <w:szCs w:val="26"/>
        </w:rPr>
        <w:t xml:space="preserve">6.2  Phase 2: System Implementation (Months 10–24)</w:t>
      </w:r>
    </w:p>
    <w:p>
      <w:pPr>
        <w:spacing w:before="0" w:after="140"/>
      </w:pPr>
      <w:r>
        <w:rPr>
          <w:rFonts w:ascii="Arial" w:cs="Arial" w:eastAsia="Arial" w:hAnsi="Arial"/>
          <w:color w:val="2C2C2A"/>
          <w:sz w:val="22"/>
          <w:szCs w:val="22"/>
        </w:rPr>
        <w:t xml:space="preserve">Phase 2 implements the BLADE software stack, beginning with telemetry collection (T2.1–T2.3), progressing to the analysis engine (T2.4–T2.5), and completing with the classifier and false-positive mitigation (T2.6–T2.7). Note that T2.1 begins in month 10, overlapping with the tail of Phase 1, as the eBPF infrastructure can be developed in parallel with the sampling theory work.</w:t>
      </w:r>
    </w:p>
    <w:p>
      <w:pPr>
        <w:spacing w:before="80" w:after="0"/>
      </w:pPr>
    </w:p>
    <w:p>
      <w:pPr>
        <w:pStyle w:val="Heading3"/>
        <w:spacing w:before="200" w:after="80"/>
      </w:pPr>
      <w:r>
        <w:rPr>
          <w:rFonts w:ascii="Arial" w:cs="Arial" w:eastAsia="Arial" w:hAnsi="Arial"/>
          <w:b/>
          <w:bCs/>
          <w:color w:val="0F6E56"/>
          <w:sz w:val="22"/>
          <w:szCs w:val="22"/>
        </w:rPr>
        <w:t xml:space="preserve">T2.1  eBPF probe suite: FP, I/O, and checkpoint streams</w:t>
      </w:r>
    </w:p>
    <w:p>
      <w:pPr>
        <w:spacing w:before="0" w:after="140"/>
      </w:pPr>
      <w:r>
        <w:rPr>
          <w:rFonts w:ascii="Arial" w:cs="Arial" w:eastAsia="Arial" w:hAnsi="Arial"/>
          <w:color w:val="2C2C2A"/>
          <w:sz w:val="22"/>
          <w:szCs w:val="22"/>
        </w:rPr>
        <w:t xml:space="preserve">Implement eBPF-based telemetry probes for the three streams requiring kernel-level instrumentation: floating-point outputs (uprobe on mathematical library entry points), I/O block sizes (kprobe on pwrite64/pread64 syscalls), and checkpoint fields (kprobe on write syscalls filtered by checkpoint file path patterns). All probes maintain leading-digit histograms in BPF hash maps and flush to ring buffers at configurable intervals, minimizing user-space crossing cost. This work builds directly on prior ring buffer and perf event array transport infrastructure.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Can FP leading digits be extracted in-kernel with negligible per-sample cost?</w:t>
            </w:r>
          </w:p>
          <w:p>
            <w:pPr>
              <w:spacing w:before="0" w:after="60"/>
            </w:pPr>
            <w:r>
              <w:rPr>
                <w:rFonts w:ascii="Arial" w:cs="Arial" w:eastAsia="Arial" w:hAnsi="Arial"/>
                <w:color w:val="2C2C2A"/>
                <w:sz w:val="20"/>
                <w:szCs w:val="20"/>
              </w:rPr>
              <w:t xml:space="preserve">What is the actual overhead of ring-buffer-based histogram export at production sample rates?</w:t>
            </w:r>
          </w:p>
          <w:p>
            <w:pPr>
              <w:spacing w:before="0" w:after="60"/>
            </w:pPr>
            <w:r>
              <w:rPr>
                <w:rFonts w:ascii="Arial" w:cs="Arial" w:eastAsia="Arial" w:hAnsi="Arial"/>
                <w:color w:val="2C2C2A"/>
                <w:sz w:val="20"/>
                <w:szCs w:val="20"/>
              </w:rPr>
              <w:t xml:space="preserve">Can checkpoint writes be reliably distinguished from other file I/O without application instrumentation?</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T1.5 (sampling rate parameters)</w:t>
            </w:r>
          </w:p>
          <w:p>
            <w:pPr>
              <w:spacing w:before="0" w:after="60"/>
            </w:pPr>
            <w:r>
              <w:rPr>
                <w:rFonts w:ascii="Arial" w:cs="Arial" w:eastAsia="Arial" w:hAnsi="Arial"/>
                <w:color w:val="2C2C2A"/>
                <w:sz w:val="20"/>
                <w:szCs w:val="20"/>
              </w:rPr>
              <w:t xml:space="preserve">T1.3 (workload fingerprint library for overhead measurement baseline)</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FP, I/O, and checkpoint probes functional on Linux kernel &gt;= 5.15</w:t>
            </w:r>
          </w:p>
          <w:p>
            <w:pPr>
              <w:spacing w:before="0" w:after="60"/>
            </w:pPr>
            <w:r>
              <w:rPr>
                <w:rFonts w:ascii="Arial" w:cs="Arial" w:eastAsia="Arial" w:hAnsi="Arial"/>
                <w:color w:val="2C2C2A"/>
                <w:sz w:val="20"/>
                <w:szCs w:val="20"/>
              </w:rPr>
              <w:t xml:space="preserve">Measured overhead &lt; 1% on HPCG and AMG at recommended sample rates</w:t>
            </w:r>
          </w:p>
          <w:p>
            <w:pPr>
              <w:spacing w:before="0" w:after="60"/>
            </w:pPr>
            <w:r>
              <w:rPr>
                <w:rFonts w:ascii="Arial" w:cs="Arial" w:eastAsia="Arial" w:hAnsi="Arial"/>
                <w:color w:val="2C2C2A"/>
                <w:sz w:val="20"/>
                <w:szCs w:val="20"/>
              </w:rPr>
              <w:t xml:space="preserve">False-trigger rate for checkpoint detection &lt; 0.1% of total write events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uprobe attachment to math library symbols fails on statically-linked or stripped binaries</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Provide alternative PMPI-style interposer for FP sampling as a fallback; document static-binary limitation in deployment guide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In-kernel histogram BPF map size exceeds verifier limits at high concurrency</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per-CPU BPF arrays instead of hash maps; merge in userspace during flush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Kernel version heterogeneity across HPC sites prevents portable eBPF deployment</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Target CO-RE (Compile Once, Run Everywhere) BTF-based eBPF; provide kernel &gt;= 5.8 as minimum supported version with documented fallback to perf event sampling</w:t>
            </w:r>
          </w:p>
        </w:tc>
      </w:tr>
    </w:tbl>
    <w:p>
      <w:pPr>
        <w:spacing w:before="120" w:after="0"/>
      </w:pPr>
    </w:p>
    <w:p>
      <w:pPr>
        <w:pStyle w:val="Heading3"/>
        <w:spacing w:before="200" w:after="80"/>
      </w:pPr>
      <w:r>
        <w:rPr>
          <w:rFonts w:ascii="Arial" w:cs="Arial" w:eastAsia="Arial" w:hAnsi="Arial"/>
          <w:b/>
          <w:bCs/>
          <w:color w:val="0F6E56"/>
          <w:sz w:val="22"/>
          <w:szCs w:val="22"/>
        </w:rPr>
        <w:t xml:space="preserve">T2.2  PMPI intercept layer: MPI message stream</w:t>
      </w:r>
    </w:p>
    <w:p>
      <w:pPr>
        <w:spacing w:before="0" w:after="140"/>
      </w:pPr>
      <w:r>
        <w:rPr>
          <w:rFonts w:ascii="Arial" w:cs="Arial" w:eastAsia="Arial" w:hAnsi="Arial"/>
          <w:color w:val="2C2C2A"/>
          <w:sz w:val="22"/>
          <w:szCs w:val="22"/>
        </w:rPr>
        <w:t xml:space="preserve">Implement a PMPI profiling layer (injected via LD_PRELOAD) that intercepts MPI point-to-point and collective operations, extracts byte-count message sizes, and feeds leading-digit counts to the BLADE analysis engine. The interceptor must be compatible with OpenMPI, MPICH, and Cray MPICH, and must not interfere with existing profiling tools (Tau, Score-P, Darshan) loaded in the same profiling stack.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Is the PMPI intercept approach compatible with production MPI stacks across major HPC sites?</w:t>
            </w:r>
          </w:p>
          <w:p>
            <w:pPr>
              <w:spacing w:before="0" w:after="60"/>
            </w:pPr>
            <w:r>
              <w:rPr>
                <w:rFonts w:ascii="Arial" w:cs="Arial" w:eastAsia="Arial" w:hAnsi="Arial"/>
                <w:color w:val="2C2C2A"/>
                <w:sz w:val="20"/>
                <w:szCs w:val="20"/>
              </w:rPr>
              <w:t xml:space="preserve">What is the overhead of per-message leading-digit extraction at 100K+ messages/second?</w:t>
            </w:r>
          </w:p>
          <w:p>
            <w:pPr>
              <w:spacing w:before="0" w:after="60"/>
            </w:pPr>
            <w:r>
              <w:rPr>
                <w:rFonts w:ascii="Arial" w:cs="Arial" w:eastAsia="Arial" w:hAnsi="Arial"/>
                <w:color w:val="2C2C2A"/>
                <w:sz w:val="20"/>
                <w:szCs w:val="20"/>
              </w:rPr>
              <w:t xml:space="preserve">Can the MPI stream coexist with other PMPI tools in the profiling stack?</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T1.5 (sampling rate parameters)</w:t>
            </w:r>
          </w:p>
          <w:p>
            <w:pPr>
              <w:spacing w:before="0" w:after="60"/>
            </w:pPr>
            <w:r>
              <w:rPr>
                <w:rFonts w:ascii="Arial" w:cs="Arial" w:eastAsia="Arial" w:hAnsi="Arial"/>
                <w:color w:val="2C2C2A"/>
                <w:sz w:val="20"/>
                <w:szCs w:val="20"/>
              </w:rPr>
              <w:t xml:space="preserve">T1.2 (MPI conformance characterization)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PMPI layer tested against OpenMPI 4.x, MPICH 4.x, and Cray MPICH</w:t>
            </w:r>
          </w:p>
          <w:p>
            <w:pPr>
              <w:spacing w:before="0" w:after="60"/>
            </w:pPr>
            <w:r>
              <w:rPr>
                <w:rFonts w:ascii="Arial" w:cs="Arial" w:eastAsia="Arial" w:hAnsi="Arial"/>
                <w:color w:val="2C2C2A"/>
                <w:sz w:val="20"/>
                <w:szCs w:val="20"/>
              </w:rPr>
              <w:t xml:space="preserve">Overhead &lt; 0.5% on collective-heavy benchmarks (OSU MPI benchmarks, AMG)</w:t>
            </w:r>
          </w:p>
          <w:p>
            <w:pPr>
              <w:spacing w:before="0" w:after="60"/>
            </w:pPr>
            <w:r>
              <w:rPr>
                <w:rFonts w:ascii="Arial" w:cs="Arial" w:eastAsia="Arial" w:hAnsi="Arial"/>
                <w:color w:val="2C2C2A"/>
                <w:sz w:val="20"/>
                <w:szCs w:val="20"/>
              </w:rPr>
              <w:t xml:space="preserve">Confirmed compatibility with Darshan and at least one performance profiler (TAU or Score-P)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Profiling stack conflicts cause MPI failures or incorrect behavior when BLADE is loaded alongside Darshan</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Implement BLADE as a Darshan module rather than standalone PMPI layer; contribute upstream to Darshan project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Message sizes in collective operations are not exposed at the PMPI layer in all MPI implementations</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internal MPI type size queries (MPI_Type_size) to compute byte counts from count+datatype pairs at all collective intercept points</w:t>
            </w:r>
          </w:p>
        </w:tc>
      </w:tr>
    </w:tbl>
    <w:p>
      <w:pPr>
        <w:spacing w:before="120" w:after="0"/>
      </w:pPr>
    </w:p>
    <w:p>
      <w:pPr>
        <w:pStyle w:val="Heading3"/>
        <w:spacing w:before="200" w:after="80"/>
      </w:pPr>
      <w:r>
        <w:rPr>
          <w:rFonts w:ascii="Arial" w:cs="Arial" w:eastAsia="Arial" w:hAnsi="Arial"/>
          <w:b/>
          <w:bCs/>
          <w:color w:val="0F6E56"/>
          <w:sz w:val="22"/>
          <w:szCs w:val="22"/>
        </w:rPr>
        <w:t xml:space="preserve">T2.3  Power and thermal telemetry integration</w:t>
      </w:r>
    </w:p>
    <w:p>
      <w:pPr>
        <w:spacing w:before="0" w:after="140"/>
      </w:pPr>
      <w:r>
        <w:rPr>
          <w:rFonts w:ascii="Arial" w:cs="Arial" w:eastAsia="Arial" w:hAnsi="Arial"/>
          <w:color w:val="2C2C2A"/>
          <w:sz w:val="22"/>
          <w:szCs w:val="22"/>
        </w:rPr>
        <w:t xml:space="preserve">Integrate with facility power monitoring infrastructure (Redfish BMC API on HPE systems, IPMI on others) to collect per-node power readings at 1 Hz resolution. Implement the node-level aggregation that builds the system-wide power distribution for Benford analysis. Design the integration to function without root privileges by leveraging SLURM's existing energy accounting infrastructure where available.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Can per-node power distributions from Redfish/IPMI provide reliable Benford conformance signals?</w:t>
            </w:r>
          </w:p>
          <w:p>
            <w:pPr>
              <w:spacing w:before="0" w:after="60"/>
            </w:pPr>
            <w:r>
              <w:rPr>
                <w:rFonts w:ascii="Arial" w:cs="Arial" w:eastAsia="Arial" w:hAnsi="Arial"/>
                <w:color w:val="2C2C2A"/>
                <w:sz w:val="20"/>
                <w:szCs w:val="20"/>
              </w:rPr>
              <w:t xml:space="preserve">What resolution and polling rate are required for thermal fault detection?</w:t>
            </w:r>
          </w:p>
          <w:p>
            <w:pPr>
              <w:spacing w:before="0" w:after="60"/>
            </w:pPr>
            <w:r>
              <w:rPr>
                <w:rFonts w:ascii="Arial" w:cs="Arial" w:eastAsia="Arial" w:hAnsi="Arial"/>
                <w:color w:val="2C2C2A"/>
                <w:sz w:val="20"/>
                <w:szCs w:val="20"/>
              </w:rPr>
              <w:t xml:space="preserve">Can BLADE power monitoring be integrated with SLURM energy accounting without additional privilege?</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T1.2 (power stream conformance characterization)</w:t>
            </w:r>
          </w:p>
          <w:p>
            <w:pPr>
              <w:spacing w:before="0" w:after="60"/>
            </w:pPr>
            <w:r>
              <w:rPr>
                <w:rFonts w:ascii="Arial" w:cs="Arial" w:eastAsia="Arial" w:hAnsi="Arial"/>
                <w:color w:val="2C2C2A"/>
                <w:sz w:val="20"/>
                <w:szCs w:val="20"/>
              </w:rPr>
              <w:t xml:space="preserve">T1.5 (sampling rate parameters)</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Redfish and IPMI integrations functional and tested on at least two hardware platforms</w:t>
            </w:r>
          </w:p>
          <w:p>
            <w:pPr>
              <w:spacing w:before="0" w:after="60"/>
            </w:pPr>
            <w:r>
              <w:rPr>
                <w:rFonts w:ascii="Arial" w:cs="Arial" w:eastAsia="Arial" w:hAnsi="Arial"/>
                <w:color w:val="2C2C2A"/>
                <w:sz w:val="20"/>
                <w:szCs w:val="20"/>
              </w:rPr>
              <w:t xml:space="preserve">Power stream Benford anomaly detection validated against injected thermal fault signatures from T1.4</w:t>
            </w:r>
          </w:p>
          <w:p>
            <w:pPr>
              <w:spacing w:before="0" w:after="60"/>
            </w:pPr>
            <w:r>
              <w:rPr>
                <w:rFonts w:ascii="Arial" w:cs="Arial" w:eastAsia="Arial" w:hAnsi="Arial"/>
                <w:color w:val="2C2C2A"/>
                <w:sz w:val="20"/>
                <w:szCs w:val="20"/>
              </w:rPr>
              <w:t xml:space="preserve">Unprivileged deployment path via SLURM energy accounting documented and tested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Redfish API polling rate is limited to 1 Hz, insufficient for fast thermal transient detection</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1 Hz as the maximum achievable rate; characterize minimum detectable fault duration in T1.5; recommend BLADE as a medium-latency detector complementing fast hardware ECC for this stream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IPMI is deprecated on newer hardware generations (HPE Gen11+); no unprivileged power access</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Prioritize Redfish integration; engage HPE and AMD on unprivileged power telemetry API access for exascale platforms</w:t>
            </w:r>
          </w:p>
        </w:tc>
      </w:tr>
    </w:tbl>
    <w:p>
      <w:pPr>
        <w:spacing w:before="120" w:after="0"/>
      </w:pPr>
    </w:p>
    <w:p>
      <w:pPr>
        <w:pStyle w:val="Heading3"/>
        <w:spacing w:before="200" w:after="80"/>
      </w:pPr>
      <w:r>
        <w:rPr>
          <w:rFonts w:ascii="Arial" w:cs="Arial" w:eastAsia="Arial" w:hAnsi="Arial"/>
          <w:b/>
          <w:bCs/>
          <w:color w:val="0F6E56"/>
          <w:sz w:val="22"/>
          <w:szCs w:val="22"/>
        </w:rPr>
        <w:t xml:space="preserve">T2.4  Online MAD streaming algorithm</w:t>
      </w:r>
    </w:p>
    <w:p>
      <w:pPr>
        <w:spacing w:before="0" w:after="140"/>
      </w:pPr>
      <w:r>
        <w:rPr>
          <w:rFonts w:ascii="Arial" w:cs="Arial" w:eastAsia="Arial" w:hAnsi="Arial"/>
          <w:color w:val="2C2C2A"/>
          <w:sz w:val="22"/>
          <w:szCs w:val="22"/>
        </w:rPr>
        <w:t xml:space="preserve">Implement the core streaming MAD computation algorithm for all five streams. Each stream maintains a sliding window leading-digit histogram. At each reporting interval the histogram is normalized, compared against the workload-specific Benford baseline from the fingerprint library (T1.3), and a MAD score is emitted. The five per-stream MAD scores are assembled into a deviation vector and written to a shared-memory ring buffer for consumption by the classifier (T2.5). Implement configurable window sizes and sampling rates per stream based on T1.5 recommendations.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Can the rolling MAD computation be maintained at O(1) per sample and O(1) per reporting interval?</w:t>
            </w:r>
          </w:p>
          <w:p>
            <w:pPr>
              <w:spacing w:before="0" w:after="60"/>
            </w:pPr>
            <w:r>
              <w:rPr>
                <w:rFonts w:ascii="Arial" w:cs="Arial" w:eastAsia="Arial" w:hAnsi="Arial"/>
                <w:color w:val="2C2C2A"/>
                <w:sz w:val="20"/>
                <w:szCs w:val="20"/>
              </w:rPr>
              <w:t xml:space="preserve">What is the memory footprint of the histogram state per stream at production sample rates?</w:t>
            </w:r>
          </w:p>
          <w:p>
            <w:pPr>
              <w:spacing w:before="0" w:after="60"/>
            </w:pPr>
            <w:r>
              <w:rPr>
                <w:rFonts w:ascii="Arial" w:cs="Arial" w:eastAsia="Arial" w:hAnsi="Arial"/>
                <w:color w:val="2C2C2A"/>
                <w:sz w:val="20"/>
                <w:szCs w:val="20"/>
              </w:rPr>
              <w:t xml:space="preserve">Is the deviation vector sufficiently stable across reporting intervals to support reliable classification?</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T1.3 (fingerprint library provides expected baselines)</w:t>
            </w:r>
          </w:p>
          <w:p>
            <w:pPr>
              <w:spacing w:before="0" w:after="60"/>
            </w:pPr>
            <w:r>
              <w:rPr>
                <w:rFonts w:ascii="Arial" w:cs="Arial" w:eastAsia="Arial" w:hAnsi="Arial"/>
                <w:color w:val="2C2C2A"/>
                <w:sz w:val="20"/>
                <w:szCs w:val="20"/>
              </w:rPr>
              <w:t xml:space="preserve">T1.5 (sampling parameters)</w:t>
            </w:r>
          </w:p>
          <w:p>
            <w:pPr>
              <w:spacing w:before="0" w:after="60"/>
            </w:pPr>
            <w:r>
              <w:rPr>
                <w:rFonts w:ascii="Arial" w:cs="Arial" w:eastAsia="Arial" w:hAnsi="Arial"/>
                <w:color w:val="2C2C2A"/>
                <w:sz w:val="20"/>
                <w:szCs w:val="20"/>
              </w:rPr>
              <w:t xml:space="preserve">T2.1, T2.2, T2.3 (telemetry feeds)</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O(1) per-sample update and O(9) per-interval MAD computation verified</w:t>
            </w:r>
          </w:p>
          <w:p>
            <w:pPr>
              <w:spacing w:before="0" w:after="60"/>
            </w:pPr>
            <w:r>
              <w:rPr>
                <w:rFonts w:ascii="Arial" w:cs="Arial" w:eastAsia="Arial" w:hAnsi="Arial"/>
                <w:color w:val="2C2C2A"/>
                <w:sz w:val="20"/>
                <w:szCs w:val="20"/>
              </w:rPr>
              <w:t xml:space="preserve">Memory footprint per stream &lt; 1 KB</w:t>
            </w:r>
          </w:p>
          <w:p>
            <w:pPr>
              <w:spacing w:before="0" w:after="60"/>
            </w:pPr>
            <w:r>
              <w:rPr>
                <w:rFonts w:ascii="Arial" w:cs="Arial" w:eastAsia="Arial" w:hAnsi="Arial"/>
                <w:color w:val="2C2C2A"/>
                <w:sz w:val="20"/>
                <w:szCs w:val="20"/>
              </w:rPr>
              <w:t xml:space="preserve">Deviation vector temporal autocorrelation characterized for at least 3 workloads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Workload phase changes cause deviation vector instability that confounds the classifier</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Add exponential moving average smoothing to the deviation vector; tune smoothing coefficient per stream in T1.5</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Synchronization of per-node stream data into a system-level vector adds unacceptable latency</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asynchronous aggregation with a configurable staleness tolerance; document the latency-accuracy tradeoff</w:t>
            </w:r>
          </w:p>
        </w:tc>
      </w:tr>
    </w:tbl>
    <w:p>
      <w:pPr>
        <w:spacing w:before="120" w:after="0"/>
      </w:pPr>
    </w:p>
    <w:p>
      <w:pPr>
        <w:pStyle w:val="Heading3"/>
        <w:spacing w:before="200" w:after="80"/>
      </w:pPr>
      <w:r>
        <w:rPr>
          <w:rFonts w:ascii="Arial" w:cs="Arial" w:eastAsia="Arial" w:hAnsi="Arial"/>
          <w:b/>
          <w:bCs/>
          <w:color w:val="0F6E56"/>
          <w:sz w:val="22"/>
          <w:szCs w:val="22"/>
        </w:rPr>
        <w:t xml:space="preserve">T2.5  Anomaly classifier</w:t>
      </w:r>
    </w:p>
    <w:p>
      <w:pPr>
        <w:spacing w:before="0" w:after="140"/>
      </w:pPr>
      <w:r>
        <w:rPr>
          <w:rFonts w:ascii="Arial" w:cs="Arial" w:eastAsia="Arial" w:hAnsi="Arial"/>
          <w:color w:val="2C2C2A"/>
          <w:sz w:val="22"/>
          <w:szCs w:val="22"/>
        </w:rPr>
        <w:t xml:space="preserve">Train and evaluate anomaly classifiers using the labeled deviation vector dataset from T1.4. Evaluate three classifier families: decision trees (interpretable, zero runtime cost), logistic regression (linear separation, fast inference), and a shallow MLP (2 hidden layers, handles nonlinear signatures). Select the production classifier based on the accuracy-latency-interpretability tradeoff. Additionally train an out-of-distribution detector to flag deviation vectors that match no known anomaly signature, enabling detection of novel fault types.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Are the seven anomaly classes linearly separable in deviation-vector space?</w:t>
            </w:r>
          </w:p>
          <w:p>
            <w:pPr>
              <w:spacing w:before="0" w:after="60"/>
            </w:pPr>
            <w:r>
              <w:rPr>
                <w:rFonts w:ascii="Arial" w:cs="Arial" w:eastAsia="Arial" w:hAnsi="Arial"/>
                <w:color w:val="2C2C2A"/>
                <w:sz w:val="20"/>
                <w:szCs w:val="20"/>
              </w:rPr>
              <w:t xml:space="preserve">What classification accuracy is achievable at production deviation vector sampling rates?</w:t>
            </w:r>
          </w:p>
          <w:p>
            <w:pPr>
              <w:spacing w:before="0" w:after="60"/>
            </w:pPr>
            <w:r>
              <w:rPr>
                <w:rFonts w:ascii="Arial" w:cs="Arial" w:eastAsia="Arial" w:hAnsi="Arial"/>
                <w:color w:val="2C2C2A"/>
                <w:sz w:val="20"/>
                <w:szCs w:val="20"/>
              </w:rPr>
              <w:t xml:space="preserve">Can the classifier generalize across workload classes without retraining?</w:t>
            </w:r>
          </w:p>
          <w:p>
            <w:pPr>
              <w:spacing w:before="0" w:after="60"/>
            </w:pPr>
            <w:r>
              <w:rPr>
                <w:rFonts w:ascii="Arial" w:cs="Arial" w:eastAsia="Arial" w:hAnsi="Arial"/>
                <w:color w:val="2C2C2A"/>
                <w:sz w:val="20"/>
                <w:szCs w:val="20"/>
              </w:rPr>
              <w:t xml:space="preserve">How sensitive is classification accuracy to training set size?</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T1.4 (labeled fault injection dataset)</w:t>
            </w:r>
          </w:p>
          <w:p>
            <w:pPr>
              <w:spacing w:before="0" w:after="60"/>
            </w:pPr>
            <w:r>
              <w:rPr>
                <w:rFonts w:ascii="Arial" w:cs="Arial" w:eastAsia="Arial" w:hAnsi="Arial"/>
                <w:color w:val="2C2C2A"/>
                <w:sz w:val="20"/>
                <w:szCs w:val="20"/>
              </w:rPr>
              <w:t xml:space="preserve">T2.4 (deviation vector format and stability characterization)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Classification accuracy &gt;= 90% across all 7 classes on held-out test set</w:t>
            </w:r>
          </w:p>
          <w:p>
            <w:pPr>
              <w:spacing w:before="0" w:after="60"/>
            </w:pPr>
            <w:r>
              <w:rPr>
                <w:rFonts w:ascii="Arial" w:cs="Arial" w:eastAsia="Arial" w:hAnsi="Arial"/>
                <w:color w:val="2C2C2A"/>
                <w:sz w:val="20"/>
                <w:szCs w:val="20"/>
              </w:rPr>
              <w:t xml:space="preserve">Inference latency &lt; 1 ms per deviation vector</w:t>
            </w:r>
          </w:p>
          <w:p>
            <w:pPr>
              <w:spacing w:before="0" w:after="60"/>
            </w:pPr>
            <w:r>
              <w:rPr>
                <w:rFonts w:ascii="Arial" w:cs="Arial" w:eastAsia="Arial" w:hAnsi="Arial"/>
                <w:color w:val="2C2C2A"/>
                <w:sz w:val="20"/>
                <w:szCs w:val="20"/>
              </w:rPr>
              <w:t xml:space="preserve">Accuracy degradation &lt; 5% when tested on a workload class absent from training data</w:t>
            </w:r>
          </w:p>
          <w:p>
            <w:pPr>
              <w:spacing w:before="0" w:after="60"/>
            </w:pPr>
            <w:r>
              <w:rPr>
                <w:rFonts w:ascii="Arial" w:cs="Arial" w:eastAsia="Arial" w:hAnsi="Arial"/>
                <w:color w:val="2C2C2A"/>
                <w:sz w:val="20"/>
                <w:szCs w:val="20"/>
              </w:rPr>
              <w:t xml:space="preserve">Out-of-distribution detector false-positive rate &lt; 1% on clean workload runs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Insufficient labeled training data for rare fault types (checkpoint corruption, thermal faults)</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Augment training data with synthetic deviation vectors generated by perturbing empirical fault signatures; validate augmentation quality against real injected fault vectors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Classifier overfits to specific workload signatures seen during training</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Train with workload-type conditioning; evaluate cross-workload generalization explicitly as a primary metric; use regularized models (L2-penalized LR, pruned trees)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Novel anomaly types in production do not trigger the OOD detector</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Set conservative OOD threshold; instrument production deployments to log all near-threshold deviation vectors for periodic retraining</w:t>
            </w:r>
          </w:p>
        </w:tc>
      </w:tr>
    </w:tbl>
    <w:p>
      <w:pPr>
        <w:spacing w:before="120" w:after="0"/>
      </w:pPr>
    </w:p>
    <w:p>
      <w:pPr>
        <w:pStyle w:val="Heading3"/>
        <w:spacing w:before="200" w:after="80"/>
      </w:pPr>
      <w:r>
        <w:rPr>
          <w:rFonts w:ascii="Arial" w:cs="Arial" w:eastAsia="Arial" w:hAnsi="Arial"/>
          <w:b/>
          <w:bCs/>
          <w:color w:val="0F6E56"/>
          <w:sz w:val="22"/>
          <w:szCs w:val="22"/>
        </w:rPr>
        <w:t xml:space="preserve">T2.6  Transient suppression state machine</w:t>
      </w:r>
    </w:p>
    <w:p>
      <w:pPr>
        <w:spacing w:before="0" w:after="140"/>
      </w:pPr>
      <w:r>
        <w:rPr>
          <w:rFonts w:ascii="Arial" w:cs="Arial" w:eastAsia="Arial" w:hAnsi="Arial"/>
          <w:color w:val="2C2C2A"/>
          <w:sz w:val="22"/>
          <w:szCs w:val="22"/>
        </w:rPr>
        <w:t xml:space="preserve">Design and implement a state machine that suppresses false-positive alerts caused by legitimate transient Benford non-conformance — phase transitions in materials simulations, shock fronts in CFD codes, sparse solver convergence events, and checkpoint write bursts. The state machine is informed by workload phase annotations from SLURM job scripts and runtime application signals (PMIx events). This task requires the first systematic survey of transient Benford non-conformance in HPC codes, which is itself a publishable contribution.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What HPC workload events cause transient Benford non-conformance, and how long do they last?</w:t>
            </w:r>
          </w:p>
          <w:p>
            <w:pPr>
              <w:spacing w:before="0" w:after="60"/>
            </w:pPr>
            <w:r>
              <w:rPr>
                <w:rFonts w:ascii="Arial" w:cs="Arial" w:eastAsia="Arial" w:hAnsi="Arial"/>
                <w:color w:val="2C2C2A"/>
                <w:sz w:val="20"/>
                <w:szCs w:val="20"/>
              </w:rPr>
              <w:t xml:space="preserve">Can transient events be predicted far enough in advance to suppress alerts proactively?</w:t>
            </w:r>
          </w:p>
          <w:p>
            <w:pPr>
              <w:spacing w:before="0" w:after="60"/>
            </w:pPr>
            <w:r>
              <w:rPr>
                <w:rFonts w:ascii="Arial" w:cs="Arial" w:eastAsia="Arial" w:hAnsi="Arial"/>
                <w:color w:val="2C2C2A"/>
                <w:sz w:val="20"/>
                <w:szCs w:val="20"/>
              </w:rPr>
              <w:t xml:space="preserve">What is the false-positive rate of BLADE without suppression, and how much does suppression reduce it?</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T1.3 (workload fingerprint characterization reveals transient events)</w:t>
            </w:r>
          </w:p>
          <w:p>
            <w:pPr>
              <w:spacing w:before="0" w:after="60"/>
            </w:pPr>
            <w:r>
              <w:rPr>
                <w:rFonts w:ascii="Arial" w:cs="Arial" w:eastAsia="Arial" w:hAnsi="Arial"/>
                <w:color w:val="2C2C2A"/>
                <w:sz w:val="20"/>
                <w:szCs w:val="20"/>
              </w:rPr>
              <w:t xml:space="preserve">T2.4 (deviation vector time series needed to characterize transient patterns)</w:t>
            </w:r>
          </w:p>
          <w:p>
            <w:pPr>
              <w:spacing w:before="0" w:after="60"/>
            </w:pPr>
            <w:r>
              <w:rPr>
                <w:rFonts w:ascii="Arial" w:cs="Arial" w:eastAsia="Arial" w:hAnsi="Arial"/>
                <w:color w:val="2C2C2A"/>
                <w:sz w:val="20"/>
                <w:szCs w:val="20"/>
              </w:rPr>
              <w:t xml:space="preserve">T2.5 (classifier provides baseline false-positive rate to improve upon)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Catalog of transient non-conformance events for at least 6 benchmark codes</w:t>
            </w:r>
          </w:p>
          <w:p>
            <w:pPr>
              <w:spacing w:before="0" w:after="60"/>
            </w:pPr>
            <w:r>
              <w:rPr>
                <w:rFonts w:ascii="Arial" w:cs="Arial" w:eastAsia="Arial" w:hAnsi="Arial"/>
                <w:color w:val="2C2C2A"/>
                <w:sz w:val="20"/>
                <w:szCs w:val="20"/>
              </w:rPr>
              <w:t xml:space="preserve">State machine reduces false-positive rate by &gt;= 80% relative to unsuppressed BLADE</w:t>
            </w:r>
          </w:p>
          <w:p>
            <w:pPr>
              <w:spacing w:before="0" w:after="60"/>
            </w:pPr>
            <w:r>
              <w:rPr>
                <w:rFonts w:ascii="Arial" w:cs="Arial" w:eastAsia="Arial" w:hAnsi="Arial"/>
                <w:color w:val="2C2C2A"/>
                <w:sz w:val="20"/>
                <w:szCs w:val="20"/>
              </w:rPr>
              <w:t xml:space="preserve">No increase in missed detection rate due to suppression (verified on T1.4 fault injection dataset)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Transient events are indistinguishable from genuine anomalies in the deviation vector</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Use multi-stream correlation: genuine anomalies typically affect 2+ streams while many transients are single-stream; rely on cross-stream corroboration before alerting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Application phase annotation via PMIx is not available on all target platforms</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Implement unsupervised transient detection using deviation vector autocorrelation as a fallback; PMIx annotation is an enhancement, not a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Adversarial timing of attacks to coincide with known transient windows</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Add anomaly persistence check: if deviation persists beyond the expected transient duration, alert regardless of state machine suppression</w:t>
            </w:r>
          </w:p>
        </w:tc>
      </w:tr>
    </w:tbl>
    <w:p>
      <w:pPr>
        <w:spacing w:before="120" w:after="0"/>
      </w:pPr>
    </w:p>
    <w:p>
      <w:pPr>
        <w:pStyle w:val="Heading2"/>
        <w:spacing w:before="280" w:after="120"/>
      </w:pPr>
      <w:r>
        <w:rPr>
          <w:rFonts w:ascii="Arial" w:cs="Arial" w:eastAsia="Arial" w:hAnsi="Arial"/>
          <w:b/>
          <w:bCs/>
          <w:color w:val="534AB7"/>
          <w:sz w:val="26"/>
          <w:szCs w:val="26"/>
        </w:rPr>
        <w:t xml:space="preserve">6.3  Phase 3: Validation and Dissemination (Months 22–36)</w:t>
      </w:r>
    </w:p>
    <w:p>
      <w:pPr>
        <w:spacing w:before="0" w:after="140"/>
      </w:pPr>
      <w:r>
        <w:rPr>
          <w:rFonts w:ascii="Arial" w:cs="Arial" w:eastAsia="Arial" w:hAnsi="Arial"/>
          <w:color w:val="2C2C2A"/>
          <w:sz w:val="22"/>
          <w:szCs w:val="22"/>
        </w:rPr>
        <w:t xml:space="preserve">Phase 3 integrates all components into a deployable system, validates BLADE on progressively larger systems, performs comparative evaluation, and targets primary publication. T3.1 begins in month 22, overlapping with the completion of T2.6, to allow early integration testing to surface implementation issues before the leadership-class evaluation campaign.</w:t>
      </w:r>
    </w:p>
    <w:p>
      <w:pPr>
        <w:spacing w:before="80" w:after="0"/>
      </w:pPr>
    </w:p>
    <w:p>
      <w:pPr>
        <w:pStyle w:val="Heading3"/>
        <w:spacing w:before="200" w:after="80"/>
      </w:pPr>
      <w:r>
        <w:rPr>
          <w:rFonts w:ascii="Arial" w:cs="Arial" w:eastAsia="Arial" w:hAnsi="Arial"/>
          <w:b/>
          <w:bCs/>
          <w:color w:val="0F6E56"/>
          <w:sz w:val="22"/>
          <w:szCs w:val="22"/>
        </w:rPr>
        <w:t xml:space="preserve">T3.1  System integration and mid-scale cluster evaluation</w:t>
      </w:r>
    </w:p>
    <w:p>
      <w:pPr>
        <w:spacing w:before="0" w:after="140"/>
      </w:pPr>
      <w:r>
        <w:rPr>
          <w:rFonts w:ascii="Arial" w:cs="Arial" w:eastAsia="Arial" w:hAnsi="Arial"/>
          <w:color w:val="2C2C2A"/>
          <w:sz w:val="22"/>
          <w:szCs w:val="22"/>
        </w:rPr>
        <w:t xml:space="preserve">Integrate all BLADE components into a unified daemon with a SLURM job prologue/epilogue interface. Deploy on a development cluster of 500–1000 nodes running representative production workloads. Measure end-to-end detection latency, false-positive rate, classification accuracy, and aggregate system monitoring overhead. This evaluation validates the system design before committing to a leadership-class allocation.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Does the integrated system achieve the detection latency and overhead targets in a realistic deployment?</w:t>
            </w:r>
          </w:p>
          <w:p>
            <w:pPr>
              <w:spacing w:before="0" w:after="60"/>
            </w:pPr>
            <w:r>
              <w:rPr>
                <w:rFonts w:ascii="Arial" w:cs="Arial" w:eastAsia="Arial" w:hAnsi="Arial"/>
                <w:color w:val="2C2C2A"/>
                <w:sz w:val="20"/>
                <w:szCs w:val="20"/>
              </w:rPr>
              <w:t xml:space="preserve">Are there component integration issues not visible in unit testing?</w:t>
            </w:r>
          </w:p>
          <w:p>
            <w:pPr>
              <w:spacing w:before="0" w:after="60"/>
            </w:pPr>
            <w:r>
              <w:rPr>
                <w:rFonts w:ascii="Arial" w:cs="Arial" w:eastAsia="Arial" w:hAnsi="Arial"/>
                <w:color w:val="2C2C2A"/>
                <w:sz w:val="20"/>
                <w:szCs w:val="20"/>
              </w:rPr>
              <w:t xml:space="preserve">Does SLURM integration correctly isolate per-job Benford baselines?</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T2.1, T2.2, T2.3 (all telemetry probes)</w:t>
            </w:r>
          </w:p>
          <w:p>
            <w:pPr>
              <w:spacing w:before="0" w:after="60"/>
            </w:pPr>
            <w:r>
              <w:rPr>
                <w:rFonts w:ascii="Arial" w:cs="Arial" w:eastAsia="Arial" w:hAnsi="Arial"/>
                <w:color w:val="2C2C2A"/>
                <w:sz w:val="20"/>
                <w:szCs w:val="20"/>
              </w:rPr>
              <w:t xml:space="preserve">T2.4 (MAD engine)</w:t>
            </w:r>
          </w:p>
          <w:p>
            <w:pPr>
              <w:spacing w:before="0" w:after="60"/>
            </w:pPr>
            <w:r>
              <w:rPr>
                <w:rFonts w:ascii="Arial" w:cs="Arial" w:eastAsia="Arial" w:hAnsi="Arial"/>
                <w:color w:val="2C2C2A"/>
                <w:sz w:val="20"/>
                <w:szCs w:val="20"/>
              </w:rPr>
              <w:t xml:space="preserve">T2.5 (classifier)</w:t>
            </w:r>
          </w:p>
          <w:p>
            <w:pPr>
              <w:spacing w:before="0" w:after="60"/>
            </w:pPr>
            <w:r>
              <w:rPr>
                <w:rFonts w:ascii="Arial" w:cs="Arial" w:eastAsia="Arial" w:hAnsi="Arial"/>
                <w:color w:val="2C2C2A"/>
                <w:sz w:val="20"/>
                <w:szCs w:val="20"/>
              </w:rPr>
              <w:t xml:space="preserve">T2.6 (suppression state machine)</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End-to-end detection latency &lt; 30 seconds for strong-signal anomalies</w:t>
            </w:r>
          </w:p>
          <w:p>
            <w:pPr>
              <w:spacing w:before="0" w:after="60"/>
            </w:pPr>
            <w:r>
              <w:rPr>
                <w:rFonts w:ascii="Arial" w:cs="Arial" w:eastAsia="Arial" w:hAnsi="Arial"/>
                <w:color w:val="2C2C2A"/>
                <w:sz w:val="20"/>
                <w:szCs w:val="20"/>
              </w:rPr>
              <w:t xml:space="preserve">System monitoring overhead &lt; 1% on all tested workloads</w:t>
            </w:r>
          </w:p>
          <w:p>
            <w:pPr>
              <w:spacing w:before="0" w:after="60"/>
            </w:pPr>
            <w:r>
              <w:rPr>
                <w:rFonts w:ascii="Arial" w:cs="Arial" w:eastAsia="Arial" w:hAnsi="Arial"/>
                <w:color w:val="2C2C2A"/>
                <w:sz w:val="20"/>
                <w:szCs w:val="20"/>
              </w:rPr>
              <w:t xml:space="preserve">False-positive rate &lt; 1 alert per node-day on clean workloads</w:t>
            </w:r>
          </w:p>
          <w:p>
            <w:pPr>
              <w:spacing w:before="0" w:after="60"/>
            </w:pPr>
            <w:r>
              <w:rPr>
                <w:rFonts w:ascii="Arial" w:cs="Arial" w:eastAsia="Arial" w:hAnsi="Arial"/>
                <w:color w:val="2C2C2A"/>
                <w:sz w:val="20"/>
                <w:szCs w:val="20"/>
              </w:rPr>
              <w:t xml:space="preserve">No SLURM job interference incidents during 30-day deployment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Integration reveals previously undetected performance regressions in the MAD engine under real workload concurrency</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Schedule a two-week performance optimization sprint before the leadership-class evaluation; carry forward lessons from ring-buffer transport benchmarking experience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SLURM site configuration differences prevent portable job isolation</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Test against at least two distinct SLURM configurations (NERSC Perlmutter, local cluster); document site-specific configuration requirements</w:t>
            </w:r>
          </w:p>
        </w:tc>
      </w:tr>
    </w:tbl>
    <w:p>
      <w:pPr>
        <w:spacing w:before="120" w:after="0"/>
      </w:pPr>
    </w:p>
    <w:p>
      <w:pPr>
        <w:pStyle w:val="Heading3"/>
        <w:spacing w:before="200" w:after="80"/>
      </w:pPr>
      <w:r>
        <w:rPr>
          <w:rFonts w:ascii="Arial" w:cs="Arial" w:eastAsia="Arial" w:hAnsi="Arial"/>
          <w:b/>
          <w:bCs/>
          <w:color w:val="0F6E56"/>
          <w:sz w:val="22"/>
          <w:szCs w:val="22"/>
        </w:rPr>
        <w:t xml:space="preserve">T3.2  Leadership-class system evaluation</w:t>
      </w:r>
    </w:p>
    <w:p>
      <w:pPr>
        <w:spacing w:before="0" w:after="140"/>
      </w:pPr>
      <w:r>
        <w:rPr>
          <w:rFonts w:ascii="Arial" w:cs="Arial" w:eastAsia="Arial" w:hAnsi="Arial"/>
          <w:color w:val="2C2C2A"/>
          <w:sz w:val="22"/>
          <w:szCs w:val="22"/>
        </w:rPr>
        <w:t xml:space="preserve">Deploy BLADE on a DOE leadership computing facility system — targeting Frontier at ORNL or Polaris at ALCF via a Director's Discretion allocation — and evaluate across large-scale production and benchmark workloads. Focus evaluation on scaling behavior of the correlation layer, workload fingerprint stability at large job sizes (&gt; 10K nodes), and detection of seeded fault events coordinated with facility operations staff.</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Do workload Benford fingerprints remain stable at 10K–100K node job sizes?</w:t>
            </w:r>
          </w:p>
          <w:p>
            <w:pPr>
              <w:spacing w:before="0" w:after="60"/>
            </w:pPr>
            <w:r>
              <w:rPr>
                <w:rFonts w:ascii="Arial" w:cs="Arial" w:eastAsia="Arial" w:hAnsi="Arial"/>
                <w:color w:val="2C2C2A"/>
                <w:sz w:val="20"/>
                <w:szCs w:val="20"/>
              </w:rPr>
              <w:t xml:space="preserve">Does the cross-node deviation vector aggregation scale without bottlenecks?</w:t>
            </w:r>
          </w:p>
          <w:p>
            <w:pPr>
              <w:spacing w:before="0" w:after="60"/>
            </w:pPr>
            <w:r>
              <w:rPr>
                <w:rFonts w:ascii="Arial" w:cs="Arial" w:eastAsia="Arial" w:hAnsi="Arial"/>
                <w:color w:val="2C2C2A"/>
                <w:sz w:val="20"/>
                <w:szCs w:val="20"/>
              </w:rPr>
              <w:t xml:space="preserve">Can BLADE detect seeded faults on a leadership-class system without disrupting production jobs?</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T3.1 (system must pass mid-scale evaluation before leadership allocation is justified)</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Fingerprint stability characterized at 1K, 10K, and maximum available node counts</w:t>
            </w:r>
          </w:p>
          <w:p>
            <w:pPr>
              <w:spacing w:before="0" w:after="60"/>
            </w:pPr>
            <w:r>
              <w:rPr>
                <w:rFonts w:ascii="Arial" w:cs="Arial" w:eastAsia="Arial" w:hAnsi="Arial"/>
                <w:color w:val="2C2C2A"/>
                <w:sz w:val="20"/>
                <w:szCs w:val="20"/>
              </w:rPr>
              <w:t xml:space="preserve">Aggregation overhead &lt; 0.1% of job walltime at 10K+ nodes</w:t>
            </w:r>
          </w:p>
          <w:p>
            <w:pPr>
              <w:spacing w:before="0" w:after="60"/>
            </w:pPr>
            <w:r>
              <w:rPr>
                <w:rFonts w:ascii="Arial" w:cs="Arial" w:eastAsia="Arial" w:hAnsi="Arial"/>
                <w:color w:val="2C2C2A"/>
                <w:sz w:val="20"/>
                <w:szCs w:val="20"/>
              </w:rPr>
              <w:t xml:space="preserve">At least 3 of 4 seeded fault types detected within latency targets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Leadership-class allocation is not granted or is insufficient for statistically meaningful evaluation</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Apply for allocation 12 months in advance; prepare fallback evaluation plan using Perlmutter or Summit at smaller scale; engage facility liaisons early (Year 1, Month 9)</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Facility policy prohibits fault injection experiments on production systems</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Coordinate seeded fault experiments exclusively during dedicated maintenance windows; design experiments to be non-destructive and reversible; obtain written facility approval before T3.2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Scaling reveals O(N) bottleneck in deviation vector aggregation layer</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vAlign w:val="top"/>
          </w:tcPr>
          <w:p>
            <w:r>
              <w:rPr>
                <w:rFonts w:ascii="Arial" w:cs="Arial" w:eastAsia="Arial" w:hAnsi="Arial"/>
                <w:b/>
                <w:bCs/>
                <w:color w:val="993C1D"/>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Pre-design aggregation as a tree reduction; T3.1 mid-scale evaluation specifically stress-tests the aggregation layer to surface this issue before leadership-class deployment</w:t>
            </w:r>
          </w:p>
        </w:tc>
      </w:tr>
    </w:tbl>
    <w:p>
      <w:pPr>
        <w:spacing w:before="120" w:after="0"/>
      </w:pPr>
    </w:p>
    <w:p>
      <w:pPr>
        <w:pStyle w:val="Heading3"/>
        <w:spacing w:before="200" w:after="80"/>
      </w:pPr>
      <w:r>
        <w:rPr>
          <w:rFonts w:ascii="Arial" w:cs="Arial" w:eastAsia="Arial" w:hAnsi="Arial"/>
          <w:b/>
          <w:bCs/>
          <w:color w:val="0F6E56"/>
          <w:sz w:val="22"/>
          <w:szCs w:val="22"/>
        </w:rPr>
        <w:t xml:space="preserve">T3.3  Comparative evaluation against existing tools</w:t>
      </w:r>
    </w:p>
    <w:p>
      <w:pPr>
        <w:spacing w:before="0" w:after="140"/>
      </w:pPr>
      <w:r>
        <w:rPr>
          <w:rFonts w:ascii="Arial" w:cs="Arial" w:eastAsia="Arial" w:hAnsi="Arial"/>
          <w:color w:val="2C2C2A"/>
          <w:sz w:val="22"/>
          <w:szCs w:val="22"/>
        </w:rPr>
        <w:t xml:space="preserve">Perform a systematic head-to-head comparison of BLADE against the state of the art: Ganglia threshold-based anomaly rules (baseline), Darshan-based I/O anomaly detectors, ABFT-based SDC detection for the FP stream, and published ML-based HPC anomaly detectors. Use the T1.4 fault injection dataset and T3.1 cluster deployment as the evaluation testbed. Primary metrics are detection accuracy, false-positive rate, detection latency, and monitoring overhead.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On which anomaly types does BLADE outperform existing tools, and where does it underperform?</w:t>
            </w:r>
          </w:p>
          <w:p>
            <w:pPr>
              <w:spacing w:before="0" w:after="60"/>
            </w:pPr>
            <w:r>
              <w:rPr>
                <w:rFonts w:ascii="Arial" w:cs="Arial" w:eastAsia="Arial" w:hAnsi="Arial"/>
                <w:color w:val="2C2C2A"/>
                <w:sz w:val="20"/>
                <w:szCs w:val="20"/>
              </w:rPr>
              <w:t xml:space="preserve">What is the overhead differential between BLADE and ABFT for SDC detection?</w:t>
            </w:r>
          </w:p>
          <w:p>
            <w:pPr>
              <w:spacing w:before="0" w:after="60"/>
            </w:pPr>
            <w:r>
              <w:rPr>
                <w:rFonts w:ascii="Arial" w:cs="Arial" w:eastAsia="Arial" w:hAnsi="Arial"/>
                <w:color w:val="2C2C2A"/>
                <w:sz w:val="20"/>
                <w:szCs w:val="20"/>
              </w:rPr>
              <w:t xml:space="preserve">Does multi-stream correlation provide meaningful accuracy improvement over single-stream baselines?</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T3.1 (deployment testbed and evaluation infrastructure)</w:t>
            </w:r>
          </w:p>
          <w:p>
            <w:pPr>
              <w:spacing w:before="0" w:after="60"/>
            </w:pPr>
            <w:r>
              <w:rPr>
                <w:rFonts w:ascii="Arial" w:cs="Arial" w:eastAsia="Arial" w:hAnsi="Arial"/>
                <w:color w:val="2C2C2A"/>
                <w:sz w:val="20"/>
                <w:szCs w:val="20"/>
              </w:rPr>
              <w:t xml:space="preserve">T1.4 (labeled fault injection dataset for head-to-head comparison)</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Comparison covers at least 4 existing tools across all 7 anomaly types</w:t>
            </w:r>
          </w:p>
          <w:p>
            <w:pPr>
              <w:spacing w:before="0" w:after="60"/>
            </w:pPr>
            <w:r>
              <w:rPr>
                <w:rFonts w:ascii="Arial" w:cs="Arial" w:eastAsia="Arial" w:hAnsi="Arial"/>
                <w:color w:val="2C2C2A"/>
                <w:sz w:val="20"/>
                <w:szCs w:val="20"/>
              </w:rPr>
              <w:t xml:space="preserve">BLADE achieves higher accuracy than threshold-based tools on at least 5 of 7 anomaly types</w:t>
            </w:r>
          </w:p>
          <w:p>
            <w:pPr>
              <w:spacing w:before="0" w:after="60"/>
            </w:pPr>
            <w:r>
              <w:rPr>
                <w:rFonts w:ascii="Arial" w:cs="Arial" w:eastAsia="Arial" w:hAnsi="Arial"/>
                <w:color w:val="2C2C2A"/>
                <w:sz w:val="20"/>
                <w:szCs w:val="20"/>
              </w:rPr>
              <w:t xml:space="preserve">Overhead comparison shows BLADE &lt; 2x overhead of Darshan-only monitoring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ABFT outperforms BLADE on SDC detection for well-supported algorithm classes, undermining the value proposition</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Reframe BLADE as complementary to ABFT (BLADE covers anomaly types ABFT cannot: thermal, MPI attacks, rogue processes) rather than a replacement; update positioning in publications accordingly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No suitable existing ML-based HPC anomaly detector is available for comparison</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Implement simple per-stream ML baseline (LSTM on each individual metric stream) as the ML comparison point; this also quantifies the value added by multi-stream correlation</w:t>
            </w:r>
          </w:p>
        </w:tc>
      </w:tr>
    </w:tbl>
    <w:p>
      <w:pPr>
        <w:spacing w:before="120" w:after="0"/>
      </w:pPr>
    </w:p>
    <w:p>
      <w:pPr>
        <w:pStyle w:val="Heading3"/>
        <w:spacing w:before="200" w:after="80"/>
      </w:pPr>
      <w:r>
        <w:rPr>
          <w:rFonts w:ascii="Arial" w:cs="Arial" w:eastAsia="Arial" w:hAnsi="Arial"/>
          <w:b/>
          <w:bCs/>
          <w:color w:val="0F6E56"/>
          <w:sz w:val="22"/>
          <w:szCs w:val="22"/>
        </w:rPr>
        <w:t xml:space="preserve">T3.4  Publication, open-source release, and community adoption</w:t>
      </w:r>
    </w:p>
    <w:p>
      <w:pPr>
        <w:spacing w:before="0" w:after="140"/>
      </w:pPr>
      <w:r>
        <w:rPr>
          <w:rFonts w:ascii="Arial" w:cs="Arial" w:eastAsia="Arial" w:hAnsi="Arial"/>
          <w:color w:val="2C2C2A"/>
          <w:sz w:val="22"/>
          <w:szCs w:val="22"/>
        </w:rPr>
        <w:t xml:space="preserve">Prepare and submit primary research publications, release BLADE as an open-source project on GitHub under an Apache 2.0 license, and engage the HPC operations community through SC and ISC workshops. Target venues: SC (primary systems contribution), IPDPS (parallel systems evaluation), and FAST (I/O and storage component).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Research questions answered</w:t>
            </w:r>
          </w:p>
        </w:tc>
        <w:tc>
          <w:tcPr>
            <w:tcW w:type="dxa" w:w="26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Dependencies</w:t>
            </w:r>
          </w:p>
        </w:tc>
        <w:tc>
          <w:tcPr>
            <w:tcW w:type="dxa" w:w="3480"/>
            <w:tcBorders>
              <w:top w:val="single" w:color="534AB7" w:sz="1"/>
              <w:left w:val="single" w:color="534AB7" w:sz="1"/>
              <w:bottom w:val="single" w:color="534AB7" w:sz="1"/>
              <w:right w:val="single" w:color="534AB7" w:sz="1"/>
            </w:tcBorders>
            <w:shd w:fill="0F6E56" w:val="clear"/>
            <w:tcMar>
              <w:top w:type="dxa" w:w="80"/>
              <w:left w:type="dxa" w:w="140"/>
              <w:bottom w:type="dxa" w:w="80"/>
              <w:right w:type="dxa" w:w="140"/>
            </w:tcMar>
          </w:tcPr>
          <w:p>
            <w:r>
              <w:rPr>
                <w:rFonts w:ascii="Arial" w:cs="Arial" w:eastAsia="Arial" w:hAnsi="Arial"/>
                <w:b/>
                <w:bCs/>
                <w:color w:val="FFFFFF"/>
                <w:sz w:val="19"/>
                <w:szCs w:val="19"/>
              </w:rPr>
              <w:t xml:space="preserve">Success criteria</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How should BLADE contributions be packaged for maximum research and community impact?</w:t>
            </w:r>
          </w:p>
          <w:p>
            <w:pPr>
              <w:spacing w:before="0" w:after="60"/>
            </w:pPr>
            <w:r>
              <w:rPr>
                <w:rFonts w:ascii="Arial" w:cs="Arial" w:eastAsia="Arial" w:hAnsi="Arial"/>
                <w:color w:val="2C2C2A"/>
                <w:sz w:val="20"/>
                <w:szCs w:val="20"/>
              </w:rPr>
              <w:t xml:space="preserve">What interfaces are needed for facility integration teams to adopt BLADE at new sites?</w:t>
            </w:r>
          </w:p>
        </w:tc>
        <w:tc>
          <w:tcPr>
            <w:tcW w:type="dxa" w:w="2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T3.2, T3.3 (evaluation results needed for publication)</w:t>
            </w:r>
          </w:p>
          <w:p>
            <w:pPr>
              <w:spacing w:before="0" w:after="60"/>
            </w:pPr>
            <w:r>
              <w:rPr>
                <w:rFonts w:ascii="Arial" w:cs="Arial" w:eastAsia="Arial" w:hAnsi="Arial"/>
                <w:color w:val="2C2C2A"/>
                <w:sz w:val="20"/>
                <w:szCs w:val="20"/>
              </w:rPr>
              <w:t xml:space="preserve">T1.5 (sampling theory result may be submitted earlier as a standalone paper)</w:t>
            </w:r>
          </w:p>
        </w:tc>
        <w:tc>
          <w:tcPr>
            <w:tcW w:type="dxa" w:w="34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pPr>
              <w:spacing w:before="0" w:after="60"/>
            </w:pPr>
            <w:r>
              <w:rPr>
                <w:rFonts w:ascii="Arial" w:cs="Arial" w:eastAsia="Arial" w:hAnsi="Arial"/>
                <w:color w:val="2C2C2A"/>
                <w:sz w:val="20"/>
                <w:szCs w:val="20"/>
              </w:rPr>
              <w:t xml:space="preserve">At least 2 accepted publications at SC, IPDPS, or FAST</w:t>
            </w:r>
          </w:p>
          <w:p>
            <w:pPr>
              <w:spacing w:before="0" w:after="60"/>
            </w:pPr>
            <w:r>
              <w:rPr>
                <w:rFonts w:ascii="Arial" w:cs="Arial" w:eastAsia="Arial" w:hAnsi="Arial"/>
                <w:color w:val="2C2C2A"/>
                <w:sz w:val="20"/>
                <w:szCs w:val="20"/>
              </w:rPr>
              <w:t xml:space="preserve">Open-source release with documentation, deployment scripts, and fingerprint library</w:t>
            </w:r>
          </w:p>
          <w:p>
            <w:pPr>
              <w:spacing w:before="0" w:after="60"/>
            </w:pPr>
            <w:r>
              <w:rPr>
                <w:rFonts w:ascii="Arial" w:cs="Arial" w:eastAsia="Arial" w:hAnsi="Arial"/>
                <w:color w:val="2C2C2A"/>
                <w:sz w:val="20"/>
                <w:szCs w:val="20"/>
              </w:rPr>
              <w:t xml:space="preserve">At least 1 HPC facility engaged in a pilot deployment beyond the primary evaluation sites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Likelihood</w:t>
            </w:r>
          </w:p>
        </w:tc>
        <w:tc>
          <w:tcPr>
            <w:tcW w:type="dxa" w:w="90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Impact</w:t>
            </w:r>
          </w:p>
        </w:tc>
        <w:tc>
          <w:tcPr>
            <w:tcW w:type="dxa" w:w="5160"/>
            <w:tcBorders>
              <w:top w:val="single" w:color="534AB7" w:sz="1"/>
              <w:left w:val="single" w:color="534AB7" w:sz="1"/>
              <w:bottom w:val="single" w:color="534AB7" w:sz="1"/>
              <w:right w:val="single" w:color="534AB7" w:sz="1"/>
            </w:tcBorders>
            <w:shd w:fill="993C1D"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Publication timeline slips due to leadership-class evaluation delays in T3.2</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9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vAlign w:val="top"/>
          </w:tcPr>
          <w:p>
            <w:r>
              <w:rPr>
                <w:rFonts w:ascii="Arial" w:cs="Arial" w:eastAsia="Arial" w:hAnsi="Arial"/>
                <w:b/>
                <w:bCs/>
                <w:color w:val="854F0B"/>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Prepare parallel submission track: submit T1.5 sampling theory result and T3.1 mid-scale evaluation independently of T3.2; leadership-class results appear in the full system paper, not the first publication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Open-source release requires security review that delays publication</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9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top"/>
          </w:tcPr>
          <w:p>
            <w:r>
              <w:rPr>
                <w:rFonts w:ascii="Arial" w:cs="Arial" w:eastAsia="Arial" w:hAnsi="Arial"/>
                <w:b/>
                <w:bCs/>
                <w:color w:val="0F6E56"/>
                <w:sz w:val="20"/>
                <w:szCs w:val="20"/>
              </w:rPr>
              <w:t xml:space="preserve">Low</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Begin security review process at month 28 (concurrent with T3.2); engage institutional legal and export control offices early</w:t>
            </w:r>
          </w:p>
        </w:tc>
      </w:tr>
    </w:tbl>
    <w:p>
      <w:pPr>
        <w:spacing w:before="120" w:after="0"/>
      </w:pPr>
    </w:p>
    <w:p>
      <w:pPr>
        <w:pStyle w:val="Heading2"/>
        <w:spacing w:before="280" w:after="120"/>
      </w:pPr>
      <w:r>
        <w:rPr>
          <w:rFonts w:ascii="Arial" w:cs="Arial" w:eastAsia="Arial" w:hAnsi="Arial"/>
          <w:b/>
          <w:bCs/>
          <w:color w:val="534AB7"/>
          <w:sz w:val="26"/>
          <w:szCs w:val="26"/>
        </w:rPr>
        <w:t xml:space="preserve">6.4  Task dependency summary</w:t>
      </w:r>
    </w:p>
    <w:p>
      <w:pPr>
        <w:spacing w:before="0" w:after="140"/>
      </w:pPr>
      <w:r>
        <w:rPr>
          <w:rFonts w:ascii="Arial" w:cs="Arial" w:eastAsia="Arial" w:hAnsi="Arial"/>
          <w:color w:val="2C2C2A"/>
          <w:sz w:val="22"/>
          <w:szCs w:val="22"/>
        </w:rPr>
        <w:t xml:space="preserve">Table 4 summarizes each task's dependencies in a single reference view. Tasks within the same phase that share no dependency may be pursued in parallel; the Gantt in Section 6.5 shows the recommended parallelism schedule.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760"/>
        <w:gridCol w:w="3400"/>
      </w:tblGrid>
      <w:tr>
        <w:tc>
          <w:tcPr>
            <w:tcW w:type="dxa" w:w="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2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Depends on</w:t>
            </w:r>
          </w:p>
        </w:tc>
        <w:tc>
          <w:tcPr>
            <w:tcW w:type="dxa" w:w="3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Enables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FP conformance proofs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None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T1.2, T1.3, T1.5</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T1.2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Multi-stream conformance proofs</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T1.1</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T1.3, T2.2, T2.3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Workload fingerprint library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T1.1, T1.2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T1.4, T2.4, T2.6</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T1.4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Fault injection framework</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T1.3</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T1.5, T2.5, T3.3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Sampling theory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T1.3, T1.4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T2.1, T2.2, T2.3, T2.4</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T2.1</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eBPF probe suite</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T1.5</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T2.4, T3.1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PMPI intercept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T1.2, T1.5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T2.4, T3.1</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T2.3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Power/thermal integration</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T1.2, T1.5</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T2.4, T3.1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Online MAD algorithm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T1.3, T1.5, T2.1–T2.3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T2.5, T2.6, T3.1</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T2.5</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Anomaly classifier</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T1.4, T2.4</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T2.6, T3.1, T3.3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Transient suppression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T1.3, T2.4, T2.5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T3.1</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T3.1</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Mid-scale integration</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T2.1–T2.6 (all)</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T3.2, T3.3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Leadership-class evaluation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T3.1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T3.4</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20"/>
                <w:szCs w:val="20"/>
              </w:rPr>
              <w:t xml:space="preserve">T3.3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Comparative evaluation</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T1.4, T3.1</w:t>
            </w:r>
          </w:p>
        </w:tc>
        <w:tc>
          <w:tcPr>
            <w:tcW w:type="dxa" w:w="3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T3.4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20"/>
                <w:szCs w:val="20"/>
              </w:rPr>
              <w:t xml:space="preserve">T3.4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Publication and release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T3.2, T3.3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Community adoption</w:t>
            </w:r>
          </w:p>
        </w:tc>
      </w:tr>
    </w:tbl>
    <w:p>
      <w:pPr>
        <w:spacing w:before="60" w:after="180"/>
        <w:jc w:val="center"/>
      </w:pPr>
      <w:r>
        <w:rPr>
          <w:rFonts w:ascii="Arial" w:cs="Arial" w:eastAsia="Arial" w:hAnsi="Arial"/>
          <w:i/>
          <w:iCs/>
          <w:color w:val="888780"/>
          <w:sz w:val="18"/>
          <w:szCs w:val="18"/>
        </w:rPr>
        <w:t xml:space="preserve">Table 4. Task dependency matrix. Horizontal reads show what each task needs; vertical reads show what each task unlocks.</w:t>
      </w:r>
    </w:p>
    <w:p>
      <w:pPr>
        <w:spacing w:before="120" w:after="0"/>
      </w:pPr>
    </w:p>
    <w:p>
      <w:pPr>
        <w:pStyle w:val="Heading2"/>
        <w:spacing w:before="280" w:after="120"/>
      </w:pPr>
      <w:r>
        <w:rPr>
          <w:rFonts w:ascii="Arial" w:cs="Arial" w:eastAsia="Arial" w:hAnsi="Arial"/>
          <w:b/>
          <w:bCs/>
          <w:color w:val="534AB7"/>
          <w:sz w:val="26"/>
          <w:szCs w:val="26"/>
        </w:rPr>
        <w:t xml:space="preserve">6.5  Schedule overview (Gantt)</w:t>
      </w:r>
    </w:p>
    <w:p>
      <w:pPr>
        <w:spacing w:before="0" w:after="140"/>
      </w:pPr>
      <w:r>
        <w:rPr>
          <w:rFonts w:ascii="Arial" w:cs="Arial" w:eastAsia="Arial" w:hAnsi="Arial"/>
          <w:color w:val="2C2C2A"/>
          <w:sz w:val="22"/>
          <w:szCs w:val="22"/>
        </w:rPr>
        <w:t xml:space="preserve">Table 5 shows the recommended 36-month schedule. Shaded cells indicate active task periods. Note the deliberate overlap between phases at months 10–12 (T2.1 begins while Phase 1 is completing) and months 22–24 (T3.1 begins while T2.6 is completing).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180"/>
        <w:gridCol w:w="1180"/>
        <w:gridCol w:w="1180"/>
        <w:gridCol w:w="1180"/>
        <w:gridCol w:w="1180"/>
        <w:gridCol w:w="1180"/>
      </w:tblGrid>
      <w:tr>
        <w:tc>
          <w:tcPr>
            <w:tcW w:type="dxa" w:w="22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H1 Y1</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H2 Y1</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H1 Y2</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H2 Y2</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H1 Y3</w:t>
            </w:r>
          </w:p>
        </w:tc>
        <w:tc>
          <w:tcPr>
            <w:tcW w:type="dxa" w:w="118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H2 Y3</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T1.1  </w:t>
            </w:r>
            <w:r>
              <w:rPr>
                <w:rFonts w:ascii="Arial" w:cs="Arial" w:eastAsia="Arial" w:hAnsi="Arial"/>
                <w:color w:val="2C2C2A"/>
                <w:sz w:val="19"/>
                <w:szCs w:val="19"/>
              </w:rPr>
              <w:t xml:space="preserve">FP conformance proofs</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T1.2  </w:t>
            </w:r>
            <w:r>
              <w:rPr>
                <w:rFonts w:ascii="Arial" w:cs="Arial" w:eastAsia="Arial" w:hAnsi="Arial"/>
                <w:color w:val="2C2C2A"/>
                <w:sz w:val="19"/>
                <w:szCs w:val="19"/>
              </w:rPr>
              <w:t xml:space="preserve">Multi-stream conformance proofs</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T1.3  </w:t>
            </w:r>
            <w:r>
              <w:rPr>
                <w:rFonts w:ascii="Arial" w:cs="Arial" w:eastAsia="Arial" w:hAnsi="Arial"/>
                <w:color w:val="2C2C2A"/>
                <w:sz w:val="19"/>
                <w:szCs w:val="19"/>
              </w:rPr>
              <w:t xml:space="preserve">Workload fingerprint library</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T1.4  </w:t>
            </w:r>
            <w:r>
              <w:rPr>
                <w:rFonts w:ascii="Arial" w:cs="Arial" w:eastAsia="Arial" w:hAnsi="Arial"/>
                <w:color w:val="2C2C2A"/>
                <w:sz w:val="19"/>
                <w:szCs w:val="19"/>
              </w:rPr>
              <w:t xml:space="preserve">Fault injection framework</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T1.5  </w:t>
            </w:r>
            <w:r>
              <w:rPr>
                <w:rFonts w:ascii="Arial" w:cs="Arial" w:eastAsia="Arial" w:hAnsi="Arial"/>
                <w:color w:val="2C2C2A"/>
                <w:sz w:val="19"/>
                <w:szCs w:val="19"/>
              </w:rPr>
              <w:t xml:space="preserve">Sampling theory</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T2.1  </w:t>
            </w:r>
            <w:r>
              <w:rPr>
                <w:rFonts w:ascii="Arial" w:cs="Arial" w:eastAsia="Arial" w:hAnsi="Arial"/>
                <w:color w:val="2C2C2A"/>
                <w:sz w:val="19"/>
                <w:szCs w:val="19"/>
              </w:rPr>
              <w:t xml:space="preserve">eBPF probe suite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T2.2  </w:t>
            </w:r>
            <w:r>
              <w:rPr>
                <w:rFonts w:ascii="Arial" w:cs="Arial" w:eastAsia="Arial" w:hAnsi="Arial"/>
                <w:color w:val="2C2C2A"/>
                <w:sz w:val="19"/>
                <w:szCs w:val="19"/>
              </w:rPr>
              <w:t xml:space="preserve">PMPI intercept layer</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T2.3  </w:t>
            </w:r>
            <w:r>
              <w:rPr>
                <w:rFonts w:ascii="Arial" w:cs="Arial" w:eastAsia="Arial" w:hAnsi="Arial"/>
                <w:color w:val="2C2C2A"/>
                <w:sz w:val="19"/>
                <w:szCs w:val="19"/>
              </w:rPr>
              <w:t xml:space="preserve">Power/thermal integration</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T2.4  </w:t>
            </w:r>
            <w:r>
              <w:rPr>
                <w:rFonts w:ascii="Arial" w:cs="Arial" w:eastAsia="Arial" w:hAnsi="Arial"/>
                <w:color w:val="2C2C2A"/>
                <w:sz w:val="19"/>
                <w:szCs w:val="19"/>
              </w:rPr>
              <w:t xml:space="preserve">Online MAD algorithm</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T2.5  </w:t>
            </w:r>
            <w:r>
              <w:rPr>
                <w:rFonts w:ascii="Arial" w:cs="Arial" w:eastAsia="Arial" w:hAnsi="Arial"/>
                <w:color w:val="2C2C2A"/>
                <w:sz w:val="19"/>
                <w:szCs w:val="19"/>
              </w:rPr>
              <w:t xml:space="preserve">Anomaly classifier</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T2.6  </w:t>
            </w:r>
            <w:r>
              <w:rPr>
                <w:rFonts w:ascii="Arial" w:cs="Arial" w:eastAsia="Arial" w:hAnsi="Arial"/>
                <w:color w:val="2C2C2A"/>
                <w:sz w:val="19"/>
                <w:szCs w:val="19"/>
              </w:rPr>
              <w:t xml:space="preserve">Transient suppression</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T3.1  </w:t>
            </w:r>
            <w:r>
              <w:rPr>
                <w:rFonts w:ascii="Arial" w:cs="Arial" w:eastAsia="Arial" w:hAnsi="Arial"/>
                <w:color w:val="2C2C2A"/>
                <w:sz w:val="19"/>
                <w:szCs w:val="19"/>
              </w:rPr>
              <w:t xml:space="preserve">Mid-scale integration</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T3.2  </w:t>
            </w:r>
            <w:r>
              <w:rPr>
                <w:rFonts w:ascii="Arial" w:cs="Arial" w:eastAsia="Arial" w:hAnsi="Arial"/>
                <w:color w:val="2C2C2A"/>
                <w:sz w:val="19"/>
                <w:szCs w:val="19"/>
              </w:rPr>
              <w:t xml:space="preserve">Leadership-class evaluation</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r>
      <w:tr>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534AB7"/>
                <w:sz w:val="19"/>
                <w:szCs w:val="19"/>
              </w:rPr>
              <w:t xml:space="preserve">T3.3  </w:t>
            </w:r>
            <w:r>
              <w:rPr>
                <w:rFonts w:ascii="Arial" w:cs="Arial" w:eastAsia="Arial" w:hAnsi="Arial"/>
                <w:color w:val="2C2C2A"/>
                <w:sz w:val="19"/>
                <w:szCs w:val="19"/>
              </w:rPr>
              <w:t xml:space="preserve">Comparative evaluation</w:t>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F1EFE8" w:val="clear"/>
            <w:tcMar>
              <w:top w:type="dxa" w:w="60"/>
              <w:left w:type="dxa" w:w="60"/>
              <w:bottom w:type="dxa" w:w="60"/>
              <w:right w:type="dxa" w:w="60"/>
            </w:tcMar>
          </w:tcPr>
          <w:p>
            <w:pPr>
              <w:jc w:val="center"/>
            </w:pPr>
            <w:r>
              <w:rPr>
                <w:rFonts w:ascii="Arial" w:cs="Arial" w:eastAsia="Arial" w:hAnsi="Arial"/>
                <w:color w:val="F1EFE8"/>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34AB7"/>
                <w:sz w:val="19"/>
                <w:szCs w:val="19"/>
              </w:rPr>
              <w:t xml:space="preserve">T3.4  </w:t>
            </w:r>
            <w:r>
              <w:rPr>
                <w:rFonts w:ascii="Arial" w:cs="Arial" w:eastAsia="Arial" w:hAnsi="Arial"/>
                <w:color w:val="2C2C2A"/>
                <w:sz w:val="19"/>
                <w:szCs w:val="19"/>
              </w:rPr>
              <w:t xml:space="preserve">Publication and release</w:t>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FFFFFF"/>
                <w:sz w:val="14"/>
                <w:szCs w:val="14"/>
              </w:rPr>
              <w:t xml:space="preserve"/>
            </w:r>
          </w:p>
        </w:tc>
        <w:tc>
          <w:tcPr>
            <w:tcW w:type="dxa" w:w="1180"/>
            <w:tcBorders>
              <w:top w:val="single" w:color="CCCCCC" w:sz="1"/>
              <w:left w:val="single" w:color="CCCCCC" w:sz="1"/>
              <w:bottom w:val="single" w:color="CCCCCC" w:sz="1"/>
              <w:right w:val="single" w:color="CCCCCC" w:sz="1"/>
            </w:tcBorders>
            <w:shd w:fill="0F6E56" w:val="clear"/>
            <w:tcMar>
              <w:top w:type="dxa" w:w="60"/>
              <w:left w:type="dxa" w:w="60"/>
              <w:bottom w:type="dxa" w:w="60"/>
              <w:right w:type="dxa" w:w="60"/>
            </w:tcMar>
          </w:tcPr>
          <w:p>
            <w:pPr>
              <w:jc w:val="center"/>
            </w:pPr>
            <w:r>
              <w:rPr>
                <w:rFonts w:ascii="Arial" w:cs="Arial" w:eastAsia="Arial" w:hAnsi="Arial"/>
                <w:color w:val="E1F5EE"/>
                <w:sz w:val="14"/>
                <w:szCs w:val="14"/>
              </w:rPr>
              <w:t xml:space="preserve">███</w:t>
            </w:r>
          </w:p>
        </w:tc>
      </w:tr>
    </w:tbl>
    <w:p>
      <w:pPr>
        <w:spacing w:before="60" w:after="180"/>
        <w:jc w:val="center"/>
      </w:pPr>
      <w:r>
        <w:rPr>
          <w:rFonts w:ascii="Arial" w:cs="Arial" w:eastAsia="Arial" w:hAnsi="Arial"/>
          <w:i/>
          <w:iCs/>
          <w:color w:val="888780"/>
          <w:sz w:val="18"/>
          <w:szCs w:val="18"/>
        </w:rPr>
        <w:t xml:space="preserve">Table 5. BLADE 36-month schedule. Shaded cells = active. H1/H2 = first/second half of each year.</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7  Research Contributions</w:t>
      </w:r>
    </w:p>
    <w:p>
      <w:pPr>
        <w:spacing w:before="0" w:after="140"/>
      </w:pPr>
      <w:r>
        <w:rPr>
          <w:rFonts w:ascii="Arial" w:cs="Arial" w:eastAsia="Arial" w:hAnsi="Arial"/>
          <w:color w:val="2C2C2A"/>
          <w:sz w:val="22"/>
          <w:szCs w:val="22"/>
        </w:rPr>
        <w:t xml:space="preserve">Table 3 summarizes the seven primary research contributions of the BLADE project, their type, and target timeline.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200"/>
        <w:gridCol w:w="1400"/>
        <w:gridCol w:w="2200"/>
      </w:tblGrid>
      <w:tr>
        <w:tc>
          <w:tcPr>
            <w:tcW w:type="dxa" w:w="3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2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Contribution</w:t>
            </w:r>
          </w:p>
        </w:tc>
        <w:tc>
          <w:tcPr>
            <w:tcW w:type="dxa" w:w="3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1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2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r>
              <w:rPr>
                <w:rFonts w:ascii="Arial" w:cs="Arial" w:eastAsia="Arial" w:hAnsi="Arial"/>
                <w:b/>
                <w:bCs/>
                <w:color w:val="FFFFFF"/>
                <w:sz w:val="19"/>
                <w:szCs w:val="19"/>
              </w:rPr>
              <w:t xml:space="preserve">Timeline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Benford conformance proofs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Formal proofs for each HPC metric stream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Theory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1</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Workload fingerprint library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Per-workload Benford baselines across classes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Empirical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1-2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Online MAD algorithm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eBPF-based streaming computation kernel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1-2</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4</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Anomaly classifier</w:t>
            </w:r>
          </w:p>
        </w:tc>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Deviation-vector anomaly type classifier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ML/Systems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False-positive mitigation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Transient non-conformance state machine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2-3</w:t>
            </w:r>
          </w:p>
        </w:tc>
      </w:tr>
      <w:tr>
        <w:tc>
          <w:tcPr>
            <w:tcW w:type="dxa" w:w="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6</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bCs/>
                <w:color w:val="2C2C2A"/>
                <w:sz w:val="20"/>
                <w:szCs w:val="20"/>
              </w:rPr>
              <w:t xml:space="preserve">BLADE prototype</w:t>
            </w:r>
          </w:p>
        </w:tc>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Full integrated prototype on testbed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Systems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2-3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Production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Evaluation on leadership-class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Empirical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A"/>
                <w:sz w:val="20"/>
                <w:szCs w:val="20"/>
              </w:rPr>
              <w:t xml:space="preserve">Year 3</w:t>
            </w:r>
          </w:p>
        </w:tc>
      </w:tr>
    </w:tbl>
    <w:p>
      <w:pPr>
        <w:spacing w:before="60" w:after="180"/>
        <w:jc w:val="center"/>
      </w:pPr>
      <w:r>
        <w:rPr>
          <w:rFonts w:ascii="Arial" w:cs="Arial" w:eastAsia="Arial" w:hAnsi="Arial"/>
          <w:i/>
          <w:iCs/>
          <w:color w:val="888780"/>
          <w:sz w:val="18"/>
          <w:szCs w:val="18"/>
        </w:rPr>
        <w:t xml:space="preserve">Table 3. Primary research contributions of BLADE.</w:t>
      </w:r>
    </w:p>
    <w:p>
      <w:pPr>
        <w:spacing w:before="120" w:after="0"/>
      </w:pPr>
    </w:p>
    <w:p>
      <w:pPr>
        <w:spacing w:before="0" w:after="140"/>
      </w:pPr>
      <w:r>
        <w:rPr>
          <w:rFonts w:ascii="Arial" w:cs="Arial" w:eastAsia="Arial" w:hAnsi="Arial"/>
          <w:color w:val="2C2C2A"/>
          <w:sz w:val="22"/>
          <w:szCs w:val="22"/>
        </w:rPr>
        <w:t xml:space="preserve">The overarching novelty is the application of Benford's Law as a universal anomaly detection primitive across multiple independent HPC telemetry streams, enabling unified cross-stream classification from a single statistical model. No prior work has applied Benford analysis to HPC telemetry in any form, and no prior anomaly detection framework for HPC has exploited the cross-stream deviation vector structure for classification.</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8  Funding and Collaboration Alignment</w:t>
      </w:r>
    </w:p>
    <w:p>
      <w:pPr>
        <w:pStyle w:val="Heading2"/>
        <w:spacing w:before="280" w:after="120"/>
      </w:pPr>
      <w:r>
        <w:rPr>
          <w:rFonts w:ascii="Arial" w:cs="Arial" w:eastAsia="Arial" w:hAnsi="Arial"/>
          <w:b/>
          <w:bCs/>
          <w:color w:val="534AB7"/>
          <w:sz w:val="26"/>
          <w:szCs w:val="26"/>
        </w:rPr>
        <w:t xml:space="preserve">8.1  Alignment with DOE Priorities</w:t>
      </w:r>
    </w:p>
    <w:p>
      <w:pPr>
        <w:spacing w:before="0" w:after="140"/>
      </w:pPr>
      <w:r>
        <w:rPr>
          <w:rFonts w:ascii="Arial" w:cs="Arial" w:eastAsia="Arial" w:hAnsi="Arial"/>
          <w:color w:val="2C2C2A"/>
          <w:sz w:val="22"/>
          <w:szCs w:val="22"/>
        </w:rPr>
        <w:t xml:space="preserve">The SDC detection and resilience components align directly with the ongoing DOE Exascale Computing Project (ECP) follow-on program and the DOE Office of Science's Advanced Scientific Computing Research (ASCR) portfolio. The multi-tenant security angle — particularly the MPI injection detection and rogue process identification capabilities — aligns with DOE cybersecurity research priorities for open science infrastructure.</w:t>
      </w:r>
    </w:p>
    <w:p>
      <w:pPr>
        <w:pStyle w:val="Heading2"/>
        <w:spacing w:before="280" w:after="120"/>
      </w:pPr>
      <w:r>
        <w:rPr>
          <w:rFonts w:ascii="Arial" w:cs="Arial" w:eastAsia="Arial" w:hAnsi="Arial"/>
          <w:b/>
          <w:bCs/>
          <w:color w:val="534AB7"/>
          <w:sz w:val="26"/>
          <w:szCs w:val="26"/>
        </w:rPr>
        <w:t xml:space="preserve">8.2  Alignment with NSF Priorities</w:t>
      </w:r>
    </w:p>
    <w:p>
      <w:pPr>
        <w:spacing w:before="0" w:after="140"/>
      </w:pPr>
      <w:r>
        <w:rPr>
          <w:rFonts w:ascii="Arial" w:cs="Arial" w:eastAsia="Arial" w:hAnsi="Arial"/>
          <w:color w:val="2C2C2A"/>
          <w:sz w:val="22"/>
          <w:szCs w:val="22"/>
        </w:rPr>
        <w:t xml:space="preserve">The reproducibility audit application of BLADE — using deviation vectors as computational fingerprints for cross-platform reproducibility verification — aligns with NSF's active investment in open science and computational reproducibility. The I/O characterization and filesystem integrity components align with NSF's CSSI (Cyberinfrastructure for Sustained Scientific Innovation) program.</w:t>
      </w:r>
    </w:p>
    <w:p>
      <w:pPr>
        <w:pStyle w:val="Heading2"/>
        <w:spacing w:before="280" w:after="120"/>
      </w:pPr>
      <w:r>
        <w:rPr>
          <w:rFonts w:ascii="Arial" w:cs="Arial" w:eastAsia="Arial" w:hAnsi="Arial"/>
          <w:b/>
          <w:bCs/>
          <w:color w:val="534AB7"/>
          <w:sz w:val="26"/>
          <w:szCs w:val="26"/>
        </w:rPr>
        <w:t xml:space="preserve">8.3  Potential Collaborations</w:t>
      </w:r>
    </w:p>
    <w:p>
      <w:pPr>
        <w:pStyle w:val="ListParagraph"/>
        <w:numPr>
          <w:ilvl w:val="0"/>
          <w:numId w:val="2"/>
        </w:numPr>
        <w:spacing w:before="0" w:after="80"/>
      </w:pPr>
      <w:r>
        <w:rPr>
          <w:rFonts w:ascii="Arial" w:cs="Arial" w:eastAsia="Arial" w:hAnsi="Arial"/>
          <w:color w:val="2C2C2A"/>
          <w:sz w:val="22"/>
          <w:szCs w:val="22"/>
        </w:rPr>
        <w:t xml:space="preserve">ORNL National Center for Computational Sciences (Frontier system access and LDMS telemetry data)</w:t>
      </w:r>
    </w:p>
    <w:p>
      <w:pPr>
        <w:pStyle w:val="ListParagraph"/>
        <w:numPr>
          <w:ilvl w:val="0"/>
          <w:numId w:val="2"/>
        </w:numPr>
        <w:spacing w:before="0" w:after="80"/>
      </w:pPr>
      <w:r>
        <w:rPr>
          <w:rFonts w:ascii="Arial" w:cs="Arial" w:eastAsia="Arial" w:hAnsi="Arial"/>
          <w:color w:val="2C2C2A"/>
          <w:sz w:val="22"/>
          <w:szCs w:val="22"/>
        </w:rPr>
        <w:t xml:space="preserve">Argonne Leadership Computing Facility (Darshan I/O telemetry archives, Aurora testbed access)</w:t>
      </w:r>
    </w:p>
    <w:p>
      <w:pPr>
        <w:pStyle w:val="ListParagraph"/>
        <w:numPr>
          <w:ilvl w:val="0"/>
          <w:numId w:val="2"/>
        </w:numPr>
        <w:spacing w:before="0" w:after="80"/>
      </w:pPr>
      <w:r>
        <w:rPr>
          <w:rFonts w:ascii="Arial" w:cs="Arial" w:eastAsia="Arial" w:hAnsi="Arial"/>
          <w:color w:val="2C2C2A"/>
          <w:sz w:val="22"/>
          <w:szCs w:val="22"/>
        </w:rPr>
        <w:t xml:space="preserve">NERSC (Perlmutter power telemetry datasets and workload fingerprinting)</w:t>
      </w:r>
    </w:p>
    <w:p>
      <w:pPr>
        <w:pStyle w:val="ListParagraph"/>
        <w:numPr>
          <w:ilvl w:val="0"/>
          <w:numId w:val="2"/>
        </w:numPr>
        <w:spacing w:before="0" w:after="80"/>
      </w:pPr>
      <w:r>
        <w:rPr>
          <w:rFonts w:ascii="Arial" w:cs="Arial" w:eastAsia="Arial" w:hAnsi="Arial"/>
          <w:color w:val="2C2C2A"/>
          <w:sz w:val="22"/>
          <w:szCs w:val="22"/>
        </w:rPr>
        <w:t xml:space="preserve">HPE Cray (Slingshot network telemetry integration for MPI stream collection)</w:t>
      </w:r>
    </w:p>
    <w:p>
      <w:pPr>
        <w:pStyle w:val="ListParagraph"/>
        <w:numPr>
          <w:ilvl w:val="0"/>
          <w:numId w:val="2"/>
        </w:numPr>
        <w:spacing w:before="0" w:after="80"/>
      </w:pPr>
      <w:r>
        <w:rPr>
          <w:rFonts w:ascii="Arial" w:cs="Arial" w:eastAsia="Arial" w:hAnsi="Arial"/>
          <w:color w:val="2C2C2A"/>
          <w:sz w:val="22"/>
          <w:szCs w:val="22"/>
        </w:rPr>
        <w:t xml:space="preserve">SchedMD (SLURM integration for job-level anomaly annotation and response)</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9  Open Questions and Risks</w:t>
      </w:r>
    </w:p>
    <w:p>
      <w:pPr>
        <w:spacing w:before="0" w:after="100"/>
      </w:pPr>
      <w:r>
        <w:rPr>
          <w:rFonts w:ascii="Arial" w:cs="Arial" w:eastAsia="Arial" w:hAnsi="Arial"/>
          <w:b/>
          <w:bCs/>
          <w:color w:val="2C2C2A"/>
          <w:sz w:val="22"/>
          <w:szCs w:val="22"/>
        </w:rPr>
        <w:t xml:space="preserve">Statistical power at practical sampling rates: </w:t>
      </w:r>
      <w:r>
        <w:rPr>
          <w:rFonts w:ascii="Arial" w:cs="Arial" w:eastAsia="Arial" w:hAnsi="Arial"/>
          <w:color w:val="2C2C2A"/>
          <w:sz w:val="22"/>
          <w:szCs w:val="22"/>
        </w:rPr>
        <w:t xml:space="preserve">It is not yet clear that the statistical power of a Benford MAD test is sufficient to detect subtle SDC events (affecting a small fraction of floating-point values) at sample rates that avoid unacceptable overhead. This is the primary technical risk and a central question for Phase 1 experiments.</w:t>
      </w:r>
    </w:p>
    <w:p>
      <w:pPr>
        <w:spacing w:before="100" w:after="0"/>
      </w:pPr>
    </w:p>
    <w:p>
      <w:pPr>
        <w:spacing w:before="0" w:after="100"/>
      </w:pPr>
      <w:r>
        <w:rPr>
          <w:rFonts w:ascii="Arial" w:cs="Arial" w:eastAsia="Arial" w:hAnsi="Arial"/>
          <w:b/>
          <w:bCs/>
          <w:color w:val="2C2C2A"/>
          <w:sz w:val="22"/>
          <w:szCs w:val="22"/>
        </w:rPr>
        <w:t xml:space="preserve">Phase-transition false positives: </w:t>
      </w:r>
      <w:r>
        <w:rPr>
          <w:rFonts w:ascii="Arial" w:cs="Arial" w:eastAsia="Arial" w:hAnsi="Arial"/>
          <w:color w:val="2C2C2A"/>
          <w:sz w:val="22"/>
          <w:szCs w:val="22"/>
        </w:rPr>
        <w:t xml:space="preserve">Scientific workloads legitimately produce transient non-Benford distributions during phase transitions, shock fronts, and other physically meaningful regime changes. Distinguishing these expected transients from genuine anomalies is the hardest open research question and will require workload-specific characterization.</w:t>
      </w:r>
    </w:p>
    <w:p>
      <w:pPr>
        <w:spacing w:before="100" w:after="0"/>
      </w:pPr>
    </w:p>
    <w:p>
      <w:pPr>
        <w:spacing w:before="0" w:after="100"/>
      </w:pPr>
      <w:r>
        <w:rPr>
          <w:rFonts w:ascii="Arial" w:cs="Arial" w:eastAsia="Arial" w:hAnsi="Arial"/>
          <w:b/>
          <w:bCs/>
          <w:color w:val="2C2C2A"/>
          <w:sz w:val="22"/>
          <w:szCs w:val="22"/>
        </w:rPr>
        <w:t xml:space="preserve">Cross-workload generalizability: </w:t>
      </w:r>
      <w:r>
        <w:rPr>
          <w:rFonts w:ascii="Arial" w:cs="Arial" w:eastAsia="Arial" w:hAnsi="Arial"/>
          <w:color w:val="2C2C2A"/>
          <w:sz w:val="22"/>
          <w:szCs w:val="22"/>
        </w:rPr>
        <w:t xml:space="preserve">It is possible that the anomaly signatures in Table 1 vary significantly across workload classes — an SDC event in a molecular dynamics code might produce a different deviation pattern than in a finite element solver. Establishing the generalizability (or workload-specificity) of signatures is a key empirical goal.</w:t>
      </w:r>
    </w:p>
    <w:p>
      <w:pPr>
        <w:spacing w:before="100" w:after="0"/>
      </w:pPr>
    </w:p>
    <w:p>
      <w:pPr>
        <w:spacing w:before="0" w:after="100"/>
      </w:pPr>
      <w:r>
        <w:rPr>
          <w:rFonts w:ascii="Arial" w:cs="Arial" w:eastAsia="Arial" w:hAnsi="Arial"/>
          <w:b/>
          <w:bCs/>
          <w:color w:val="2C2C2A"/>
          <w:sz w:val="22"/>
          <w:szCs w:val="22"/>
        </w:rPr>
        <w:t xml:space="preserve">Security of the monitor itself: </w:t>
      </w:r>
      <w:r>
        <w:rPr>
          <w:rFonts w:ascii="Arial" w:cs="Arial" w:eastAsia="Arial" w:hAnsi="Arial"/>
          <w:color w:val="2C2C2A"/>
          <w:sz w:val="22"/>
          <w:szCs w:val="22"/>
        </w:rPr>
        <w:t xml:space="preserve">A sophisticated adversary aware of BLADE could attempt to craft malicious activity that produces Benford-conformant message sizes or power draws. The robustness of the framework against adaptive adversaries requires formal analysis.</w:t>
      </w:r>
    </w:p>
    <w:p>
      <w:pPr>
        <w:spacing w:before="100" w:after="0"/>
      </w:pPr>
    </w:p>
    <w:p>
      <w:pPr>
        <w:spacing w:before="0" w:after="100"/>
      </w:pPr>
      <w:r>
        <w:rPr>
          <w:rFonts w:ascii="Arial" w:cs="Arial" w:eastAsia="Arial" w:hAnsi="Arial"/>
          <w:b/>
          <w:bCs/>
          <w:color w:val="2C2C2A"/>
          <w:sz w:val="22"/>
          <w:szCs w:val="22"/>
        </w:rPr>
        <w:t xml:space="preserve">Streaming window size selection: </w:t>
      </w:r>
      <w:r>
        <w:rPr>
          <w:rFonts w:ascii="Arial" w:cs="Arial" w:eastAsia="Arial" w:hAnsi="Arial"/>
          <w:color w:val="2C2C2A"/>
          <w:sz w:val="22"/>
          <w:szCs w:val="22"/>
        </w:rPr>
        <w:t xml:space="preserve">Benford conformance tests require sufficient sample sizes for statistical validity. At high sampling rates this is not a problem, but for low-rate streams (power data at 1 Hz) or short-lived jobs, window size selection trades detection latency against statistical confidence in ways that require careful empirical calibration.</w:t>
      </w:r>
    </w:p>
    <w:p>
      <w:pPr>
        <w:pBdr>
          <w:bottom w:val="single" w:color="534AB7" w:sz="4" w:space="1"/>
        </w:pBdr>
        <w:spacing w:before="200" w:after="200"/>
      </w:pPr>
    </w:p>
    <w:p>
      <w:pPr>
        <w:pStyle w:val="Heading1"/>
        <w:spacing w:before="320" w:after="160"/>
      </w:pPr>
      <w:r>
        <w:rPr>
          <w:rFonts w:ascii="Arial" w:cs="Arial" w:eastAsia="Arial" w:hAnsi="Arial"/>
          <w:b/>
          <w:bCs/>
          <w:color w:val="2C2C2A"/>
          <w:sz w:val="32"/>
          <w:szCs w:val="32"/>
        </w:rPr>
        <w:t xml:space="preserve">10  Conclusion</w:t>
      </w:r>
    </w:p>
    <w:p>
      <w:pPr>
        <w:spacing w:before="0" w:after="140"/>
      </w:pPr>
      <w:r>
        <w:rPr>
          <w:rFonts w:ascii="Arial" w:cs="Arial" w:eastAsia="Arial" w:hAnsi="Arial"/>
          <w:color w:val="2C2C2A"/>
          <w:sz w:val="22"/>
          <w:szCs w:val="22"/>
        </w:rPr>
        <w:t xml:space="preserve">BLADE proposes a fundamentally new approach to HPC anomaly detection: replace a zoo of stream-specific, threshold-based monitors with a single statistical primitive applied uniformly across all telemetry streams. Benford's Law provides this primitive. The deviation vector it produces is compact, interpretable, computationally negligible, and — crucially — carries enough cross-stream structure to support classification, not just detection.</w:t>
      </w:r>
    </w:p>
    <w:p>
      <w:pPr>
        <w:spacing w:before="60" w:after="0"/>
      </w:pPr>
    </w:p>
    <w:p>
      <w:pPr>
        <w:spacing w:before="0" w:after="140"/>
      </w:pPr>
      <w:r>
        <w:rPr>
          <w:rFonts w:ascii="Arial" w:cs="Arial" w:eastAsia="Arial" w:hAnsi="Arial"/>
          <w:color w:val="2C2C2A"/>
          <w:sz w:val="22"/>
          <w:szCs w:val="22"/>
        </w:rPr>
        <w:t xml:space="preserve">The framework is particularly timely. Exascale systems have raised the stakes for undetected faults by an order of magnitude, HPC environments are increasingly multi-tenant and adversarially contested, and the reproducibility crisis in computational science demands new tools for quantitative output verification. BLADE addresses all three problems from a single theoretical foundation. This combination of fundamental novelty, practical deployability, and broad applicability positions the project for impact across the full HPC software and operations stack.</w:t>
      </w:r>
    </w:p>
    <w:p>
      <w:pPr>
        <w:spacing w:before="24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after="0"/>
    </w:pPr>
    <w:r>
      <w:rPr>
        <w:rFonts w:ascii="Arial" w:cs="Arial" w:eastAsia="Arial" w:hAnsi="Arial"/>
        <w:color w:val="888780"/>
        <w:sz w:val="16"/>
        <w:szCs w:val="16"/>
      </w:rPr>
      <w:t xml:space="preserve">Research Proposal — Confidential Draft</w:t>
    </w:r>
    <w:r>
      <w:rPr>
        <w:rFonts w:ascii="Arial" w:cs="Arial" w:eastAsia="Arial" w:hAnsi="Arial"/>
        <w:sz w:val="16"/>
        <w:szCs w:val="16"/>
      </w:rPr>
      <w:t xml:space="preserve">	</w:t>
    </w:r>
    <w:r>
      <w:rPr>
        <w:rFonts w:ascii="Arial" w:cs="Arial" w:eastAsia="Arial" w:hAnsi="Arial"/>
        <w:color w:val="88878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before="0" w:after="120"/>
    </w:pPr>
    <w:r>
      <w:rPr>
        <w:rFonts w:ascii="Arial" w:cs="Arial" w:eastAsia="Arial" w:hAnsi="Arial"/>
        <w:color w:val="888780"/>
        <w:sz w:val="18"/>
        <w:szCs w:val="18"/>
      </w:rPr>
      <w:t xml:space="preserve">BLADE: Benford-Law Anomaly Detection Engine for HPC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2C2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534AB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2026-03-26T20:51:19.918Z</dcterms:created>
  <dcterms:modified xsi:type="dcterms:W3CDTF">2026-03-26T20:51:19.919Z</dcterms:modified>
</cp:coreProperties>
</file>

<file path=docProps/custom.xml><?xml version="1.0" encoding="utf-8"?>
<Properties xmlns="http://schemas.openxmlformats.org/officeDocument/2006/custom-properties" xmlns:vt="http://schemas.openxmlformats.org/officeDocument/2006/docPropsVTypes"/>
</file>