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p>
    <w:p>
      <w:pPr>
        <w:spacing w:before="0" w:after="120"/>
        <w:jc w:val="center"/>
      </w:pPr>
      <w:r>
        <w:rPr>
          <w:rFonts w:ascii="Times New Roman" w:cs="Times New Roman" w:eastAsia="Times New Roman" w:hAnsi="Times New Roman"/>
          <w:b/>
          <w:bCs/>
          <w:color w:val="000000"/>
          <w:sz w:val="36"/>
          <w:szCs w:val="36"/>
        </w:rPr>
        <w:t xml:space="preserve">BLADE: A Unified Benford-Law Anomaly Detection Engine
for Large-Scale High-Performance Computing Systems</w:t>
      </w:r>
    </w:p>
    <w:p>
      <w:pPr>
        <w:spacing w:before="80" w:after="0"/>
      </w:pPr>
    </w:p>
    <w:p>
      <w:pPr>
        <w:spacing w:before="0" w:after="40"/>
        <w:jc w:val="center"/>
      </w:pPr>
      <w:r>
        <w:rPr>
          <w:rFonts w:ascii="Times New Roman" w:cs="Times New Roman" w:eastAsia="Times New Roman" w:hAnsi="Times New Roman"/>
          <w:i/>
          <w:iCs/>
          <w:color w:val="5F5E5A"/>
          <w:sz w:val="20"/>
          <w:szCs w:val="20"/>
        </w:rPr>
        <w:t xml:space="preserve">[Author names withheld for double-blind review]</w:t>
      </w:r>
    </w:p>
    <w:p>
      <w:pPr>
        <w:spacing w:before="160" w:after="0"/>
      </w:pPr>
    </w:p>
    <w:p>
      <w:pPr>
        <w:spacing w:before="0" w:after="80"/>
        <w:jc w:val="center"/>
      </w:pPr>
      <w:r>
        <w:rPr>
          <w:rFonts w:ascii="Times New Roman" w:cs="Times New Roman" w:eastAsia="Times New Roman" w:hAnsi="Times New Roman"/>
          <w:b/>
          <w:bCs/>
          <w:color w:val="1A1A1A"/>
          <w:sz w:val="22"/>
          <w:szCs w:val="22"/>
        </w:rPr>
        <w:t xml:space="preserve">Abstract—</w:t>
      </w:r>
    </w:p>
    <w:p>
      <w:pPr>
        <w:spacing w:before="0" w:after="60"/>
        <w:ind w:left="720" w:right="720"/>
        <w:jc w:val="both"/>
      </w:pPr>
      <w:r>
        <w:rPr>
          <w:rFonts w:ascii="Times New Roman" w:cs="Times New Roman" w:eastAsia="Times New Roman" w:hAnsi="Times New Roman"/>
          <w:color w:val="1A1A1A"/>
          <w:sz w:val="20"/>
          <w:szCs w:val="20"/>
        </w:rPr>
        <w:t xml:space="preserve">We present BLADE (Benford-Law Anomaly Detection Engine), a unified statistical framework for runtime anomaly detection across five independent HPC telemetry streams: floating-point (FP) computation outputs, MPI message traffic, parallel filesystem I/O patterns, power and thermal sensor readings, and checkpoint file field magnitudes. BLADE exploits a single statistical primitive—Benford’s Law conformance—applied simultaneously to all streams, assembling per-stream Mean Absolute Deviation (MAD) scores into a five-dimensional deviation vector that is both a detection signal and a classification feature. We prove formally that four of the five streams are Benford-conformant under normal HPC operation, and establish empirically that the fifth (power telemetry) has a stable workload-specific baseline that serves the same detection role. Controlled fault injection experiments across seven anomaly classes—silent data corruption (SDC), network-level injection attacks, thermal faults, filesystem corruption, rank imbalance, checkpoint corruption, and rogue processes—demonstrate that each anomaly class produces a characteristic, separable deviation-vector signature. A lightweight decision-tree classifier trained on these signatures achieves 71.9% overall accuracy with per-class F1 scores up to 0.92 for SDC. The BLADE prototype passes 128 of 138 test cases (92.7%); the 10 failures are documented as research findings. The online RollingMAD algorithm processes over 500,000 samples per second per stream, making BLADE practical for production HPC deployment with sub-1% overhead.</w:t>
      </w:r>
    </w:p>
    <w:p>
      <w:pPr>
        <w:spacing w:before="80" w:after="0"/>
      </w:pPr>
    </w:p>
    <w:p>
      <w:pPr>
        <w:spacing w:before="0" w:after="120"/>
        <w:ind w:left="720" w:right="720"/>
        <w:jc w:val="both"/>
      </w:pPr>
      <w:r>
        <w:rPr>
          <w:rFonts w:ascii="Times New Roman" w:cs="Times New Roman" w:eastAsia="Times New Roman" w:hAnsi="Times New Roman"/>
          <w:b/>
          <w:bCs/>
          <w:color w:val="1A1A1A"/>
          <w:sz w:val="20"/>
          <w:szCs w:val="20"/>
        </w:rPr>
        <w:t xml:space="preserve">Keywords—</w:t>
      </w:r>
      <w:r>
        <w:rPr>
          <w:rFonts w:ascii="Times New Roman" w:cs="Times New Roman" w:eastAsia="Times New Roman" w:hAnsi="Times New Roman"/>
          <w:i/>
          <w:iCs/>
          <w:color w:val="1A1A1A"/>
          <w:sz w:val="20"/>
          <w:szCs w:val="20"/>
        </w:rPr>
        <w:t xml:space="preserve">Benford's Law; HPC anomaly detection; silent data corruption; exascale resilience; MPI telemetry; power monitoring; online statistics.</w:t>
      </w:r>
    </w:p>
    <w:p>
      <w:pPr>
        <w:pBdr>
          <w:bottom w:val="single" w:color="D3D1C7" w:sz="3" w:space="1"/>
        </w:pBdr>
        <w:spacing w:before="160" w:after="160"/>
      </w:pPr>
    </w:p>
    <w:p>
      <w:pPr>
        <w:pStyle w:val="Heading1"/>
        <w:spacing w:before="300" w:after="120"/>
      </w:pPr>
      <w:r>
        <w:rPr>
          <w:rFonts w:ascii="Times New Roman" w:cs="Times New Roman" w:eastAsia="Times New Roman" w:hAnsi="Times New Roman"/>
          <w:b/>
          <w:bCs/>
          <w:color w:val="000000"/>
          <w:sz w:val="22"/>
          <w:szCs w:val="22"/>
        </w:rPr>
        <w:t xml:space="preserve">I. INTRODUCTION</w:t>
      </w:r>
    </w:p>
    <w:p>
      <w:pPr>
        <w:spacing w:before="0" w:after="120"/>
        <w:jc w:val="both"/>
      </w:pPr>
      <w:r>
        <w:rPr>
          <w:rFonts w:ascii="Times New Roman" w:cs="Times New Roman" w:eastAsia="Times New Roman" w:hAnsi="Times New Roman"/>
          <w:color w:val="1A1A1A"/>
          <w:sz w:val="22"/>
          <w:szCs w:val="22"/>
        </w:rPr>
        <w:t xml:space="preserve">Leadership-class HPC systems have entered the exascale era. Frontier at Oak Ridge National Laboratory exceeded 1 ExaFLOP/s in 2022 [1], and Aurora at Argonne National Laboratory pushes the boundary further. At these scales—hundreds of thousands of compute nodes, billions of cores, petabytes of high-speed storage—a new class of operational challenges has emerged that existing monitoring tools handle poorly.</w:t>
      </w:r>
    </w:p>
    <w:p>
      <w:pPr>
        <w:spacing w:before="0" w:after="120"/>
        <w:jc w:val="both"/>
      </w:pPr>
      <w:r>
        <w:rPr>
          <w:rFonts w:ascii="Times New Roman" w:cs="Times New Roman" w:eastAsia="Times New Roman" w:hAnsi="Times New Roman"/>
          <w:color w:val="1A1A1A"/>
          <w:sz w:val="22"/>
          <w:szCs w:val="22"/>
        </w:rPr>
        <w:t xml:space="preserve">Today’s HPC monitoring infrastructure is predominantly stream-specific and threshold-based. Tools such as Ganglia [2] and LDMS [3] monitor individual metrics against fixed operational thresholds, providing no cross-stream correlation, requiring per-application tuning, and generating false-positive rates that routinely cause operators to disable alerts. The result is a monitoring gap: anomalies that span multiple telemetry streams simultaneously—the signature of the most consequential fault classes—are invisible to per-stream monitors.</w:t>
      </w:r>
    </w:p>
    <w:p>
      <w:pPr>
        <w:spacing w:before="0" w:after="120"/>
        <w:jc w:val="both"/>
      </w:pPr>
      <w:r>
        <w:rPr>
          <w:rFonts w:ascii="Times New Roman" w:cs="Times New Roman" w:eastAsia="Times New Roman" w:hAnsi="Times New Roman"/>
          <w:color w:val="1A1A1A"/>
          <w:sz w:val="22"/>
          <w:szCs w:val="22"/>
        </w:rPr>
        <w:t xml:space="preserve">We argue that a fundamentally different statistical primitive can close this gap. Benford’s Law [4][5] states that the leading digits of naturally occurring numerical datasets follow a logarithmic distribution: digit 1 appears with probability ~30.1%, declining to ~4.6% for digit 9. Crucially, any dataset drawn from physical or computational processes spanning multiple orders of magnitude is expected to conform—and deviation from conformance is a statistically detectable signal of non-natural origin.</w:t>
      </w:r>
    </w:p>
    <w:p>
      <w:pPr>
        <w:spacing w:before="0" w:after="120"/>
        <w:jc w:val="both"/>
      </w:pPr>
      <w:r>
        <w:rPr>
          <w:rFonts w:ascii="Times New Roman" w:cs="Times New Roman" w:eastAsia="Times New Roman" w:hAnsi="Times New Roman"/>
          <w:color w:val="1A1A1A"/>
          <w:sz w:val="22"/>
          <w:szCs w:val="22"/>
        </w:rPr>
        <w:t xml:space="preserve">We present BLADE, which operationalizes this insight as a production HPC monitoring system. BLADE monitors five independent telemetry streams simultaneously, computes a per-stream Benford MAD score at each reporting interval, and assembles the five scores into a deviation vector. Different fault classes perturb different subsets of streams, producing characteristic multi-dimensional signatures. A lightweight classifier maps these signatures to anomaly types, enabling not just detection but classification in a single unified framework.</w:t>
      </w:r>
    </w:p>
    <w:p>
      <w:pPr>
        <w:spacing w:before="60" w:after="0"/>
      </w:pPr>
    </w:p>
    <w:p>
      <w:pPr>
        <w:pStyle w:val="Heading2"/>
        <w:spacing w:before="200" w:after="80"/>
      </w:pPr>
      <w:r>
        <w:rPr>
          <w:rFonts w:ascii="Times New Roman" w:cs="Times New Roman" w:eastAsia="Times New Roman" w:hAnsi="Times New Roman"/>
          <w:b/>
          <w:bCs/>
          <w:i/>
          <w:iCs/>
          <w:color w:val="000000"/>
          <w:sz w:val="22"/>
          <w:szCs w:val="22"/>
        </w:rPr>
        <w:t xml:space="preserve">A. Research Questions</w:t>
      </w:r>
    </w:p>
    <w:p>
      <w:pPr>
        <w:spacing w:before="0" w:after="120"/>
        <w:jc w:val="both"/>
      </w:pPr>
      <w:r>
        <w:rPr>
          <w:rFonts w:ascii="Times New Roman" w:cs="Times New Roman" w:eastAsia="Times New Roman" w:hAnsi="Times New Roman"/>
          <w:color w:val="1A1A1A"/>
          <w:sz w:val="22"/>
          <w:szCs w:val="22"/>
        </w:rPr>
        <w:t xml:space="preserve">This paper addresses the following research questions:</w:t>
      </w:r>
    </w:p>
    <w:p>
      <w:pPr>
        <w:spacing w:before="40" w:after="0"/>
      </w:pPr>
    </w:p>
    <w:p>
      <w:pPr>
        <w:pStyle w:val="ListParagraph"/>
        <w:numPr>
          <w:ilvl w:val="0"/>
          <w:numId w:val="2"/>
        </w:numPr>
        <w:spacing w:before="0" w:after="60"/>
        <w:jc w:val="both"/>
      </w:pPr>
      <w:r>
        <w:rPr>
          <w:rFonts w:ascii="Times New Roman" w:cs="Times New Roman" w:eastAsia="Times New Roman" w:hAnsi="Times New Roman"/>
          <w:color w:val="1A1A1A"/>
          <w:sz w:val="22"/>
          <w:szCs w:val="22"/>
        </w:rPr>
        <w:t xml:space="preserve">Are the five principal HPC telemetry streams Benford-conformant under normal operation, and under what conditions does conformance hold?</w:t>
      </w:r>
    </w:p>
    <w:p>
      <w:pPr>
        <w:pStyle w:val="ListParagraph"/>
        <w:numPr>
          <w:ilvl w:val="0"/>
          <w:numId w:val="2"/>
        </w:numPr>
        <w:spacing w:before="0" w:after="60"/>
        <w:jc w:val="both"/>
      </w:pPr>
      <w:r>
        <w:rPr>
          <w:rFonts w:ascii="Times New Roman" w:cs="Times New Roman" w:eastAsia="Times New Roman" w:hAnsi="Times New Roman"/>
          <w:color w:val="1A1A1A"/>
          <w:sz w:val="22"/>
          <w:szCs w:val="22"/>
        </w:rPr>
        <w:t xml:space="preserve">Do different HPC fault classes produce distinguishable multi-stream Benford deviation signatures?</w:t>
      </w:r>
    </w:p>
    <w:p>
      <w:pPr>
        <w:pStyle w:val="ListParagraph"/>
        <w:numPr>
          <w:ilvl w:val="0"/>
          <w:numId w:val="2"/>
        </w:numPr>
        <w:spacing w:before="0" w:after="60"/>
        <w:jc w:val="both"/>
      </w:pPr>
      <w:r>
        <w:rPr>
          <w:rFonts w:ascii="Times New Roman" w:cs="Times New Roman" w:eastAsia="Times New Roman" w:hAnsi="Times New Roman"/>
          <w:color w:val="1A1A1A"/>
          <w:sz w:val="22"/>
          <w:szCs w:val="22"/>
        </w:rPr>
        <w:t xml:space="preserve">Can a single unified framework based on Benford MAD scores detect and classify HPC anomalies with practical accuracy and negligible overhead?</w:t>
      </w:r>
    </w:p>
    <w:p>
      <w:pPr>
        <w:spacing w:before="80" w:after="0"/>
      </w:pPr>
    </w:p>
    <w:p>
      <w:pPr>
        <w:pStyle w:val="Heading2"/>
        <w:spacing w:before="200" w:after="80"/>
      </w:pPr>
      <w:r>
        <w:rPr>
          <w:rFonts w:ascii="Times New Roman" w:cs="Times New Roman" w:eastAsia="Times New Roman" w:hAnsi="Times New Roman"/>
          <w:b/>
          <w:bCs/>
          <w:i/>
          <w:iCs/>
          <w:color w:val="000000"/>
          <w:sz w:val="22"/>
          <w:szCs w:val="22"/>
        </w:rPr>
        <w:t xml:space="preserve">B. Contributions</w:t>
      </w:r>
    </w:p>
    <w:p>
      <w:pPr>
        <w:spacing w:before="0" w:after="120"/>
        <w:jc w:val="both"/>
      </w:pPr>
      <w:r>
        <w:rPr>
          <w:rFonts w:ascii="Times New Roman" w:cs="Times New Roman" w:eastAsia="Times New Roman" w:hAnsi="Times New Roman"/>
          <w:color w:val="1A1A1A"/>
          <w:sz w:val="22"/>
          <w:szCs w:val="22"/>
        </w:rPr>
        <w:t xml:space="preserve">This paper makes the following specific contributions:</w:t>
      </w:r>
    </w:p>
    <w:p>
      <w:pPr>
        <w:spacing w:before="40" w:after="0"/>
      </w:pPr>
    </w:p>
    <w:p>
      <w:pPr>
        <w:pStyle w:val="ListParagraph"/>
        <w:numPr>
          <w:ilvl w:val="0"/>
          <w:numId w:val="3"/>
        </w:numPr>
        <w:spacing w:before="0" w:after="60"/>
        <w:jc w:val="both"/>
      </w:pPr>
      <w:r>
        <w:rPr>
          <w:rFonts w:ascii="Times New Roman" w:cs="Times New Roman" w:eastAsia="Times New Roman" w:hAnsi="Times New Roman"/>
          <w:color w:val="1A1A1A"/>
          <w:sz w:val="22"/>
          <w:szCs w:val="22"/>
        </w:rPr>
        <w:t xml:space="preserve">We provide the first formal characterization of Benford conformance for HPC telemetry streams, proving conformance for FP outputs, MPI message sizes, I/O block sizes, and checkpoint fields, and deriving a workload-specific conformance framework for power telemetry.</w:t>
      </w:r>
    </w:p>
    <w:p>
      <w:pPr>
        <w:pStyle w:val="ListParagraph"/>
        <w:numPr>
          <w:ilvl w:val="0"/>
          <w:numId w:val="3"/>
        </w:numPr>
        <w:spacing w:before="0" w:after="60"/>
        <w:jc w:val="both"/>
      </w:pPr>
      <w:r>
        <w:rPr>
          <w:rFonts w:ascii="Times New Roman" w:cs="Times New Roman" w:eastAsia="Times New Roman" w:hAnsi="Times New Roman"/>
          <w:color w:val="1A1A1A"/>
          <w:sz w:val="22"/>
          <w:szCs w:val="22"/>
        </w:rPr>
        <w:t xml:space="preserve">We present the BLADE deviation vector—a five-dimensional Benford MAD score tuple— as a unified representation for multi-stream HPC anomaly detection and classification.</w:t>
      </w:r>
    </w:p>
    <w:p>
      <w:pPr>
        <w:pStyle w:val="ListParagraph"/>
        <w:numPr>
          <w:ilvl w:val="0"/>
          <w:numId w:val="3"/>
        </w:numPr>
        <w:spacing w:before="0" w:after="60"/>
        <w:jc w:val="both"/>
      </w:pPr>
      <w:r>
        <w:rPr>
          <w:rFonts w:ascii="Times New Roman" w:cs="Times New Roman" w:eastAsia="Times New Roman" w:hAnsi="Times New Roman"/>
          <w:color w:val="1A1A1A"/>
          <w:sz w:val="22"/>
          <w:szCs w:val="22"/>
        </w:rPr>
        <w:t xml:space="preserve">We characterize the empirical anomaly signature matrix across seven fault classes and demonstrate that these signatures are pairwise linearly separable in deviation-vector space.</w:t>
      </w:r>
    </w:p>
    <w:p>
      <w:pPr>
        <w:pStyle w:val="ListParagraph"/>
        <w:numPr>
          <w:ilvl w:val="0"/>
          <w:numId w:val="3"/>
        </w:numPr>
        <w:spacing w:before="0" w:after="60"/>
        <w:jc w:val="both"/>
      </w:pPr>
      <w:r>
        <w:rPr>
          <w:rFonts w:ascii="Times New Roman" w:cs="Times New Roman" w:eastAsia="Times New Roman" w:hAnsi="Times New Roman"/>
          <w:color w:val="1A1A1A"/>
          <w:sz w:val="22"/>
          <w:szCs w:val="22"/>
        </w:rPr>
        <w:t xml:space="preserve">We implement and evaluate the BLADE prototype: 3,100 lines of Python across core library, fault injection framework, test suite (138 assertions, 92.7% pass rate), and analysis pipeline.</w:t>
      </w:r>
    </w:p>
    <w:p>
      <w:pPr>
        <w:pStyle w:val="ListParagraph"/>
        <w:numPr>
          <w:ilvl w:val="0"/>
          <w:numId w:val="3"/>
        </w:numPr>
        <w:spacing w:before="0" w:after="60"/>
        <w:jc w:val="both"/>
      </w:pPr>
      <w:r>
        <w:rPr>
          <w:rFonts w:ascii="Times New Roman" w:cs="Times New Roman" w:eastAsia="Times New Roman" w:hAnsi="Times New Roman"/>
          <w:color w:val="1A1A1A"/>
          <w:sz w:val="22"/>
          <w:szCs w:val="22"/>
        </w:rPr>
        <w:t xml:space="preserve">We identify and document the power telemetry stream as a novel research finding: it requires a workload-specific Benford baseline rather than the universal distribution, with implications for how multi-granularity power monitoring data should be modeled for anomaly detection.</w:t>
      </w:r>
    </w:p>
    <w:p>
      <w:pPr>
        <w:spacing w:before="80" w:after="0"/>
      </w:pPr>
    </w:p>
    <w:p>
      <w:pPr>
        <w:pStyle w:val="Heading2"/>
        <w:spacing w:before="200" w:after="80"/>
      </w:pPr>
      <w:r>
        <w:rPr>
          <w:rFonts w:ascii="Times New Roman" w:cs="Times New Roman" w:eastAsia="Times New Roman" w:hAnsi="Times New Roman"/>
          <w:b/>
          <w:bCs/>
          <w:i/>
          <w:iCs/>
          <w:color w:val="000000"/>
          <w:sz w:val="22"/>
          <w:szCs w:val="22"/>
        </w:rPr>
        <w:t xml:space="preserve">C. Paper Organization</w:t>
      </w:r>
    </w:p>
    <w:p>
      <w:pPr>
        <w:spacing w:before="0" w:after="120"/>
        <w:jc w:val="both"/>
      </w:pPr>
      <w:r>
        <w:rPr>
          <w:rFonts w:ascii="Times New Roman" w:cs="Times New Roman" w:eastAsia="Times New Roman" w:hAnsi="Times New Roman"/>
          <w:color w:val="1A1A1A"/>
          <w:sz w:val="22"/>
          <w:szCs w:val="22"/>
        </w:rPr>
        <w:t xml:space="preserve">Section II surveys related work. Section III develops the theoretical foundations. Section IV describes the BLADE architecture. Section V presents the experimental methodology. Section VI reports results. Section VII discusses findings and limitations. Section VIII concludes with future directions.</w:t>
      </w:r>
    </w:p>
    <w:p>
      <w:pPr>
        <w:pBdr>
          <w:bottom w:val="single" w:color="D3D1C7" w:sz="3" w:space="1"/>
        </w:pBdr>
        <w:spacing w:before="160" w:after="160"/>
      </w:pPr>
    </w:p>
    <w:p>
      <w:pPr>
        <w:pStyle w:val="Heading1"/>
        <w:spacing w:before="300" w:after="120"/>
      </w:pPr>
      <w:r>
        <w:rPr>
          <w:rFonts w:ascii="Times New Roman" w:cs="Times New Roman" w:eastAsia="Times New Roman" w:hAnsi="Times New Roman"/>
          <w:b/>
          <w:bCs/>
          <w:color w:val="000000"/>
          <w:sz w:val="22"/>
          <w:szCs w:val="22"/>
        </w:rPr>
        <w:t xml:space="preserve">II. RELATED WORK</w:t>
      </w:r>
    </w:p>
    <w:p>
      <w:pPr>
        <w:pStyle w:val="Heading2"/>
        <w:spacing w:before="200" w:after="80"/>
      </w:pPr>
      <w:r>
        <w:rPr>
          <w:rFonts w:ascii="Times New Roman" w:cs="Times New Roman" w:eastAsia="Times New Roman" w:hAnsi="Times New Roman"/>
          <w:b/>
          <w:bCs/>
          <w:i/>
          <w:iCs/>
          <w:color w:val="000000"/>
          <w:sz w:val="22"/>
          <w:szCs w:val="22"/>
        </w:rPr>
        <w:t xml:space="preserve">A. HPC Fault Detection and Resilience</w:t>
      </w:r>
    </w:p>
    <w:p>
      <w:pPr>
        <w:spacing w:before="0" w:after="120"/>
        <w:jc w:val="both"/>
      </w:pPr>
      <w:r>
        <w:rPr>
          <w:rFonts w:ascii="Times New Roman" w:cs="Times New Roman" w:eastAsia="Times New Roman" w:hAnsi="Times New Roman"/>
          <w:color w:val="1A1A1A"/>
          <w:sz w:val="22"/>
          <w:szCs w:val="22"/>
        </w:rPr>
        <w:t xml:space="preserve">HPC resilience has been an active research area since the early petascale era. Schroeder and Gibson [6] characterized failure rates in large production systems, establishing that DRAM errors and network failures dominate failure modes. Snir et al. [7] identified the exascale resilience challenge: error rates scale superlinearly with node count, making full redundancy impractical. The ECP Resilience Working Group has further characterized failure modes on pre-exascale systems, finding that SDC rates—hardware errors producing wrong results without triggering ECC—are significantly higher than previously assumed [8].</w:t>
      </w:r>
    </w:p>
    <w:p>
      <w:pPr>
        <w:spacing w:before="0" w:after="120"/>
        <w:jc w:val="both"/>
      </w:pPr>
      <w:r>
        <w:rPr>
          <w:rFonts w:ascii="Times New Roman" w:cs="Times New Roman" w:eastAsia="Times New Roman" w:hAnsi="Times New Roman"/>
          <w:color w:val="1A1A1A"/>
          <w:sz w:val="22"/>
          <w:szCs w:val="22"/>
        </w:rPr>
        <w:t xml:space="preserve">Algorithm-Based Fault Tolerance (ABFT) [9] provides per-algorithm SDC detection via invariant preservation, but requires application-level instrumentation and imposes 5–30% overhead depending on the algorithm class. Checkpoint-restart via tools such as VeloC [10] provides recovery but not detection. BLADE is complementary to both: it provides a workload-agnostic detection signal across all five stream types simultaneously, at sub-1% overhead, and can flag anomalies that neither ABFT nor checkpoint-restart would catch (thermal faults, rogue processes, network injection attacks).</w:t>
      </w:r>
    </w:p>
    <w:p>
      <w:pPr>
        <w:pStyle w:val="Heading2"/>
        <w:spacing w:before="200" w:after="80"/>
      </w:pPr>
      <w:r>
        <w:rPr>
          <w:rFonts w:ascii="Times New Roman" w:cs="Times New Roman" w:eastAsia="Times New Roman" w:hAnsi="Times New Roman"/>
          <w:b/>
          <w:bCs/>
          <w:i/>
          <w:iCs/>
          <w:color w:val="000000"/>
          <w:sz w:val="22"/>
          <w:szCs w:val="22"/>
        </w:rPr>
        <w:t xml:space="preserve">B. HPC Monitoring Infrastructure</w:t>
      </w:r>
    </w:p>
    <w:p>
      <w:pPr>
        <w:spacing w:before="0" w:after="120"/>
        <w:jc w:val="both"/>
      </w:pPr>
      <w:r>
        <w:rPr>
          <w:rFonts w:ascii="Times New Roman" w:cs="Times New Roman" w:eastAsia="Times New Roman" w:hAnsi="Times New Roman"/>
          <w:color w:val="1A1A1A"/>
          <w:sz w:val="22"/>
          <w:szCs w:val="22"/>
        </w:rPr>
        <w:t xml:space="preserve">LDMS [3] is the standard scalable monitoring substrate on DOE leadership systems, providing a daemon-based metric collection framework. Darshan [11] is the de facto I/O characterization tool for HPC workloads. Ganglia [2] and its successors provide threshold-based alerting. Redfish [12] is the BMC API used for power telemetry on modern HPE and Dell hardware. BLADE is designed to ingest data from all of these sources via their existing APIs, adding a statistical analysis layer without replacing or duplicating the collection infrastructure. The key gap BLADE fills is the absence of cross-stream correlation: none of these tools assemble per-stream signals into a joint anomaly score.</w:t>
      </w:r>
    </w:p>
    <w:p>
      <w:pPr>
        <w:pStyle w:val="Heading2"/>
        <w:spacing w:before="200" w:after="80"/>
      </w:pPr>
      <w:r>
        <w:rPr>
          <w:rFonts w:ascii="Times New Roman" w:cs="Times New Roman" w:eastAsia="Times New Roman" w:hAnsi="Times New Roman"/>
          <w:b/>
          <w:bCs/>
          <w:i/>
          <w:iCs/>
          <w:color w:val="000000"/>
          <w:sz w:val="22"/>
          <w:szCs w:val="22"/>
        </w:rPr>
        <w:t xml:space="preserve">C. Statistical Anomaly Detection in Systems</w:t>
      </w:r>
    </w:p>
    <w:p>
      <w:pPr>
        <w:spacing w:before="0" w:after="120"/>
        <w:jc w:val="both"/>
      </w:pPr>
      <w:r>
        <w:rPr>
          <w:rFonts w:ascii="Times New Roman" w:cs="Times New Roman" w:eastAsia="Times New Roman" w:hAnsi="Times New Roman"/>
          <w:color w:val="1A1A1A"/>
          <w:sz w:val="22"/>
          <w:szCs w:val="22"/>
        </w:rPr>
        <w:t xml:space="preserve">Statistical process control methods including CUSUM [13] and EWMA have been applied to HPC performance monitoring, primarily for detecting performance variability and regression. Machine-learning-based anomaly detectors for HPC I/O and power have been proposed but require large labeled training sets and are sensitive to workload distribution shift. BLADE’s Benford-based approach differs in three key respects: the null hypothesis (Benford conformance) is theoretically derived rather than empirically estimated, the detection statistic (MAD) is O(1) per sample to maintain and O(1) per interval to compute, and the approach is stream-agnostic by construction.</w:t>
      </w:r>
    </w:p>
    <w:p>
      <w:pPr>
        <w:pStyle w:val="Heading2"/>
        <w:spacing w:before="200" w:after="80"/>
      </w:pPr>
      <w:r>
        <w:rPr>
          <w:rFonts w:ascii="Times New Roman" w:cs="Times New Roman" w:eastAsia="Times New Roman" w:hAnsi="Times New Roman"/>
          <w:b/>
          <w:bCs/>
          <w:i/>
          <w:iCs/>
          <w:color w:val="000000"/>
          <w:sz w:val="22"/>
          <w:szCs w:val="22"/>
        </w:rPr>
        <w:t xml:space="preserve">D. Benford's Law Applications</w:t>
      </w:r>
    </w:p>
    <w:p>
      <w:pPr>
        <w:spacing w:before="0" w:after="120"/>
        <w:jc w:val="both"/>
      </w:pPr>
      <w:r>
        <w:rPr>
          <w:rFonts w:ascii="Times New Roman" w:cs="Times New Roman" w:eastAsia="Times New Roman" w:hAnsi="Times New Roman"/>
          <w:color w:val="1A1A1A"/>
          <w:sz w:val="22"/>
          <w:szCs w:val="22"/>
        </w:rPr>
        <w:t xml:space="preserve">Benford’s Law has extensive application in forensic accounting and election auditing [14] but has seen almost no application in computing systems. Hill [15] provides the theoretical foundation: datasets arising as products or ratios of independent random variables converge to the Benford distribution regardless of the underlying distribution of the factors. This directly applies to simulation output quantities, which are typically products or ratios of physical parameters. To our knowledge, BLADE is the first application of Benford’s Law to any HPC monitoring context.</w:t>
      </w:r>
    </w:p>
    <w:p>
      <w:pPr>
        <w:pBdr>
          <w:bottom w:val="single" w:color="D3D1C7" w:sz="3" w:space="1"/>
        </w:pBdr>
        <w:spacing w:before="160" w:after="160"/>
      </w:pPr>
    </w:p>
    <w:p>
      <w:pPr>
        <w:pStyle w:val="Heading1"/>
        <w:spacing w:before="300" w:after="120"/>
      </w:pPr>
      <w:r>
        <w:rPr>
          <w:rFonts w:ascii="Times New Roman" w:cs="Times New Roman" w:eastAsia="Times New Roman" w:hAnsi="Times New Roman"/>
          <w:b/>
          <w:bCs/>
          <w:color w:val="000000"/>
          <w:sz w:val="22"/>
          <w:szCs w:val="22"/>
        </w:rPr>
        <w:t xml:space="preserve">III. THEORETICAL FOUNDATIONS</w:t>
      </w:r>
    </w:p>
    <w:p>
      <w:pPr>
        <w:pStyle w:val="Heading2"/>
        <w:spacing w:before="200" w:after="80"/>
      </w:pPr>
      <w:r>
        <w:rPr>
          <w:rFonts w:ascii="Times New Roman" w:cs="Times New Roman" w:eastAsia="Times New Roman" w:hAnsi="Times New Roman"/>
          <w:b/>
          <w:bCs/>
          <w:i/>
          <w:iCs/>
          <w:color w:val="000000"/>
          <w:sz w:val="22"/>
          <w:szCs w:val="22"/>
        </w:rPr>
        <w:t xml:space="preserve">A. Benford's Law and the MAD Statistic</w:t>
      </w:r>
    </w:p>
    <w:p>
      <w:pPr>
        <w:spacing w:before="0" w:after="120"/>
        <w:jc w:val="both"/>
      </w:pPr>
      <w:r>
        <w:rPr>
          <w:rFonts w:ascii="Times New Roman" w:cs="Times New Roman" w:eastAsia="Times New Roman" w:hAnsi="Times New Roman"/>
          <w:color w:val="1A1A1A"/>
          <w:sz w:val="22"/>
          <w:szCs w:val="22"/>
        </w:rPr>
        <w:t xml:space="preserve">Let D be the leading (most significant) decimal digit of a positive real number x, defined formally as D(x) = ⌊x / 10⌊log₁₀ x⌋⌋. The Benford distribution assigns to digit d the probability:</w:t>
      </w:r>
    </w:p>
    <w:p>
      <w:pPr>
        <w:spacing w:before="80" w:after="80"/>
        <w:jc w:val="center"/>
      </w:pPr>
      <w:r>
        <w:rPr>
          <w:rFonts w:ascii="Courier New" w:cs="Courier New" w:eastAsia="Courier New" w:hAnsi="Courier New"/>
          <w:color w:val="1A1A1A"/>
          <w:sz w:val="22"/>
          <w:szCs w:val="22"/>
        </w:rPr>
        <w:t xml:space="preserve">P(D = d) = log₁₀(1 + 1/d),   d ∈ {1, 2, …, 9}</w:t>
      </w:r>
    </w:p>
    <w:p>
      <w:pPr>
        <w:spacing w:before="0" w:after="120"/>
        <w:jc w:val="both"/>
      </w:pPr>
      <w:r>
        <w:rPr>
          <w:rFonts w:ascii="Times New Roman" w:cs="Times New Roman" w:eastAsia="Times New Roman" w:hAnsi="Times New Roman"/>
          <w:color w:val="1A1A1A"/>
          <w:sz w:val="22"/>
          <w:szCs w:val="22"/>
        </w:rPr>
        <w:t xml:space="preserve">This gives P(D=1) ≈ 0.301, declining to P(D=9) ≈ 0.046. Conformance of an observed sample {x₁, …, xₙ} is measured by the Mean Absolute Deviation (MAD):</w:t>
      </w:r>
    </w:p>
    <w:p>
      <w:pPr>
        <w:spacing w:before="80" w:after="80"/>
        <w:jc w:val="center"/>
      </w:pPr>
      <w:r>
        <w:rPr>
          <w:rFonts w:ascii="Courier New" w:cs="Courier New" w:eastAsia="Courier New" w:hAnsi="Courier New"/>
          <w:color w:val="1A1A1A"/>
          <w:sz w:val="22"/>
          <w:szCs w:val="22"/>
        </w:rPr>
        <w:t xml:space="preserve">MAD = (1/9) × Σᵉ |fᵒ˙ˢ(d) − P(D=d)|</w:t>
      </w:r>
    </w:p>
    <w:p>
      <w:pPr>
        <w:spacing w:before="0" w:after="120"/>
        <w:jc w:val="both"/>
      </w:pPr>
      <w:r>
        <w:rPr>
          <w:rFonts w:ascii="Times New Roman" w:cs="Times New Roman" w:eastAsia="Times New Roman" w:hAnsi="Times New Roman"/>
          <w:color w:val="1A1A1A"/>
          <w:sz w:val="22"/>
          <w:szCs w:val="22"/>
        </w:rPr>
        <w:t xml:space="preserve">where fᵒ˙ˢ(d) is the observed proportion of samples with leading digit d. Nigrini [16] established the following interpretive thresholds for MAD: close conformance (MAD ≤ 0.006), acceptable (MAD ≤ 0.012), marginal (MAD ≤ 0.015), and non-conformant (MAD &gt; 0.015). BLADE uses MAD as its primary per-stream anomaly statistic because it is O(1) to compute from a 9-bin histogram, interpretable without statistical training, and robust to large sample sizes that inflate chi-squared tests.</w:t>
      </w:r>
    </w:p>
    <w:p>
      <w:pPr>
        <w:pStyle w:val="Heading2"/>
        <w:spacing w:before="200" w:after="80"/>
      </w:pPr>
      <w:r>
        <w:rPr>
          <w:rFonts w:ascii="Times New Roman" w:cs="Times New Roman" w:eastAsia="Times New Roman" w:hAnsi="Times New Roman"/>
          <w:b/>
          <w:bCs/>
          <w:i/>
          <w:iCs/>
          <w:color w:val="000000"/>
          <w:sz w:val="22"/>
          <w:szCs w:val="22"/>
        </w:rPr>
        <w:t xml:space="preserve">B. Benford Conformance of HPC Telemetry Streams</w:t>
      </w:r>
    </w:p>
    <w:p>
      <w:pPr>
        <w:spacing w:before="0" w:after="120"/>
        <w:jc w:val="both"/>
      </w:pPr>
      <w:r>
        <w:rPr>
          <w:rFonts w:ascii="Times New Roman" w:cs="Times New Roman" w:eastAsia="Times New Roman" w:hAnsi="Times New Roman"/>
          <w:color w:val="1A1A1A"/>
          <w:sz w:val="22"/>
          <w:szCs w:val="22"/>
        </w:rPr>
        <w:t xml:space="preserve">We now establish the theoretical basis for Benford conformance in each stream.</w:t>
      </w:r>
    </w:p>
    <w:p>
      <w:pPr>
        <w:spacing w:before="40" w:after="0"/>
      </w:pPr>
    </w:p>
    <w:p>
      <w:pPr>
        <w:pStyle w:val="Heading3"/>
        <w:spacing w:before="160" w:after="60"/>
      </w:pPr>
      <w:r>
        <w:rPr>
          <w:rFonts w:ascii="Times New Roman" w:cs="Times New Roman" w:eastAsia="Times New Roman" w:hAnsi="Times New Roman"/>
          <w:b/>
          <w:bCs/>
          <w:color w:val="000000"/>
          <w:sz w:val="22"/>
          <w:szCs w:val="22"/>
        </w:rPr>
        <w:t xml:space="preserve">FP Output Stream.</w:t>
      </w:r>
    </w:p>
    <w:p>
      <w:pPr>
        <w:spacing w:before="0" w:after="120"/>
        <w:jc w:val="both"/>
      </w:pPr>
      <w:r>
        <w:rPr>
          <w:rFonts w:ascii="Times New Roman" w:cs="Times New Roman" w:eastAsia="Times New Roman" w:hAnsi="Times New Roman"/>
          <w:color w:val="1A1A1A"/>
          <w:sz w:val="22"/>
          <w:szCs w:val="22"/>
        </w:rPr>
        <w:t xml:space="preserve">Physical simulation variables (pressure, velocity, energy density, particle positions) arise as products and ratios of physical parameters with independent log-normal distributions. By Hill’s theorem [15], the mantissa of the leading decimal digit of any such product converges to the Benford distribution as the number of independent factors grows. For a simulation with k independent physical parameters with magnitudes spanning L orders of magnitude, the expected MAD from Benford is O(1/√(n × L)) for a sample of size n, approaching zero as L and n grow. Empirically, we find MAD ≈ 0.004 for standard HPC miniapp outputs at n = 5,000, consistent with L ≈ 6 decades.</w:t>
      </w:r>
    </w:p>
    <w:p>
      <w:pPr>
        <w:pStyle w:val="Heading3"/>
        <w:spacing w:before="160" w:after="60"/>
      </w:pPr>
      <w:r>
        <w:rPr>
          <w:rFonts w:ascii="Times New Roman" w:cs="Times New Roman" w:eastAsia="Times New Roman" w:hAnsi="Times New Roman"/>
          <w:b/>
          <w:bCs/>
          <w:color w:val="000000"/>
          <w:sz w:val="22"/>
          <w:szCs w:val="22"/>
        </w:rPr>
        <w:t xml:space="preserve">MPI Message Size Stream.</w:t>
      </w:r>
    </w:p>
    <w:p>
      <w:pPr>
        <w:spacing w:before="0" w:after="120"/>
        <w:jc w:val="both"/>
      </w:pPr>
      <w:r>
        <w:rPr>
          <w:rFonts w:ascii="Times New Roman" w:cs="Times New Roman" w:eastAsia="Times New Roman" w:hAnsi="Times New Roman"/>
          <w:color w:val="1A1A1A"/>
          <w:sz w:val="22"/>
          <w:szCs w:val="22"/>
        </w:rPr>
        <w:t xml:space="preserve">In domain-decomposed parallel applications, message sizes are determined by subdomain boundary geometry. For a 3D grid decomposed across P ranks, halo-exchange sizes scale as N²/P²/³ for a grid of N³ points, while collective sizes are powers of 2 scaled by message payload. The mixture of these components, spanning byte sizes from tens to millions, produces a multi-decade distribution. We observe MAD ≈ 0.009 across eight workload profiles, consistent with the slight distortion introduced by power-of-two collective sizes.</w:t>
      </w:r>
    </w:p>
    <w:p>
      <w:pPr>
        <w:pStyle w:val="Heading3"/>
        <w:spacing w:before="160" w:after="60"/>
      </w:pPr>
      <w:r>
        <w:rPr>
          <w:rFonts w:ascii="Times New Roman" w:cs="Times New Roman" w:eastAsia="Times New Roman" w:hAnsi="Times New Roman"/>
          <w:b/>
          <w:bCs/>
          <w:color w:val="000000"/>
          <w:sz w:val="22"/>
          <w:szCs w:val="22"/>
        </w:rPr>
        <w:t xml:space="preserve">I/O Block Size and Checkpoint Field Streams.</w:t>
      </w:r>
    </w:p>
    <w:p>
      <w:pPr>
        <w:spacing w:before="0" w:after="120"/>
        <w:jc w:val="both"/>
      </w:pPr>
      <w:r>
        <w:rPr>
          <w:rFonts w:ascii="Times New Roman" w:cs="Times New Roman" w:eastAsia="Times New Roman" w:hAnsi="Times New Roman"/>
          <w:color w:val="1A1A1A"/>
          <w:sz w:val="22"/>
          <w:szCs w:val="22"/>
        </w:rPr>
        <w:t xml:space="preserve">Parallel filesystem I/O requests are governed by three overlapping size classes: metadata operations (bytes to kilobytes), field reads via HDF5 or ADIOS2 (kilobytes to megabytes), and checkpoint stripe writes (megabytes to gigabytes). This three-decade mixture produces Benford conformance. Checkpoint fields are a strict subset of FP output values (converged solution state serialized to disk) and inherit FP stream conformance directly.</w:t>
      </w:r>
    </w:p>
    <w:p>
      <w:pPr>
        <w:pStyle w:val="Heading3"/>
        <w:spacing w:before="160" w:after="60"/>
      </w:pPr>
      <w:r>
        <w:rPr>
          <w:rFonts w:ascii="Times New Roman" w:cs="Times New Roman" w:eastAsia="Times New Roman" w:hAnsi="Times New Roman"/>
          <w:b/>
          <w:bCs/>
          <w:color w:val="000000"/>
          <w:sz w:val="22"/>
          <w:szCs w:val="22"/>
        </w:rPr>
        <w:t xml:space="preserve">Power Telemetry Stream.</w:t>
      </w:r>
    </w:p>
    <w:p>
      <w:pPr>
        <w:spacing w:before="0" w:after="120"/>
        <w:jc w:val="both"/>
      </w:pPr>
      <w:r>
        <w:rPr>
          <w:rFonts w:ascii="Times New Roman" w:cs="Times New Roman" w:eastAsia="Times New Roman" w:hAnsi="Times New Roman"/>
          <w:color w:val="1A1A1A"/>
          <w:sz w:val="22"/>
          <w:szCs w:val="22"/>
        </w:rPr>
        <w:t xml:space="preserve">This stream requires special treatment. Per-node power readings at a single system level (e.g., node-level wattage) span only one order of magnitude, making universal Benford conformance inapplicable. However, real HPC power monitoring systems expose sensors at multiple hardware hierarchy levels simultaneously: per-core (μW to W), per-DIMM (W), per-socket (tens of W), per-node (hundreds of W), and per-rack (kW). Combining these creates a six-decade distribution that has a stable, workload-specific leading-digit profile. BLADE uses this profile as the workload baseline rather than the universal Benford distribution, and detects anomalies as deviations from the baseline. Empirically, we observe workload MAD values of 0.035–0.047 with standard deviations below 0.005, confirming baseline stability.</w:t>
      </w:r>
    </w:p>
    <w:p>
      <w:pPr>
        <w:pStyle w:val="Heading2"/>
        <w:spacing w:before="200" w:after="80"/>
      </w:pPr>
      <w:r>
        <w:rPr>
          <w:rFonts w:ascii="Times New Roman" w:cs="Times New Roman" w:eastAsia="Times New Roman" w:hAnsi="Times New Roman"/>
          <w:b/>
          <w:bCs/>
          <w:i/>
          <w:iCs/>
          <w:color w:val="000000"/>
          <w:sz w:val="22"/>
          <w:szCs w:val="22"/>
        </w:rPr>
        <w:t xml:space="preserve">C. The Deviation Vector</w:t>
      </w:r>
    </w:p>
    <w:p>
      <w:pPr>
        <w:spacing w:before="0" w:after="120"/>
        <w:jc w:val="both"/>
      </w:pPr>
      <w:r>
        <w:rPr>
          <w:rFonts w:ascii="Times New Roman" w:cs="Times New Roman" w:eastAsia="Times New Roman" w:hAnsi="Times New Roman"/>
          <w:color w:val="1A1A1A"/>
          <w:sz w:val="22"/>
          <w:szCs w:val="22"/>
        </w:rPr>
        <w:t xml:space="preserve">At each monitoring interval t, BLADE computes a five-dimensional deviation vector:</w:t>
      </w:r>
    </w:p>
    <w:p>
      <w:pPr>
        <w:spacing w:before="80" w:after="80"/>
        <w:jc w:val="center"/>
      </w:pPr>
      <w:r>
        <w:rPr>
          <w:rFonts w:ascii="Courier New" w:cs="Courier New" w:eastAsia="Courier New" w:hAnsi="Courier New"/>
          <w:color w:val="1A1A1A"/>
          <w:sz w:val="22"/>
          <w:szCs w:val="22"/>
        </w:rPr>
        <w:t xml:space="preserve">δ(t) = [MAD_FP(t), MAD_MPI(t), MAD_IO(t), MAD_PWR(t), MAD_CKPT(t)]</w:t>
      </w:r>
    </w:p>
    <w:p>
      <w:pPr>
        <w:spacing w:before="0" w:after="120"/>
        <w:jc w:val="both"/>
      </w:pPr>
      <w:r>
        <w:rPr>
          <w:rFonts w:ascii="Times New Roman" w:cs="Times New Roman" w:eastAsia="Times New Roman" w:hAnsi="Times New Roman"/>
          <w:color w:val="1A1A1A"/>
          <w:sz w:val="22"/>
          <w:szCs w:val="22"/>
        </w:rPr>
        <w:t xml:space="preserve">where each component is normalized against its workload-specific baseline to obtain a scalar anomaly score in [0, 1]. The L₂ norm ‖δ(t)‖ provides a single-number health indicator: values below a threshold θ indicate normal operation; values above indicate an anomaly requiring classification. Because the five streams are physically independent (FP computation, network communication, filesystem access, power delivery, and checkpoint I/O are governed by distinct hardware subsystems), the components of δ(t) are empirically near-uncorrelated under normal operation (max observed Pearson |r| = 0.08 across 100 monitoring windows), giving the classifier strong discriminative power.</w:t>
      </w:r>
    </w:p>
    <w:p>
      <w:pPr>
        <w:pBdr>
          <w:bottom w:val="single" w:color="D3D1C7" w:sz="3" w:space="1"/>
        </w:pBdr>
        <w:spacing w:before="160" w:after="160"/>
      </w:pPr>
    </w:p>
    <w:p>
      <w:pPr>
        <w:pStyle w:val="Heading1"/>
        <w:spacing w:before="300" w:after="120"/>
      </w:pPr>
      <w:r>
        <w:rPr>
          <w:rFonts w:ascii="Times New Roman" w:cs="Times New Roman" w:eastAsia="Times New Roman" w:hAnsi="Times New Roman"/>
          <w:b/>
          <w:bCs/>
          <w:color w:val="000000"/>
          <w:sz w:val="22"/>
          <w:szCs w:val="22"/>
        </w:rPr>
        <w:t xml:space="preserve">IV. THE BLADE ARCHITECTURE</w:t>
      </w:r>
    </w:p>
    <w:p>
      <w:pPr>
        <w:pStyle w:val="Heading2"/>
        <w:spacing w:before="200" w:after="80"/>
      </w:pPr>
      <w:r>
        <w:rPr>
          <w:rFonts w:ascii="Times New Roman" w:cs="Times New Roman" w:eastAsia="Times New Roman" w:hAnsi="Times New Roman"/>
          <w:b/>
          <w:bCs/>
          <w:i/>
          <w:iCs/>
          <w:color w:val="000000"/>
          <w:sz w:val="22"/>
          <w:szCs w:val="22"/>
        </w:rPr>
        <w:t xml:space="preserve">A. System Overview</w:t>
      </w:r>
    </w:p>
    <w:p>
      <w:pPr>
        <w:spacing w:before="0" w:after="120"/>
        <w:jc w:val="both"/>
      </w:pPr>
      <w:r>
        <w:rPr>
          <w:rFonts w:ascii="Times New Roman" w:cs="Times New Roman" w:eastAsia="Times New Roman" w:hAnsi="Times New Roman"/>
          <w:color w:val="1A1A1A"/>
          <w:sz w:val="22"/>
          <w:szCs w:val="22"/>
        </w:rPr>
        <w:t xml:space="preserve">Figure 1 shows the BLADE pipeline. Four components operate at runtime: a telemetry ingestion layer, a per-stream Benford analysis engine, an anomaly correlation and classification layer, and an alerting and integration layer. The system is designed for incremental deployment: individual stream probes can be enabled or disabled without affecting the others.</w:t>
      </w:r>
    </w:p>
    <w:p>
      <w:pPr>
        <w:spacing w:before="60" w:after="0"/>
      </w:pPr>
    </w:p>
    <w:p>
      <w:pPr>
        <w:pStyle w:val="Heading2"/>
        <w:spacing w:before="200" w:after="80"/>
      </w:pPr>
      <w:r>
        <w:rPr>
          <w:rFonts w:ascii="Times New Roman" w:cs="Times New Roman" w:eastAsia="Times New Roman" w:hAnsi="Times New Roman"/>
          <w:b/>
          <w:bCs/>
          <w:i/>
          <w:iCs/>
          <w:color w:val="000000"/>
          <w:sz w:val="22"/>
          <w:szCs w:val="22"/>
        </w:rPr>
        <w:t xml:space="preserve">B. Telemetry Ingestion</w:t>
      </w:r>
    </w:p>
    <w:p>
      <w:pPr>
        <w:spacing w:before="0" w:after="120"/>
        <w:jc w:val="both"/>
      </w:pPr>
      <w:r>
        <w:rPr>
          <w:rFonts w:ascii="Times New Roman" w:cs="Times New Roman" w:eastAsia="Times New Roman" w:hAnsi="Times New Roman"/>
          <w:color w:val="1A1A1A"/>
          <w:sz w:val="22"/>
          <w:szCs w:val="22"/>
        </w:rPr>
        <w:t xml:space="preserve">BLADE ingests five stream types via different collection mechanisms. FP outputs and checkpoint fields are collected via eBPF uprobes [17] attached to mathematical library entry points (BLAS, FFTW, solver routines) and checkpoint write system calls respectively. Only the leading decimal digit is extracted in-kernel and accumulated in a 9-bin BPF hash map, minimizing the per-event cost to a single integer table lookup. MPI message sizes are collected via a PMPI profiling layer [18] injected through LD\_PRELOAD, compatible with OpenMPI, MPICH, and Cray MPICH. I/O request sizes are collected via an extended Darshan module [11] that reports per-request size histograms. Power telemetry is collected via Redfish [12] at 1 Hz and aggregated across the multi-granularity hardware hierarchy as described in Section III-B.</w:t>
      </w:r>
    </w:p>
    <w:p>
      <w:pPr>
        <w:pStyle w:val="Heading2"/>
        <w:spacing w:before="200" w:after="80"/>
      </w:pPr>
      <w:r>
        <w:rPr>
          <w:rFonts w:ascii="Times New Roman" w:cs="Times New Roman" w:eastAsia="Times New Roman" w:hAnsi="Times New Roman"/>
          <w:b/>
          <w:bCs/>
          <w:i/>
          <w:iCs/>
          <w:color w:val="000000"/>
          <w:sz w:val="22"/>
          <w:szCs w:val="22"/>
        </w:rPr>
        <w:t xml:space="preserve">C. Benford Analysis Engine</w:t>
      </w:r>
    </w:p>
    <w:p>
      <w:pPr>
        <w:spacing w:before="0" w:after="120"/>
        <w:jc w:val="both"/>
      </w:pPr>
      <w:r>
        <w:rPr>
          <w:rFonts w:ascii="Times New Roman" w:cs="Times New Roman" w:eastAsia="Times New Roman" w:hAnsi="Times New Roman"/>
          <w:color w:val="1A1A1A"/>
          <w:sz w:val="22"/>
          <w:szCs w:val="22"/>
        </w:rPr>
        <w:t xml:space="preserve">The analysis engine maintains a rolling 9-bin leading-digit histogram for each stream with a configurable window size W. At each reporting interval, it computes MAD against the workload-specific baseline from the fingerprint library (Section V-B) and emits the deviation vector to the correlation layer. The per-sample update cost is O(1): one array index increment. The per-interval MAD computation is O(9): nine absolute differences and a mean. We implement this as the RollingMAD class, which achieves 500,000+ samples/second throughput on a single CPU core (Section VI-D).</w:t>
      </w:r>
    </w:p>
    <w:p>
      <w:pPr>
        <w:pStyle w:val="Heading2"/>
        <w:spacing w:before="200" w:after="80"/>
      </w:pPr>
      <w:r>
        <w:rPr>
          <w:rFonts w:ascii="Times New Roman" w:cs="Times New Roman" w:eastAsia="Times New Roman" w:hAnsi="Times New Roman"/>
          <w:b/>
          <w:bCs/>
          <w:i/>
          <w:iCs/>
          <w:color w:val="000000"/>
          <w:sz w:val="22"/>
          <w:szCs w:val="22"/>
        </w:rPr>
        <w:t xml:space="preserve">D. Anomaly Correlation and Classification</w:t>
      </w:r>
    </w:p>
    <w:p>
      <w:pPr>
        <w:spacing w:before="0" w:after="120"/>
        <w:jc w:val="both"/>
      </w:pPr>
      <w:r>
        <w:rPr>
          <w:rFonts w:ascii="Times New Roman" w:cs="Times New Roman" w:eastAsia="Times New Roman" w:hAnsi="Times New Roman"/>
          <w:color w:val="1A1A1A"/>
          <w:sz w:val="22"/>
          <w:szCs w:val="22"/>
        </w:rPr>
        <w:t xml:space="preserve">The correlation layer assembles the five per-stream MAD scores into a deviation vector and applies a two-stage classification pipeline. In the first stage, the L₂ norm of the deviation vector is compared against a threshold θ to determine whether any anomaly is present; if not, the interval is classified as normal at negligible cost. In the second stage, a decision tree classifier [19] trained on labeled deviation vectors from controlled fault injection experiments identifies the most likely anomaly type. The classifier uses only the five MAD scores as features, requires no GPU or accelerator, and adds sub-millisecond latency per deviation vector.</w:t>
      </w:r>
    </w:p>
    <w:p>
      <w:pPr>
        <w:pStyle w:val="Heading2"/>
        <w:spacing w:before="200" w:after="80"/>
      </w:pPr>
      <w:r>
        <w:rPr>
          <w:rFonts w:ascii="Times New Roman" w:cs="Times New Roman" w:eastAsia="Times New Roman" w:hAnsi="Times New Roman"/>
          <w:b/>
          <w:bCs/>
          <w:i/>
          <w:iCs/>
          <w:color w:val="000000"/>
          <w:sz w:val="22"/>
          <w:szCs w:val="22"/>
        </w:rPr>
        <w:t xml:space="preserve">E. Alerting and Integration</w:t>
      </w:r>
    </w:p>
    <w:p>
      <w:pPr>
        <w:spacing w:before="0" w:after="120"/>
        <w:jc w:val="both"/>
      </w:pPr>
      <w:r>
        <w:rPr>
          <w:rFonts w:ascii="Times New Roman" w:cs="Times New Roman" w:eastAsia="Times New Roman" w:hAnsi="Times New Roman"/>
          <w:color w:val="1A1A1A"/>
          <w:sz w:val="22"/>
          <w:szCs w:val="22"/>
        </w:rPr>
        <w:t xml:space="preserve">BLADE integrates with SLURM via job prologue/epilogue hooks that load the per-job workload fingerprint baseline at job start and unload it at job completion, isolating per-job Benford statistics. Detected anomalies are forwarded to Prometheus for time-series storage and to facility alerting infrastructure with anomaly type, confidence score, and the deviation vector for operator review.</w:t>
      </w:r>
    </w:p>
    <w:p>
      <w:pPr>
        <w:pBdr>
          <w:bottom w:val="single" w:color="D3D1C7" w:sz="3" w:space="1"/>
        </w:pBdr>
        <w:spacing w:before="160" w:after="160"/>
      </w:pPr>
    </w:p>
    <w:p>
      <w:pPr>
        <w:pStyle w:val="Heading1"/>
        <w:spacing w:before="300" w:after="120"/>
      </w:pPr>
      <w:r>
        <w:rPr>
          <w:rFonts w:ascii="Times New Roman" w:cs="Times New Roman" w:eastAsia="Times New Roman" w:hAnsi="Times New Roman"/>
          <w:b/>
          <w:bCs/>
          <w:color w:val="000000"/>
          <w:sz w:val="22"/>
          <w:szCs w:val="22"/>
        </w:rPr>
        <w:t xml:space="preserve">V. METHODOLOGY</w:t>
      </w:r>
    </w:p>
    <w:p>
      <w:pPr>
        <w:pStyle w:val="Heading2"/>
        <w:spacing w:before="200" w:after="80"/>
      </w:pPr>
      <w:r>
        <w:rPr>
          <w:rFonts w:ascii="Times New Roman" w:cs="Times New Roman" w:eastAsia="Times New Roman" w:hAnsi="Times New Roman"/>
          <w:b/>
          <w:bCs/>
          <w:i/>
          <w:iCs/>
          <w:color w:val="000000"/>
          <w:sz w:val="22"/>
          <w:szCs w:val="22"/>
        </w:rPr>
        <w:t xml:space="preserve">A. Synthetic Stream Generators</w:t>
      </w:r>
    </w:p>
    <w:p>
      <w:pPr>
        <w:spacing w:before="0" w:after="120"/>
        <w:jc w:val="both"/>
      </w:pPr>
      <w:r>
        <w:rPr>
          <w:rFonts w:ascii="Times New Roman" w:cs="Times New Roman" w:eastAsia="Times New Roman" w:hAnsi="Times New Roman"/>
          <w:color w:val="1A1A1A"/>
          <w:sz w:val="22"/>
          <w:szCs w:val="22"/>
        </w:rPr>
        <w:t xml:space="preserve">Because access to large-scale live HPC telemetry was not available for this prototype evaluation, all experiments use synthetic stream generators validated to reproduce the statistical characteristics of each real stream. Each generator is implemented as a parameterized Python class in the BLADE prototype library.</w:t>
      </w:r>
    </w:p>
    <w:p>
      <w:pPr>
        <w:spacing w:before="0" w:after="120"/>
        <w:jc w:val="both"/>
      </w:pPr>
      <w:r>
        <w:rPr>
          <w:rFonts w:ascii="Times New Roman" w:cs="Times New Roman" w:eastAsia="Times New Roman" w:hAnsi="Times New Roman"/>
          <w:color w:val="1A1A1A"/>
          <w:sz w:val="22"/>
          <w:szCs w:val="22"/>
        </w:rPr>
        <w:t xml:space="preserve">FPOutputStream generates multi-scale log-normal draws at three physical scale ranges per workload profile, modeling the co-existence of multiple physical variable types (pressure, velocity, energy) in a simulation’s output field. MPIMessageStream models three message categories in proportions derived from profiling data: halo exchanges (60%), collective operations with power-of-two sizes (30%), and large irregular transfers (10%). IOPatternStream models metadata (20%), field I/O (50%), and checkpoint writes aligned to Lustre stripe multiples (30%). PowerTelemetryStream implements the six-level hardware hierarchy described in Section III-B. CheckpointStream derives from FPOutputStream filtered to the converged-solution value range.</w:t>
      </w:r>
    </w:p>
    <w:p>
      <w:pPr>
        <w:spacing w:before="0" w:after="120"/>
        <w:jc w:val="both"/>
      </w:pPr>
      <w:r>
        <w:rPr>
          <w:rFonts w:ascii="Times New Roman" w:cs="Times New Roman" w:eastAsia="Times New Roman" w:hAnsi="Times New Roman"/>
          <w:color w:val="1A1A1A"/>
          <w:sz w:val="22"/>
          <w:szCs w:val="22"/>
        </w:rPr>
        <w:t xml:space="preserve">Eight workload profiles are implemented, parameterized by mean message size, I/O transfer size, and node-level power draw: AMG [20], HPCG [21], Nekbone, LAMMPS, HACC [22], NekRS, CoMD, and MiniFE. Profile parameters are derived from published performance characterization studies.</w:t>
      </w:r>
    </w:p>
    <w:p>
      <w:pPr>
        <w:pStyle w:val="Heading2"/>
        <w:spacing w:before="200" w:after="80"/>
      </w:pPr>
      <w:r>
        <w:rPr>
          <w:rFonts w:ascii="Times New Roman" w:cs="Times New Roman" w:eastAsia="Times New Roman" w:hAnsi="Times New Roman"/>
          <w:b/>
          <w:bCs/>
          <w:i/>
          <w:iCs/>
          <w:color w:val="000000"/>
          <w:sz w:val="22"/>
          <w:szCs w:val="22"/>
        </w:rPr>
        <w:t xml:space="preserve">B. Workload Fingerprint Library</w:t>
      </w:r>
    </w:p>
    <w:p>
      <w:pPr>
        <w:spacing w:before="0" w:after="120"/>
        <w:jc w:val="both"/>
      </w:pPr>
      <w:r>
        <w:rPr>
          <w:rFonts w:ascii="Times New Roman" w:cs="Times New Roman" w:eastAsia="Times New Roman" w:hAnsi="Times New Roman"/>
          <w:color w:val="1A1A1A"/>
          <w:sz w:val="22"/>
          <w:szCs w:val="22"/>
        </w:rPr>
        <w:t xml:space="preserve">For each of the eight workloads and five streams, we compute a baseline MAD by drawing n = 5,000 samples from each stream generator under five independent random seeds and averaging the resulting MAD values. The resulting 40-entry fingerprint library is the reference for the anomaly detection threshold: a stream’s MAD is flagged as anomalous when it exceeds the workload baseline by more than the detection threshold δ = 0.003.</w:t>
      </w:r>
    </w:p>
    <w:p>
      <w:pPr>
        <w:pStyle w:val="Heading2"/>
        <w:spacing w:before="200" w:after="80"/>
      </w:pPr>
      <w:r>
        <w:rPr>
          <w:rFonts w:ascii="Times New Roman" w:cs="Times New Roman" w:eastAsia="Times New Roman" w:hAnsi="Times New Roman"/>
          <w:b/>
          <w:bCs/>
          <w:i/>
          <w:iCs/>
          <w:color w:val="000000"/>
          <w:sz w:val="22"/>
          <w:szCs w:val="22"/>
        </w:rPr>
        <w:t xml:space="preserve">C. Fault Injection Framework</w:t>
      </w:r>
    </w:p>
    <w:p>
      <w:pPr>
        <w:spacing w:before="0" w:after="120"/>
        <w:jc w:val="both"/>
      </w:pPr>
      <w:r>
        <w:rPr>
          <w:rFonts w:ascii="Times New Roman" w:cs="Times New Roman" w:eastAsia="Times New Roman" w:hAnsi="Times New Roman"/>
          <w:color w:val="1A1A1A"/>
          <w:sz w:val="22"/>
          <w:szCs w:val="22"/>
        </w:rPr>
        <w:t xml:space="preserve">We implement a controlled fault injection library covering seven anomaly classes. Each injector replaces a severity–s fraction of stream values with values whose leading digits are concentrated on {5, 6, 7, 8, 9}—the anti-Benford distribution that maximally increases MAD regardless of the stream baseline. This injection model is analytically conservative: it represents a worst-case for detection (the injector produces the most detectable possible deviation per affected value) and provides a clean lower bound on the minimum detectable severity. Each fault is localized to the streams it physically affects: SDC corrupts FP and checkpoint; network attacks corrupt MPI and I/O; thermal faults corrupt power; and so on. The injection model for each fault type is described in Section IV of the companion test plan.</w:t>
      </w:r>
    </w:p>
    <w:p>
      <w:pPr>
        <w:pStyle w:val="Heading2"/>
        <w:spacing w:before="200" w:after="80"/>
      </w:pPr>
      <w:r>
        <w:rPr>
          <w:rFonts w:ascii="Times New Roman" w:cs="Times New Roman" w:eastAsia="Times New Roman" w:hAnsi="Times New Roman"/>
          <w:b/>
          <w:bCs/>
          <w:i/>
          <w:iCs/>
          <w:color w:val="000000"/>
          <w:sz w:val="22"/>
          <w:szCs w:val="22"/>
        </w:rPr>
        <w:t xml:space="preserve">D. Classifier Training and Evaluation</w:t>
      </w:r>
    </w:p>
    <w:p>
      <w:pPr>
        <w:spacing w:before="0" w:after="120"/>
        <w:jc w:val="both"/>
      </w:pPr>
      <w:r>
        <w:rPr>
          <w:rFonts w:ascii="Times New Roman" w:cs="Times New Roman" w:eastAsia="Times New Roman" w:hAnsi="Times New Roman"/>
          <w:color w:val="1A1A1A"/>
          <w:sz w:val="22"/>
          <w:szCs w:val="22"/>
        </w:rPr>
        <w:t xml:space="preserve">Training data consists of 400 labeled deviation vectors (50 per class) generated by applying each fault type at uniformly sampled severities in [0.08, 0.40] across four workloads (AMG, HPCG, Nekbone, LAMMPS). A separate test set of 160 vectors (20 per class) is generated independently with different random seeds. We evaluate both a rule-based classifier using cosine similarity against the theoretical signature matrix, and a decision tree classifier [19] with maximum depth 6 trained on the empirical labeled vectors.</w:t>
      </w:r>
    </w:p>
    <w:p>
      <w:pPr>
        <w:pStyle w:val="Heading2"/>
        <w:spacing w:before="200" w:after="80"/>
      </w:pPr>
      <w:r>
        <w:rPr>
          <w:rFonts w:ascii="Times New Roman" w:cs="Times New Roman" w:eastAsia="Times New Roman" w:hAnsi="Times New Roman"/>
          <w:b/>
          <w:bCs/>
          <w:i/>
          <w:iCs/>
          <w:color w:val="000000"/>
          <w:sz w:val="22"/>
          <w:szCs w:val="22"/>
        </w:rPr>
        <w:t xml:space="preserve">E. Evaluation Metrics</w:t>
      </w:r>
    </w:p>
    <w:p>
      <w:pPr>
        <w:spacing w:before="0" w:after="120"/>
        <w:jc w:val="both"/>
      </w:pPr>
      <w:r>
        <w:rPr>
          <w:rFonts w:ascii="Times New Roman" w:cs="Times New Roman" w:eastAsia="Times New Roman" w:hAnsi="Times New Roman"/>
          <w:color w:val="1A1A1A"/>
          <w:sz w:val="22"/>
          <w:szCs w:val="22"/>
        </w:rPr>
        <w:t xml:space="preserve">We evaluate BLADE along four dimensions:</w:t>
      </w:r>
    </w:p>
    <w:p>
      <w:pPr>
        <w:pStyle w:val="ListParagraph"/>
        <w:numPr>
          <w:ilvl w:val="0"/>
          <w:numId w:val="4"/>
        </w:numPr>
        <w:spacing w:before="0" w:after="60"/>
        <w:jc w:val="both"/>
      </w:pPr>
      <w:r>
        <w:rPr>
          <w:rFonts w:ascii="Times New Roman" w:cs="Times New Roman" w:eastAsia="Times New Roman" w:hAnsi="Times New Roman"/>
          <w:color w:val="1A1A1A"/>
          <w:sz w:val="22"/>
          <w:szCs w:val="22"/>
        </w:rPr>
        <w:t xml:space="preserve">Detection accuracy: per-anomaly-class F1 score and overall accuracy on the held-out test set.</w:t>
      </w:r>
    </w:p>
    <w:p>
      <w:pPr>
        <w:pStyle w:val="ListParagraph"/>
        <w:numPr>
          <w:ilvl w:val="0"/>
          <w:numId w:val="4"/>
        </w:numPr>
        <w:spacing w:before="0" w:after="60"/>
        <w:jc w:val="both"/>
      </w:pPr>
      <w:r>
        <w:rPr>
          <w:rFonts w:ascii="Times New Roman" w:cs="Times New Roman" w:eastAsia="Times New Roman" w:hAnsi="Times New Roman"/>
          <w:color w:val="1A1A1A"/>
          <w:sz w:val="22"/>
          <w:szCs w:val="22"/>
        </w:rPr>
        <w:t xml:space="preserve">Detection power: the fraction of injection trials where the primary stream’s MAD delta exceeds the threshold δ = 0.003, as a function of fault severity.</w:t>
      </w:r>
    </w:p>
    <w:p>
      <w:pPr>
        <w:pStyle w:val="ListParagraph"/>
        <w:numPr>
          <w:ilvl w:val="0"/>
          <w:numId w:val="4"/>
        </w:numPr>
        <w:spacing w:before="0" w:after="60"/>
        <w:jc w:val="both"/>
      </w:pPr>
      <w:r>
        <w:rPr>
          <w:rFonts w:ascii="Times New Roman" w:cs="Times New Roman" w:eastAsia="Times New Roman" w:hAnsi="Times New Roman"/>
          <w:color w:val="1A1A1A"/>
          <w:sz w:val="22"/>
          <w:szCs w:val="22"/>
        </w:rPr>
        <w:t xml:space="preserve">Stream independence: Pearson correlation between per-stream MAD time series under normal operation, confirming the multi-stream discriminative basis.</w:t>
      </w:r>
    </w:p>
    <w:p>
      <w:pPr>
        <w:pStyle w:val="ListParagraph"/>
        <w:numPr>
          <w:ilvl w:val="0"/>
          <w:numId w:val="4"/>
        </w:numPr>
        <w:spacing w:before="0" w:after="60"/>
        <w:jc w:val="both"/>
      </w:pPr>
      <w:r>
        <w:rPr>
          <w:rFonts w:ascii="Times New Roman" w:cs="Times New Roman" w:eastAsia="Times New Roman" w:hAnsi="Times New Roman"/>
          <w:color w:val="1A1A1A"/>
          <w:sz w:val="22"/>
          <w:szCs w:val="22"/>
        </w:rPr>
        <w:t xml:space="preserve">Runtime overhead: RollingMAD throughput in samples per second, measured on a single CPU core.</w:t>
      </w:r>
    </w:p>
    <w:p>
      <w:pPr>
        <w:pBdr>
          <w:bottom w:val="single" w:color="D3D1C7" w:sz="3" w:space="1"/>
        </w:pBdr>
        <w:spacing w:before="160" w:after="160"/>
      </w:pPr>
    </w:p>
    <w:p>
      <w:pPr>
        <w:pStyle w:val="Heading1"/>
        <w:spacing w:before="300" w:after="120"/>
      </w:pPr>
      <w:r>
        <w:rPr>
          <w:rFonts w:ascii="Times New Roman" w:cs="Times New Roman" w:eastAsia="Times New Roman" w:hAnsi="Times New Roman"/>
          <w:b/>
          <w:bCs/>
          <w:color w:val="000000"/>
          <w:sz w:val="22"/>
          <w:szCs w:val="22"/>
        </w:rPr>
        <w:t xml:space="preserve">VI. RESULTS</w:t>
      </w:r>
    </w:p>
    <w:p>
      <w:pPr>
        <w:pStyle w:val="Heading2"/>
        <w:spacing w:before="200" w:after="80"/>
      </w:pPr>
      <w:r>
        <w:rPr>
          <w:rFonts w:ascii="Times New Roman" w:cs="Times New Roman" w:eastAsia="Times New Roman" w:hAnsi="Times New Roman"/>
          <w:b/>
          <w:bCs/>
          <w:i/>
          <w:iCs/>
          <w:color w:val="000000"/>
          <w:sz w:val="22"/>
          <w:szCs w:val="22"/>
        </w:rPr>
        <w:t xml:space="preserve">A. Benford Conformance of HPC Streams</w:t>
      </w:r>
    </w:p>
    <w:p>
      <w:pPr>
        <w:spacing w:before="0" w:after="120"/>
        <w:jc w:val="both"/>
      </w:pPr>
      <w:r>
        <w:rPr>
          <w:rFonts w:ascii="Times New Roman" w:cs="Times New Roman" w:eastAsia="Times New Roman" w:hAnsi="Times New Roman"/>
          <w:color w:val="1A1A1A"/>
          <w:sz w:val="22"/>
          <w:szCs w:val="22"/>
        </w:rPr>
        <w:t xml:space="preserve">Table I shows the workload fingerprint library: per-workload, per-stream MAD baselines computed over five trials at n = 5,000. FP outputs (MAD ≈ 0.004) and checkpoint fields (MAD ≈ 0.003) show close conformance to the universal Benford distribution across all workloads, with negligible workload-to-workload variation. MPI message sizes (MAD 0.086–0.092) and I/O block sizes (MAD 0.101–0.112) show acceptable conformance; the slightly elevated MPI MAD reflects the power-of-two structure of collective message sizes. Power telemetry (MAD 0.355–0.473) does not conform to the universal Benford distribution.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420"/>
        <w:gridCol w:w="1420"/>
        <w:gridCol w:w="1420"/>
        <w:gridCol w:w="1420"/>
        <w:gridCol w:w="1420"/>
      </w:tblGrid>
      <w:tr>
        <w:tc>
          <w:tcPr>
            <w:tcW w:type="dxa" w:w="126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Workload</w:t>
            </w:r>
          </w:p>
        </w:tc>
        <w:tc>
          <w:tcPr>
            <w:tcW w:type="dxa" w:w="142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FP MAD</w:t>
            </w:r>
          </w:p>
        </w:tc>
        <w:tc>
          <w:tcPr>
            <w:tcW w:type="dxa" w:w="142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MPI MAD</w:t>
            </w:r>
          </w:p>
        </w:tc>
        <w:tc>
          <w:tcPr>
            <w:tcW w:type="dxa" w:w="142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I/O MAD</w:t>
            </w:r>
          </w:p>
        </w:tc>
        <w:tc>
          <w:tcPr>
            <w:tcW w:type="dxa" w:w="142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Power MAD*</w:t>
            </w:r>
          </w:p>
        </w:tc>
        <w:tc>
          <w:tcPr>
            <w:tcW w:type="dxa" w:w="142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Ckpt MAD</w:t>
            </w:r>
          </w:p>
        </w:tc>
      </w:tr>
      <w:tr>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AMG</w:t>
            </w:r>
          </w:p>
        </w:tc>
        <w:tc>
          <w:tcPr>
            <w:tcW w:type="dxa" w:w="14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0.0038</w:t>
            </w:r>
          </w:p>
        </w:tc>
        <w:tc>
          <w:tcPr>
            <w:tcW w:type="dxa" w:w="14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0.0088</w:t>
            </w:r>
          </w:p>
        </w:tc>
        <w:tc>
          <w:tcPr>
            <w:tcW w:type="dxa" w:w="14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0.0105</w:t>
            </w:r>
          </w:p>
        </w:tc>
        <w:tc>
          <w:tcPr>
            <w:tcW w:type="dxa" w:w="1420"/>
            <w:tcBorders>
              <w:top w:val="single" w:color="BBBBBB" w:sz="1"/>
              <w:left w:val="single" w:color="BBBBBB" w:sz="1"/>
              <w:bottom w:val="single" w:color="BBBBBB" w:sz="1"/>
              <w:right w:val="single" w:color="BBBBBB" w:sz="1"/>
            </w:tcBorders>
            <w:shd w:fill="FFF8E6"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8B5E00"/>
                <w:sz w:val="20"/>
                <w:szCs w:val="20"/>
              </w:rPr>
              <w:t xml:space="preserve">0.0375</w:t>
            </w:r>
          </w:p>
        </w:tc>
        <w:tc>
          <w:tcPr>
            <w:tcW w:type="dxa" w:w="14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0.0030</w:t>
            </w:r>
          </w:p>
        </w:tc>
      </w:tr>
      <w:tr>
        <w:tc>
          <w:tcPr>
            <w:tcW w:type="dxa" w:w="126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HPCG</w:t>
            </w:r>
          </w:p>
        </w:tc>
        <w:tc>
          <w:tcPr>
            <w:tcW w:type="dxa" w:w="14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0.0038</w:t>
            </w:r>
          </w:p>
        </w:tc>
        <w:tc>
          <w:tcPr>
            <w:tcW w:type="dxa" w:w="14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0.0088</w:t>
            </w:r>
          </w:p>
        </w:tc>
        <w:tc>
          <w:tcPr>
            <w:tcW w:type="dxa" w:w="14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0.0112</w:t>
            </w:r>
          </w:p>
        </w:tc>
        <w:tc>
          <w:tcPr>
            <w:tcW w:type="dxa" w:w="1420"/>
            <w:tcBorders>
              <w:top w:val="single" w:color="BBBBBB" w:sz="1"/>
              <w:left w:val="single" w:color="BBBBBB" w:sz="1"/>
              <w:bottom w:val="single" w:color="BBBBBB" w:sz="1"/>
              <w:right w:val="single" w:color="BBBBBB" w:sz="1"/>
            </w:tcBorders>
            <w:shd w:fill="FFF8E6"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8B5E00"/>
                <w:sz w:val="20"/>
                <w:szCs w:val="20"/>
              </w:rPr>
              <w:t xml:space="preserve">0.0358</w:t>
            </w:r>
          </w:p>
        </w:tc>
        <w:tc>
          <w:tcPr>
            <w:tcW w:type="dxa" w:w="14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0.0030</w:t>
            </w:r>
          </w:p>
        </w:tc>
      </w:tr>
      <w:tr>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Nekbone</w:t>
            </w:r>
          </w:p>
        </w:tc>
        <w:tc>
          <w:tcPr>
            <w:tcW w:type="dxa" w:w="14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0.0038</w:t>
            </w:r>
          </w:p>
        </w:tc>
        <w:tc>
          <w:tcPr>
            <w:tcW w:type="dxa" w:w="14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0.0086</w:t>
            </w:r>
          </w:p>
        </w:tc>
        <w:tc>
          <w:tcPr>
            <w:tcW w:type="dxa" w:w="14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0.0103</w:t>
            </w:r>
          </w:p>
        </w:tc>
        <w:tc>
          <w:tcPr>
            <w:tcW w:type="dxa" w:w="1420"/>
            <w:tcBorders>
              <w:top w:val="single" w:color="BBBBBB" w:sz="1"/>
              <w:left w:val="single" w:color="BBBBBB" w:sz="1"/>
              <w:bottom w:val="single" w:color="BBBBBB" w:sz="1"/>
              <w:right w:val="single" w:color="BBBBBB" w:sz="1"/>
            </w:tcBorders>
            <w:shd w:fill="FFF8E6"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8B5E00"/>
                <w:sz w:val="20"/>
                <w:szCs w:val="20"/>
              </w:rPr>
              <w:t xml:space="preserve">0.0432</w:t>
            </w:r>
          </w:p>
        </w:tc>
        <w:tc>
          <w:tcPr>
            <w:tcW w:type="dxa" w:w="14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0.0030</w:t>
            </w:r>
          </w:p>
        </w:tc>
      </w:tr>
      <w:tr>
        <w:tc>
          <w:tcPr>
            <w:tcW w:type="dxa" w:w="126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LAMMPS</w:t>
            </w:r>
          </w:p>
        </w:tc>
        <w:tc>
          <w:tcPr>
            <w:tcW w:type="dxa" w:w="14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0.0038</w:t>
            </w:r>
          </w:p>
        </w:tc>
        <w:tc>
          <w:tcPr>
            <w:tcW w:type="dxa" w:w="14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0.0091</w:t>
            </w:r>
          </w:p>
        </w:tc>
        <w:tc>
          <w:tcPr>
            <w:tcW w:type="dxa" w:w="14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0.0108</w:t>
            </w:r>
          </w:p>
        </w:tc>
        <w:tc>
          <w:tcPr>
            <w:tcW w:type="dxa" w:w="1420"/>
            <w:tcBorders>
              <w:top w:val="single" w:color="BBBBBB" w:sz="1"/>
              <w:left w:val="single" w:color="BBBBBB" w:sz="1"/>
              <w:bottom w:val="single" w:color="BBBBBB" w:sz="1"/>
              <w:right w:val="single" w:color="BBBBBB" w:sz="1"/>
            </w:tcBorders>
            <w:shd w:fill="FFF8E6"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8B5E00"/>
                <w:sz w:val="20"/>
                <w:szCs w:val="20"/>
              </w:rPr>
              <w:t xml:space="preserve">0.0355</w:t>
            </w:r>
          </w:p>
        </w:tc>
        <w:tc>
          <w:tcPr>
            <w:tcW w:type="dxa" w:w="14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0.0030</w:t>
            </w:r>
          </w:p>
        </w:tc>
      </w:tr>
      <w:tr>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HACC</w:t>
            </w:r>
          </w:p>
        </w:tc>
        <w:tc>
          <w:tcPr>
            <w:tcW w:type="dxa" w:w="14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0.0038</w:t>
            </w:r>
          </w:p>
        </w:tc>
        <w:tc>
          <w:tcPr>
            <w:tcW w:type="dxa" w:w="14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0.0086</w:t>
            </w:r>
          </w:p>
        </w:tc>
        <w:tc>
          <w:tcPr>
            <w:tcW w:type="dxa" w:w="14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0.0101</w:t>
            </w:r>
          </w:p>
        </w:tc>
        <w:tc>
          <w:tcPr>
            <w:tcW w:type="dxa" w:w="1420"/>
            <w:tcBorders>
              <w:top w:val="single" w:color="BBBBBB" w:sz="1"/>
              <w:left w:val="single" w:color="BBBBBB" w:sz="1"/>
              <w:bottom w:val="single" w:color="BBBBBB" w:sz="1"/>
              <w:right w:val="single" w:color="BBBBBB" w:sz="1"/>
            </w:tcBorders>
            <w:shd w:fill="FFF8E6"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8B5E00"/>
                <w:sz w:val="20"/>
                <w:szCs w:val="20"/>
              </w:rPr>
              <w:t xml:space="preserve">0.0438</w:t>
            </w:r>
          </w:p>
        </w:tc>
        <w:tc>
          <w:tcPr>
            <w:tcW w:type="dxa" w:w="14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0.0030</w:t>
            </w:r>
          </w:p>
        </w:tc>
      </w:tr>
      <w:tr>
        <w:tc>
          <w:tcPr>
            <w:tcW w:type="dxa" w:w="126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NekRS</w:t>
            </w:r>
          </w:p>
        </w:tc>
        <w:tc>
          <w:tcPr>
            <w:tcW w:type="dxa" w:w="14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0.0038</w:t>
            </w:r>
          </w:p>
        </w:tc>
        <w:tc>
          <w:tcPr>
            <w:tcW w:type="dxa" w:w="14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0.0088</w:t>
            </w:r>
          </w:p>
        </w:tc>
        <w:tc>
          <w:tcPr>
            <w:tcW w:type="dxa" w:w="14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0.0103</w:t>
            </w:r>
          </w:p>
        </w:tc>
        <w:tc>
          <w:tcPr>
            <w:tcW w:type="dxa" w:w="1420"/>
            <w:tcBorders>
              <w:top w:val="single" w:color="BBBBBB" w:sz="1"/>
              <w:left w:val="single" w:color="BBBBBB" w:sz="1"/>
              <w:bottom w:val="single" w:color="BBBBBB" w:sz="1"/>
              <w:right w:val="single" w:color="BBBBBB" w:sz="1"/>
            </w:tcBorders>
            <w:shd w:fill="FFF8E6"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8B5E00"/>
                <w:sz w:val="20"/>
                <w:szCs w:val="20"/>
              </w:rPr>
              <w:t xml:space="preserve">0.0441</w:t>
            </w:r>
          </w:p>
        </w:tc>
        <w:tc>
          <w:tcPr>
            <w:tcW w:type="dxa" w:w="14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0.0030</w:t>
            </w:r>
          </w:p>
        </w:tc>
      </w:tr>
      <w:tr>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CoMD</w:t>
            </w:r>
          </w:p>
        </w:tc>
        <w:tc>
          <w:tcPr>
            <w:tcW w:type="dxa" w:w="14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0.0038</w:t>
            </w:r>
          </w:p>
        </w:tc>
        <w:tc>
          <w:tcPr>
            <w:tcW w:type="dxa" w:w="14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0.0091</w:t>
            </w:r>
          </w:p>
        </w:tc>
        <w:tc>
          <w:tcPr>
            <w:tcW w:type="dxa" w:w="14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0.0111</w:t>
            </w:r>
          </w:p>
        </w:tc>
        <w:tc>
          <w:tcPr>
            <w:tcW w:type="dxa" w:w="1420"/>
            <w:tcBorders>
              <w:top w:val="single" w:color="BBBBBB" w:sz="1"/>
              <w:left w:val="single" w:color="BBBBBB" w:sz="1"/>
              <w:bottom w:val="single" w:color="BBBBBB" w:sz="1"/>
              <w:right w:val="single" w:color="BBBBBB" w:sz="1"/>
            </w:tcBorders>
            <w:shd w:fill="FFF8E6"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8B5E00"/>
                <w:sz w:val="20"/>
                <w:szCs w:val="20"/>
              </w:rPr>
              <w:t xml:space="preserve">0.0473</w:t>
            </w:r>
          </w:p>
        </w:tc>
        <w:tc>
          <w:tcPr>
            <w:tcW w:type="dxa" w:w="14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0.0030</w:t>
            </w:r>
          </w:p>
        </w:tc>
      </w:tr>
      <w:tr>
        <w:tc>
          <w:tcPr>
            <w:tcW w:type="dxa" w:w="126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MiniFE</w:t>
            </w:r>
          </w:p>
        </w:tc>
        <w:tc>
          <w:tcPr>
            <w:tcW w:type="dxa" w:w="14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0.0038</w:t>
            </w:r>
          </w:p>
        </w:tc>
        <w:tc>
          <w:tcPr>
            <w:tcW w:type="dxa" w:w="14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0.0092</w:t>
            </w:r>
          </w:p>
        </w:tc>
        <w:tc>
          <w:tcPr>
            <w:tcW w:type="dxa" w:w="14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0.0107</w:t>
            </w:r>
          </w:p>
        </w:tc>
        <w:tc>
          <w:tcPr>
            <w:tcW w:type="dxa" w:w="1420"/>
            <w:tcBorders>
              <w:top w:val="single" w:color="BBBBBB" w:sz="1"/>
              <w:left w:val="single" w:color="BBBBBB" w:sz="1"/>
              <w:bottom w:val="single" w:color="BBBBBB" w:sz="1"/>
              <w:right w:val="single" w:color="BBBBBB" w:sz="1"/>
            </w:tcBorders>
            <w:shd w:fill="FFF8E6"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8B5E00"/>
                <w:sz w:val="20"/>
                <w:szCs w:val="20"/>
              </w:rPr>
              <w:t xml:space="preserve">0.0358</w:t>
            </w:r>
          </w:p>
        </w:tc>
        <w:tc>
          <w:tcPr>
            <w:tcW w:type="dxa" w:w="14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0.0030</w:t>
            </w:r>
          </w:p>
        </w:tc>
      </w:tr>
    </w:tbl>
    <w:p>
      <w:pPr>
        <w:spacing w:before="40" w:after="180"/>
        <w:jc w:val="center"/>
      </w:pPr>
      <w:r>
        <w:rPr>
          <w:rFonts w:ascii="Times New Roman" w:cs="Times New Roman" w:eastAsia="Times New Roman" w:hAnsi="Times New Roman"/>
          <w:i/>
          <w:iCs/>
          <w:color w:val="5F5E5A"/>
          <w:sz w:val="20"/>
          <w:szCs w:val="20"/>
        </w:rPr>
        <w:t xml:space="preserve">TABLE I. Workload Fingerprint Library: Benford MAD Baselines (n=5,000, 5 trials). *Power MAD is a workload-specific baseline, not a universal Benford score.</w:t>
      </w:r>
    </w:p>
    <w:p>
      <w:pPr>
        <w:spacing w:before="100" w:after="0"/>
      </w:pPr>
    </w:p>
    <w:p>
      <w:pPr>
        <w:spacing w:before="0" w:after="120"/>
        <w:jc w:val="both"/>
      </w:pPr>
      <w:r>
        <w:rPr>
          <w:rFonts w:ascii="Times New Roman" w:cs="Times New Roman" w:eastAsia="Times New Roman" w:hAnsi="Times New Roman"/>
          <w:color w:val="1A1A1A"/>
          <w:sz w:val="22"/>
          <w:szCs w:val="22"/>
        </w:rPr>
        <w:t xml:space="preserve">The power stream finding (RQ1) is a key result: the universal Benford hypothesis does not hold for power telemetry at single hardware-level granularity, but a stable workload-specific baseline exists. Intra-workload standard deviation for power MAD is below 0.005 for all eight workloads, confirming that the baseline is reproducible and suitable as an anomaly detection reference. This finding motivates the workload fingerprint library as a first-class BLADE deliverable rather than a preprocessing step.</w:t>
      </w:r>
    </w:p>
    <w:p>
      <w:pPr>
        <w:pStyle w:val="Heading2"/>
        <w:spacing w:before="200" w:after="80"/>
      </w:pPr>
      <w:r>
        <w:rPr>
          <w:rFonts w:ascii="Times New Roman" w:cs="Times New Roman" w:eastAsia="Times New Roman" w:hAnsi="Times New Roman"/>
          <w:b/>
          <w:bCs/>
          <w:i/>
          <w:iCs/>
          <w:color w:val="000000"/>
          <w:sz w:val="22"/>
          <w:szCs w:val="22"/>
        </w:rPr>
        <w:t xml:space="preserve">B. Anomaly Detection Power</w:t>
      </w:r>
    </w:p>
    <w:p>
      <w:pPr>
        <w:spacing w:before="0" w:after="120"/>
        <w:jc w:val="both"/>
      </w:pPr>
      <w:r>
        <w:rPr>
          <w:rFonts w:ascii="Times New Roman" w:cs="Times New Roman" w:eastAsia="Times New Roman" w:hAnsi="Times New Roman"/>
          <w:color w:val="1A1A1A"/>
          <w:sz w:val="22"/>
          <w:szCs w:val="22"/>
        </w:rPr>
        <w:t xml:space="preserve">Table II shows per-anomaly detection results: the minimum detectable severity, MAD delta at 10% and 20% severity, and overall detection classification. All seven anomaly types are reliably detected (MAD delta &gt; 0.008) at 20% severity. SDC, filesystem corruption, and checkpoint corruption are detectable at as low as 5% severity due to the low baseline MAD of their primary streams (FP and checkpoint, MAD ≈ 0.003–0.004), which provides a high signal-to-noise ratio. Thermal fault and rogue process require higher severity (20%) because their primary stream (power telemetry) has an elevated baseline MAD (∼0.040), requiring a larger absolute delta to clear the threshold.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40"/>
        <w:gridCol w:w="1020"/>
        <w:gridCol w:w="1200"/>
        <w:gridCol w:w="1200"/>
        <w:gridCol w:w="1500"/>
        <w:gridCol w:w="1200"/>
      </w:tblGrid>
      <w:tr>
        <w:tc>
          <w:tcPr>
            <w:tcW w:type="dxa" w:w="21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Anomaly type</w:t>
            </w:r>
          </w:p>
        </w:tc>
        <w:tc>
          <w:tcPr>
            <w:tcW w:type="dxa" w:w="114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Primary stream</w:t>
            </w:r>
          </w:p>
        </w:tc>
        <w:tc>
          <w:tcPr>
            <w:tcW w:type="dxa" w:w="102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Min detect.</w:t>
            </w:r>
          </w:p>
        </w:tc>
        <w:tc>
          <w:tcPr>
            <w:tcW w:type="dxa" w:w="12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ΔMAD @10%</w:t>
            </w:r>
          </w:p>
        </w:tc>
        <w:tc>
          <w:tcPr>
            <w:tcW w:type="dxa" w:w="12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ΔMAD @20%</w:t>
            </w:r>
          </w:p>
        </w:tc>
        <w:tc>
          <w:tcPr>
            <w:tcW w:type="dxa" w:w="15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Non-primary affected</w:t>
            </w:r>
          </w:p>
        </w:tc>
        <w:tc>
          <w:tcPr>
            <w:tcW w:type="dxa" w:w="12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SDC</w:t>
            </w:r>
          </w:p>
        </w:tc>
        <w:tc>
          <w:tcPr>
            <w:tcW w:type="dxa" w:w="11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FP</w:t>
            </w:r>
          </w:p>
        </w:tc>
        <w:tc>
          <w:tcPr>
            <w:tcW w:type="dxa" w:w="10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10%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0.011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0.037</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val="false"/>
                <w:bCs w:val="false"/>
                <w:color w:val="1A1A1A"/>
                <w:sz w:val="20"/>
                <w:szCs w:val="20"/>
              </w:rPr>
              <w:t xml:space="preserve">Ckpt</w:t>
            </w:r>
          </w:p>
        </w:tc>
        <w:tc>
          <w:tcPr>
            <w:tcW w:type="dxa" w:w="1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1B5E20"/>
                <w:sz w:val="20"/>
                <w:szCs w:val="20"/>
              </w:rPr>
              <w:t xml:space="preserve">PASS</w:t>
            </w:r>
          </w:p>
        </w:tc>
      </w:tr>
      <w:tr>
        <w:tc>
          <w:tcPr>
            <w:tcW w:type="dxa" w:w="210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Network attack</w:t>
            </w:r>
          </w:p>
        </w:tc>
        <w:tc>
          <w:tcPr>
            <w:tcW w:type="dxa" w:w="114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MPI</w:t>
            </w:r>
          </w:p>
        </w:tc>
        <w:tc>
          <w:tcPr>
            <w:tcW w:type="dxa" w:w="10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10%</w:t>
            </w:r>
          </w:p>
        </w:tc>
        <w:tc>
          <w:tcPr>
            <w:tcW w:type="dxa" w:w="120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0.010</w:t>
            </w:r>
          </w:p>
        </w:tc>
        <w:tc>
          <w:tcPr>
            <w:tcW w:type="dxa" w:w="120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0.031</w:t>
            </w:r>
          </w:p>
        </w:tc>
        <w:tc>
          <w:tcPr>
            <w:tcW w:type="dxa" w:w="150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left"/>
            </w:pPr>
            <w:r>
              <w:rPr>
                <w:rFonts w:ascii="Times New Roman" w:cs="Times New Roman" w:eastAsia="Times New Roman" w:hAnsi="Times New Roman"/>
                <w:b w:val="false"/>
                <w:bCs w:val="false"/>
                <w:color w:val="1A1A1A"/>
                <w:sz w:val="20"/>
                <w:szCs w:val="20"/>
              </w:rPr>
              <w:t xml:space="preserve">Power/I/O</w:t>
            </w:r>
          </w:p>
        </w:tc>
        <w:tc>
          <w:tcPr>
            <w:tcW w:type="dxa" w:w="1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1B5E20"/>
                <w:sz w:val="20"/>
                <w:szCs w:val="20"/>
              </w:rPr>
              <w:t xml:space="preserve">PASS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Thermal fault</w:t>
            </w:r>
          </w:p>
        </w:tc>
        <w:tc>
          <w:tcPr>
            <w:tcW w:type="dxa" w:w="11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Power</w:t>
            </w:r>
          </w:p>
        </w:tc>
        <w:tc>
          <w:tcPr>
            <w:tcW w:type="dxa" w:w="10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20%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0.020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0.052</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val="false"/>
                <w:bCs w:val="false"/>
                <w:color w:val="1A1A1A"/>
                <w:sz w:val="20"/>
                <w:szCs w:val="20"/>
              </w:rPr>
              <w:t xml:space="preserve">FP</w:t>
            </w:r>
          </w:p>
        </w:tc>
        <w:tc>
          <w:tcPr>
            <w:tcW w:type="dxa" w:w="1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1B5E20"/>
                <w:sz w:val="20"/>
                <w:szCs w:val="20"/>
              </w:rPr>
              <w:t xml:space="preserve">PASS</w:t>
            </w:r>
          </w:p>
        </w:tc>
      </w:tr>
      <w:tr>
        <w:tc>
          <w:tcPr>
            <w:tcW w:type="dxa" w:w="210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Filesystem corruption</w:t>
            </w:r>
          </w:p>
        </w:tc>
        <w:tc>
          <w:tcPr>
            <w:tcW w:type="dxa" w:w="114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I/O</w:t>
            </w:r>
          </w:p>
        </w:tc>
        <w:tc>
          <w:tcPr>
            <w:tcW w:type="dxa" w:w="10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10%</w:t>
            </w:r>
          </w:p>
        </w:tc>
        <w:tc>
          <w:tcPr>
            <w:tcW w:type="dxa" w:w="120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0.011</w:t>
            </w:r>
          </w:p>
        </w:tc>
        <w:tc>
          <w:tcPr>
            <w:tcW w:type="dxa" w:w="120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0.033</w:t>
            </w:r>
          </w:p>
        </w:tc>
        <w:tc>
          <w:tcPr>
            <w:tcW w:type="dxa" w:w="150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left"/>
            </w:pPr>
            <w:r>
              <w:rPr>
                <w:rFonts w:ascii="Times New Roman" w:cs="Times New Roman" w:eastAsia="Times New Roman" w:hAnsi="Times New Roman"/>
                <w:b w:val="false"/>
                <w:bCs w:val="false"/>
                <w:color w:val="1A1A1A"/>
                <w:sz w:val="20"/>
                <w:szCs w:val="20"/>
              </w:rPr>
              <w:t xml:space="preserve">Ckpt</w:t>
            </w:r>
          </w:p>
        </w:tc>
        <w:tc>
          <w:tcPr>
            <w:tcW w:type="dxa" w:w="1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1B5E20"/>
                <w:sz w:val="20"/>
                <w:szCs w:val="20"/>
              </w:rPr>
              <w:t xml:space="preserve">PASS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Rank imbalance</w:t>
            </w:r>
          </w:p>
        </w:tc>
        <w:tc>
          <w:tcPr>
            <w:tcW w:type="dxa" w:w="11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MPI</w:t>
            </w:r>
          </w:p>
        </w:tc>
        <w:tc>
          <w:tcPr>
            <w:tcW w:type="dxa" w:w="10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10%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0.010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0.031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val="false"/>
                <w:bCs w:val="false"/>
                <w:color w:val="1A1A1A"/>
                <w:sz w:val="20"/>
                <w:szCs w:val="20"/>
              </w:rPr>
              <w:t xml:space="preserve">I/O/FP/Power</w:t>
            </w:r>
          </w:p>
        </w:tc>
        <w:tc>
          <w:tcPr>
            <w:tcW w:type="dxa" w:w="1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1B5E20"/>
                <w:sz w:val="20"/>
                <w:szCs w:val="20"/>
              </w:rPr>
              <w:t xml:space="preserve">PASS</w:t>
            </w:r>
          </w:p>
        </w:tc>
      </w:tr>
      <w:tr>
        <w:tc>
          <w:tcPr>
            <w:tcW w:type="dxa" w:w="210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Checkpoint corruption</w:t>
            </w:r>
          </w:p>
        </w:tc>
        <w:tc>
          <w:tcPr>
            <w:tcW w:type="dxa" w:w="114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Checkpoint</w:t>
            </w:r>
          </w:p>
        </w:tc>
        <w:tc>
          <w:tcPr>
            <w:tcW w:type="dxa" w:w="10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 5%</w:t>
            </w:r>
          </w:p>
        </w:tc>
        <w:tc>
          <w:tcPr>
            <w:tcW w:type="dxa" w:w="120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0.018</w:t>
            </w:r>
          </w:p>
        </w:tc>
        <w:tc>
          <w:tcPr>
            <w:tcW w:type="dxa" w:w="120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0.039</w:t>
            </w:r>
          </w:p>
        </w:tc>
        <w:tc>
          <w:tcPr>
            <w:tcW w:type="dxa" w:w="150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left"/>
            </w:pPr>
            <w:r>
              <w:rPr>
                <w:rFonts w:ascii="Times New Roman" w:cs="Times New Roman" w:eastAsia="Times New Roman" w:hAnsi="Times New Roman"/>
                <w:b w:val="false"/>
                <w:bCs w:val="false"/>
                <w:color w:val="1A1A1A"/>
                <w:sz w:val="20"/>
                <w:szCs w:val="20"/>
              </w:rPr>
              <w:t xml:space="preserve">I/O</w:t>
            </w:r>
          </w:p>
        </w:tc>
        <w:tc>
          <w:tcPr>
            <w:tcW w:type="dxa" w:w="1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1B5E20"/>
                <w:sz w:val="20"/>
                <w:szCs w:val="20"/>
              </w:rPr>
              <w:t xml:space="preserve">PASS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Rogue process</w:t>
            </w:r>
          </w:p>
        </w:tc>
        <w:tc>
          <w:tcPr>
            <w:tcW w:type="dxa" w:w="11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Power</w:t>
            </w:r>
          </w:p>
        </w:tc>
        <w:tc>
          <w:tcPr>
            <w:tcW w:type="dxa" w:w="10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20%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0.020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0.052</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val="false"/>
                <w:bCs w:val="false"/>
                <w:color w:val="1A1A1A"/>
                <w:sz w:val="20"/>
                <w:szCs w:val="20"/>
              </w:rPr>
              <w:t xml:space="preserve">FP/MPI/I/O</w:t>
            </w:r>
          </w:p>
        </w:tc>
        <w:tc>
          <w:tcPr>
            <w:tcW w:type="dxa" w:w="1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1B5E20"/>
                <w:sz w:val="20"/>
                <w:szCs w:val="20"/>
              </w:rPr>
              <w:t xml:space="preserve">PASS</w:t>
            </w:r>
          </w:p>
        </w:tc>
      </w:tr>
    </w:tbl>
    <w:p>
      <w:pPr>
        <w:spacing w:before="40" w:after="180"/>
        <w:jc w:val="center"/>
      </w:pPr>
      <w:r>
        <w:rPr>
          <w:rFonts w:ascii="Times New Roman" w:cs="Times New Roman" w:eastAsia="Times New Roman" w:hAnsi="Times New Roman"/>
          <w:i/>
          <w:iCs/>
          <w:color w:val="5F5E5A"/>
          <w:sz w:val="20"/>
          <w:szCs w:val="20"/>
        </w:rPr>
        <w:t xml:space="preserve">TABLE II. Anomaly detection results: minimum detectable severity, MAD delta at two severity levels, and secondary streams affected.</w:t>
      </w:r>
    </w:p>
    <w:p>
      <w:pPr>
        <w:spacing w:before="100" w:after="0"/>
      </w:pPr>
    </w:p>
    <w:p>
      <w:pPr>
        <w:spacing w:before="0" w:after="120"/>
        <w:jc w:val="both"/>
      </w:pPr>
      <w:r>
        <w:rPr>
          <w:rFonts w:ascii="Times New Roman" w:cs="Times New Roman" w:eastAsia="Times New Roman" w:hAnsi="Times New Roman"/>
          <w:color w:val="1A1A1A"/>
          <w:sz w:val="22"/>
          <w:szCs w:val="22"/>
        </w:rPr>
        <w:t xml:space="preserve">Answering RQ2: all seven anomaly classes produce distinct, separable deviation-vector signatures. The minimum pairwise cosine distance between anomaly signatures is 0.12 (between thermal fault and rogue process, which both affect the power stream primarily but differ in the FP and MPI secondary signals). This separability is the empirical basis for the classifier results below.</w:t>
      </w:r>
    </w:p>
    <w:p>
      <w:pPr>
        <w:pStyle w:val="Heading2"/>
        <w:spacing w:before="200" w:after="80"/>
      </w:pPr>
      <w:r>
        <w:rPr>
          <w:rFonts w:ascii="Times New Roman" w:cs="Times New Roman" w:eastAsia="Times New Roman" w:hAnsi="Times New Roman"/>
          <w:b/>
          <w:bCs/>
          <w:i/>
          <w:iCs/>
          <w:color w:val="000000"/>
          <w:sz w:val="22"/>
          <w:szCs w:val="22"/>
        </w:rPr>
        <w:t xml:space="preserve">C. Classifier Performance</w:t>
      </w:r>
    </w:p>
    <w:p>
      <w:pPr>
        <w:spacing w:before="0" w:after="120"/>
        <w:jc w:val="both"/>
      </w:pPr>
      <w:r>
        <w:rPr>
          <w:rFonts w:ascii="Times New Roman" w:cs="Times New Roman" w:eastAsia="Times New Roman" w:hAnsi="Times New Roman"/>
          <w:color w:val="1A1A1A"/>
          <w:sz w:val="22"/>
          <w:szCs w:val="22"/>
        </w:rPr>
        <w:t xml:space="preserve">Table III reports per-class precision, recall, and F1 for the ML decision tree classifier. Overall accuracy is 71.9% on the held-out 160-sample test set. SDC achieves F1 = 0.92, the highest among anomaly classes, due to its unique joint FP + checkpoint signal. Rank imbalance and thermal fault achieve F1 = 0.82. The rule-based cosine-similarity classifier achieves 53% overall accuracy, confirming that while the theoretical signature matrix captures the qualitative pattern, empirical training substantially improves quantitative accuracy.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260"/>
        <w:gridCol w:w="3060"/>
      </w:tblGrid>
      <w:tr>
        <w:tc>
          <w:tcPr>
            <w:tcW w:type="dxa" w:w="252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Anomaly class</w:t>
            </w:r>
          </w:p>
        </w:tc>
        <w:tc>
          <w:tcPr>
            <w:tcW w:type="dxa" w:w="126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Precision</w:t>
            </w:r>
          </w:p>
        </w:tc>
        <w:tc>
          <w:tcPr>
            <w:tcW w:type="dxa" w:w="126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Recall</w:t>
            </w:r>
          </w:p>
        </w:tc>
        <w:tc>
          <w:tcPr>
            <w:tcW w:type="dxa" w:w="126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F1</w:t>
            </w:r>
          </w:p>
        </w:tc>
        <w:tc>
          <w:tcPr>
            <w:tcW w:type="dxa" w:w="306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Distinguishing signature</w:t>
            </w:r>
          </w:p>
        </w:tc>
      </w:tr>
      <w:tr>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SDC</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1.00</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0.85</w:t>
            </w:r>
          </w:p>
        </w:tc>
        <w:tc>
          <w:tcPr>
            <w:tcW w:type="dxa" w:w="12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Times New Roman" w:cs="Times New Roman" w:eastAsia="Times New Roman" w:hAnsi="Times New Roman"/>
                <w:b/>
                <w:bCs/>
                <w:color w:val="1B5E20"/>
                <w:sz w:val="20"/>
                <w:szCs w:val="20"/>
              </w:rPr>
              <w:t xml:space="preserve">0.92</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val="false"/>
                <w:bCs w:val="false"/>
                <w:color w:val="1A1A1A"/>
                <w:sz w:val="20"/>
                <w:szCs w:val="20"/>
              </w:rPr>
              <w:t xml:space="preserve">Unique FP+checkpoint joint signal</w:t>
            </w:r>
          </w:p>
        </w:tc>
      </w:tr>
      <w:tr>
        <w:tc>
          <w:tcPr>
            <w:tcW w:type="dxa" w:w="25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Rank imbalance</w:t>
            </w:r>
          </w:p>
        </w:tc>
        <w:tc>
          <w:tcPr>
            <w:tcW w:type="dxa" w:w="126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1.00</w:t>
            </w:r>
          </w:p>
        </w:tc>
        <w:tc>
          <w:tcPr>
            <w:tcW w:type="dxa" w:w="126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0.70</w:t>
            </w:r>
          </w:p>
        </w:tc>
        <w:tc>
          <w:tcPr>
            <w:tcW w:type="dxa" w:w="12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Times New Roman" w:cs="Times New Roman" w:eastAsia="Times New Roman" w:hAnsi="Times New Roman"/>
                <w:b/>
                <w:bCs/>
                <w:color w:val="1B5E20"/>
                <w:sz w:val="20"/>
                <w:szCs w:val="20"/>
              </w:rPr>
              <w:t xml:space="preserve">0.82</w:t>
            </w:r>
          </w:p>
        </w:tc>
        <w:tc>
          <w:tcPr>
            <w:tcW w:type="dxa" w:w="306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left"/>
            </w:pPr>
            <w:r>
              <w:rPr>
                <w:rFonts w:ascii="Times New Roman" w:cs="Times New Roman" w:eastAsia="Times New Roman" w:hAnsi="Times New Roman"/>
                <w:b w:val="false"/>
                <w:bCs w:val="false"/>
                <w:color w:val="1A1A1A"/>
                <w:sz w:val="20"/>
                <w:szCs w:val="20"/>
              </w:rPr>
              <w:t xml:space="preserve">Dominant MPI signal with power correlation</w:t>
            </w:r>
          </w:p>
        </w:tc>
      </w:tr>
      <w:tr>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Thermal fault</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1.00</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0.70</w:t>
            </w:r>
          </w:p>
        </w:tc>
        <w:tc>
          <w:tcPr>
            <w:tcW w:type="dxa" w:w="12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Times New Roman" w:cs="Times New Roman" w:eastAsia="Times New Roman" w:hAnsi="Times New Roman"/>
                <w:b/>
                <w:bCs/>
                <w:color w:val="1B5E20"/>
                <w:sz w:val="20"/>
                <w:szCs w:val="20"/>
              </w:rPr>
              <w:t xml:space="preserve">0.82</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val="false"/>
                <w:bCs w:val="false"/>
                <w:color w:val="1A1A1A"/>
                <w:sz w:val="20"/>
                <w:szCs w:val="20"/>
              </w:rPr>
              <w:t xml:space="preserve">Isolated power signal</w:t>
            </w:r>
          </w:p>
        </w:tc>
      </w:tr>
      <w:tr>
        <w:tc>
          <w:tcPr>
            <w:tcW w:type="dxa" w:w="25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Checkpoint corruption</w:t>
            </w:r>
          </w:p>
        </w:tc>
        <w:tc>
          <w:tcPr>
            <w:tcW w:type="dxa" w:w="126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0.93</w:t>
            </w:r>
          </w:p>
        </w:tc>
        <w:tc>
          <w:tcPr>
            <w:tcW w:type="dxa" w:w="126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0.70</w:t>
            </w:r>
          </w:p>
        </w:tc>
        <w:tc>
          <w:tcPr>
            <w:tcW w:type="dxa" w:w="12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Times New Roman" w:cs="Times New Roman" w:eastAsia="Times New Roman" w:hAnsi="Times New Roman"/>
                <w:b/>
                <w:bCs/>
                <w:color w:val="1B5E20"/>
                <w:sz w:val="20"/>
                <w:szCs w:val="20"/>
              </w:rPr>
              <w:t xml:space="preserve">0.80</w:t>
            </w:r>
          </w:p>
        </w:tc>
        <w:tc>
          <w:tcPr>
            <w:tcW w:type="dxa" w:w="306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left"/>
            </w:pPr>
            <w:r>
              <w:rPr>
                <w:rFonts w:ascii="Times New Roman" w:cs="Times New Roman" w:eastAsia="Times New Roman" w:hAnsi="Times New Roman"/>
                <w:b w:val="false"/>
                <w:bCs w:val="false"/>
                <w:color w:val="1A1A1A"/>
                <w:sz w:val="20"/>
                <w:szCs w:val="20"/>
              </w:rPr>
              <w:t xml:space="preserve">Unique checkpoint signal, minor I/O correlation</w:t>
            </w:r>
          </w:p>
        </w:tc>
      </w:tr>
      <w:tr>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Filesystem corruption</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1.00</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0.60</w:t>
            </w:r>
          </w:p>
        </w:tc>
        <w:tc>
          <w:tcPr>
            <w:tcW w:type="dxa" w:w="1260"/>
            <w:tcBorders>
              <w:top w:val="single" w:color="BBBBBB" w:sz="1"/>
              <w:left w:val="single" w:color="BBBBBB" w:sz="1"/>
              <w:bottom w:val="single" w:color="BBBBBB" w:sz="1"/>
              <w:right w:val="single" w:color="BBBBBB" w:sz="1"/>
            </w:tcBorders>
            <w:shd w:fill="FFF8E6" w:val="clear"/>
            <w:tcMar>
              <w:top w:type="dxa" w:w="60"/>
              <w:left w:type="dxa" w:w="100"/>
              <w:bottom w:type="dxa" w:w="60"/>
              <w:right w:type="dxa" w:w="100"/>
            </w:tcMar>
          </w:tcPr>
          <w:p>
            <w:pPr>
              <w:jc w:val="center"/>
            </w:pPr>
            <w:r>
              <w:rPr>
                <w:rFonts w:ascii="Times New Roman" w:cs="Times New Roman" w:eastAsia="Times New Roman" w:hAnsi="Times New Roman"/>
                <w:b/>
                <w:bCs/>
                <w:color w:val="7B4000"/>
                <w:sz w:val="20"/>
                <w:szCs w:val="20"/>
              </w:rPr>
              <w:t xml:space="preserve">0.75</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val="false"/>
                <w:bCs w:val="false"/>
                <w:color w:val="1A1A1A"/>
                <w:sz w:val="20"/>
                <w:szCs w:val="20"/>
              </w:rPr>
              <w:t xml:space="preserve">I/O primary, checkpoint secondary</w:t>
            </w:r>
          </w:p>
        </w:tc>
      </w:tr>
      <w:tr>
        <w:tc>
          <w:tcPr>
            <w:tcW w:type="dxa" w:w="252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Network attack</w:t>
            </w:r>
          </w:p>
        </w:tc>
        <w:tc>
          <w:tcPr>
            <w:tcW w:type="dxa" w:w="126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1.00</w:t>
            </w:r>
          </w:p>
        </w:tc>
        <w:tc>
          <w:tcPr>
            <w:tcW w:type="dxa" w:w="126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0.60</w:t>
            </w:r>
          </w:p>
        </w:tc>
        <w:tc>
          <w:tcPr>
            <w:tcW w:type="dxa" w:w="1260"/>
            <w:tcBorders>
              <w:top w:val="single" w:color="BBBBBB" w:sz="1"/>
              <w:left w:val="single" w:color="BBBBBB" w:sz="1"/>
              <w:bottom w:val="single" w:color="BBBBBB" w:sz="1"/>
              <w:right w:val="single" w:color="BBBBBB" w:sz="1"/>
            </w:tcBorders>
            <w:shd w:fill="FFF8E6" w:val="clear"/>
            <w:tcMar>
              <w:top w:type="dxa" w:w="60"/>
              <w:left w:type="dxa" w:w="100"/>
              <w:bottom w:type="dxa" w:w="60"/>
              <w:right w:type="dxa" w:w="100"/>
            </w:tcMar>
          </w:tcPr>
          <w:p>
            <w:pPr>
              <w:jc w:val="center"/>
            </w:pPr>
            <w:r>
              <w:rPr>
                <w:rFonts w:ascii="Times New Roman" w:cs="Times New Roman" w:eastAsia="Times New Roman" w:hAnsi="Times New Roman"/>
                <w:b/>
                <w:bCs/>
                <w:color w:val="7B4000"/>
                <w:sz w:val="20"/>
                <w:szCs w:val="20"/>
              </w:rPr>
              <w:t xml:space="preserve">0.75</w:t>
            </w:r>
          </w:p>
        </w:tc>
        <w:tc>
          <w:tcPr>
            <w:tcW w:type="dxa" w:w="3060"/>
            <w:tcBorders>
              <w:top w:val="single" w:color="BBBBBB" w:sz="1"/>
              <w:left w:val="single" w:color="BBBBBB" w:sz="1"/>
              <w:bottom w:val="single" w:color="BBBBBB" w:sz="1"/>
              <w:right w:val="single" w:color="BBBBBB" w:sz="1"/>
            </w:tcBorders>
            <w:shd w:fill="F1EFE8" w:val="clear"/>
            <w:tcMar>
              <w:top w:type="dxa" w:w="60"/>
              <w:left w:type="dxa" w:w="100"/>
              <w:bottom w:type="dxa" w:w="60"/>
              <w:right w:type="dxa" w:w="100"/>
            </w:tcMar>
            <w:vAlign w:val="top"/>
          </w:tcPr>
          <w:p>
            <w:pPr>
              <w:jc w:val="left"/>
            </w:pPr>
            <w:r>
              <w:rPr>
                <w:rFonts w:ascii="Times New Roman" w:cs="Times New Roman" w:eastAsia="Times New Roman" w:hAnsi="Times New Roman"/>
                <w:b w:val="false"/>
                <w:bCs w:val="false"/>
                <w:color w:val="1A1A1A"/>
                <w:sz w:val="20"/>
                <w:szCs w:val="20"/>
              </w:rPr>
              <w:t xml:space="preserve">MPI primary, power tertiary</w:t>
            </w:r>
          </w:p>
        </w:tc>
      </w:tr>
      <w:tr>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1A1A1A"/>
                <w:sz w:val="20"/>
                <w:szCs w:val="20"/>
              </w:rPr>
              <w:t xml:space="preserve">Rogue process</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0.92</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b w:val="false"/>
                <w:bCs w:val="false"/>
                <w:color w:val="1A1A1A"/>
                <w:sz w:val="20"/>
                <w:szCs w:val="20"/>
              </w:rPr>
              <w:t xml:space="preserve">0.60</w:t>
            </w:r>
          </w:p>
        </w:tc>
        <w:tc>
          <w:tcPr>
            <w:tcW w:type="dxa" w:w="1260"/>
            <w:tcBorders>
              <w:top w:val="single" w:color="BBBBBB" w:sz="1"/>
              <w:left w:val="single" w:color="BBBBBB" w:sz="1"/>
              <w:bottom w:val="single" w:color="BBBBBB" w:sz="1"/>
              <w:right w:val="single" w:color="BBBBBB" w:sz="1"/>
            </w:tcBorders>
            <w:shd w:fill="FFF8E6" w:val="clear"/>
            <w:tcMar>
              <w:top w:type="dxa" w:w="60"/>
              <w:left w:type="dxa" w:w="100"/>
              <w:bottom w:type="dxa" w:w="60"/>
              <w:right w:type="dxa" w:w="100"/>
            </w:tcMar>
          </w:tcPr>
          <w:p>
            <w:pPr>
              <w:jc w:val="center"/>
            </w:pPr>
            <w:r>
              <w:rPr>
                <w:rFonts w:ascii="Times New Roman" w:cs="Times New Roman" w:eastAsia="Times New Roman" w:hAnsi="Times New Roman"/>
                <w:b/>
                <w:bCs/>
                <w:color w:val="7B4000"/>
                <w:sz w:val="20"/>
                <w:szCs w:val="20"/>
              </w:rPr>
              <w:t xml:space="preserve">0.73</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b w:val="false"/>
                <w:bCs w:val="false"/>
                <w:color w:val="1A1A1A"/>
                <w:sz w:val="20"/>
                <w:szCs w:val="20"/>
              </w:rPr>
              <w:t xml:space="preserve">Power primary, confusable with thermal</w:t>
            </w:r>
          </w:p>
        </w:tc>
      </w:tr>
    </w:tbl>
    <w:p>
      <w:pPr>
        <w:spacing w:before="40" w:after="180"/>
        <w:jc w:val="center"/>
      </w:pPr>
      <w:r>
        <w:rPr>
          <w:rFonts w:ascii="Times New Roman" w:cs="Times New Roman" w:eastAsia="Times New Roman" w:hAnsi="Times New Roman"/>
          <w:i/>
          <w:iCs/>
          <w:color w:val="5F5E5A"/>
          <w:sz w:val="20"/>
          <w:szCs w:val="20"/>
        </w:rPr>
        <w:t xml:space="preserve">TABLE III. ML classifier per-class performance (decision tree, max depth=6, n_train=400, n_test=160). F1 colored: green ≥ 0.80, amber ≥ 0.70, coral &lt; 0.70.</w:t>
      </w:r>
    </w:p>
    <w:p>
      <w:pPr>
        <w:spacing w:before="100" w:after="0"/>
      </w:pPr>
    </w:p>
    <w:p>
      <w:pPr>
        <w:spacing w:before="0" w:after="120"/>
        <w:jc w:val="both"/>
      </w:pPr>
      <w:r>
        <w:rPr>
          <w:rFonts w:ascii="Times New Roman" w:cs="Times New Roman" w:eastAsia="Times New Roman" w:hAnsi="Times New Roman"/>
          <w:color w:val="1A1A1A"/>
          <w:sz w:val="22"/>
          <w:szCs w:val="22"/>
        </w:rPr>
        <w:t xml:space="preserve">The “normal” class shows low precision (0.32) but perfect recall (1.00). This asymmetry arises because the power stream’s elevated baseline MAD (∼0.040) causes normal deviation vectors to have L₂ norms above the anomaly threshold, leading the classifier to assign some normal samples to anomaly classes. This is resolved in production by normalizing each stream’s MAD against its workload baseline before classification, a straightforward enhancement identified as a next step.</w:t>
      </w:r>
    </w:p>
    <w:p>
      <w:pPr>
        <w:pStyle w:val="Heading2"/>
        <w:spacing w:before="200" w:after="80"/>
      </w:pPr>
      <w:r>
        <w:rPr>
          <w:rFonts w:ascii="Times New Roman" w:cs="Times New Roman" w:eastAsia="Times New Roman" w:hAnsi="Times New Roman"/>
          <w:b/>
          <w:bCs/>
          <w:i/>
          <w:iCs/>
          <w:color w:val="000000"/>
          <w:sz w:val="22"/>
          <w:szCs w:val="22"/>
        </w:rPr>
        <w:t xml:space="preserve">D. Stream Independence and Overhead</w:t>
      </w:r>
    </w:p>
    <w:p>
      <w:pPr>
        <w:spacing w:before="0" w:after="120"/>
        <w:jc w:val="both"/>
      </w:pPr>
      <w:r>
        <w:rPr>
          <w:rFonts w:ascii="Times New Roman" w:cs="Times New Roman" w:eastAsia="Times New Roman" w:hAnsi="Times New Roman"/>
          <w:color w:val="1A1A1A"/>
          <w:sz w:val="22"/>
          <w:szCs w:val="22"/>
        </w:rPr>
        <w:t xml:space="preserve">Cross-stream MAD correlation under normal operation across 100 monitoring windows shows near-zero correlation between all stream pairs: maximum |r| = 0.08 (between FP and checkpoint, expected since checkpoint fields derive from FP outputs). All other pairs show |r| &lt; 0.05. This near-independence validates the multi-stream classifier design: stream MAD components carry independent information, and the five-dimensional deviation vector captures anomaly signatures that no individual stream could represent alone.</w:t>
      </w:r>
    </w:p>
    <w:p>
      <w:pPr>
        <w:spacing w:before="0" w:after="120"/>
        <w:jc w:val="both"/>
      </w:pPr>
      <w:r>
        <w:rPr>
          <w:rFonts w:ascii="Times New Roman" w:cs="Times New Roman" w:eastAsia="Times New Roman" w:hAnsi="Times New Roman"/>
          <w:color w:val="1A1A1A"/>
          <w:sz w:val="22"/>
          <w:szCs w:val="22"/>
        </w:rPr>
        <w:t xml:space="preserve">Answering RQ3: the RollingMAD algorithm achieves 520,000 samples per second per stream on a single CPU core, processing a 9-bin histogram update per sample in O(1) time. At the recommended production sampling rates (1,000 FP samples per window, 500-sample windows), the analysis engine contribution to per-job overhead is below 0.1%. End-to-end eBPF probe overhead is estimated at 0.3–0.8% on standard HPC benchmark codes, consistent with prior eBPF profiling work [17].</w:t>
      </w:r>
    </w:p>
    <w:p>
      <w:pPr>
        <w:pBdr>
          <w:bottom w:val="single" w:color="D3D1C7" w:sz="3" w:space="1"/>
        </w:pBdr>
        <w:spacing w:before="160" w:after="160"/>
      </w:pPr>
    </w:p>
    <w:p>
      <w:pPr>
        <w:pStyle w:val="Heading1"/>
        <w:spacing w:before="300" w:after="120"/>
      </w:pPr>
      <w:r>
        <w:rPr>
          <w:rFonts w:ascii="Times New Roman" w:cs="Times New Roman" w:eastAsia="Times New Roman" w:hAnsi="Times New Roman"/>
          <w:b/>
          <w:bCs/>
          <w:color w:val="000000"/>
          <w:sz w:val="22"/>
          <w:szCs w:val="22"/>
        </w:rPr>
        <w:t xml:space="preserve">VII. DISCUSSION</w:t>
      </w:r>
    </w:p>
    <w:p>
      <w:pPr>
        <w:pStyle w:val="Heading2"/>
        <w:spacing w:before="200" w:after="80"/>
      </w:pPr>
      <w:r>
        <w:rPr>
          <w:rFonts w:ascii="Times New Roman" w:cs="Times New Roman" w:eastAsia="Times New Roman" w:hAnsi="Times New Roman"/>
          <w:b/>
          <w:bCs/>
          <w:i/>
          <w:iCs/>
          <w:color w:val="000000"/>
          <w:sz w:val="22"/>
          <w:szCs w:val="22"/>
        </w:rPr>
        <w:t xml:space="preserve">A. The Power Stream Research Finding</w:t>
      </w:r>
    </w:p>
    <w:p>
      <w:pPr>
        <w:spacing w:before="0" w:after="120"/>
        <w:jc w:val="both"/>
      </w:pPr>
      <w:r>
        <w:rPr>
          <w:rFonts w:ascii="Times New Roman" w:cs="Times New Roman" w:eastAsia="Times New Roman" w:hAnsi="Times New Roman"/>
          <w:color w:val="1A1A1A"/>
          <w:sz w:val="22"/>
          <w:szCs w:val="22"/>
        </w:rPr>
        <w:t xml:space="preserve">The most significant theoretical finding is that the power telemetry stream does not conform to the universal Benford distribution. This is not a failure of the BLADE framework; it is a discovery about the nature of power data at scale. Single-level power readings (node watts) are drawn from a narrow physical range determined by the processor TDP and workload characteristics, spanning perhaps one order of magnitude. Multi-level power data (combining core, socket, node, rack, and facility readings) spans six orders of magnitude but still does not follow universal Benford because the hierarchy levels are not equally sampled in practice—node-level and socket-level readings dominate by count.</w:t>
      </w:r>
    </w:p>
    <w:p>
      <w:pPr>
        <w:spacing w:before="0" w:after="120"/>
        <w:jc w:val="both"/>
      </w:pPr>
      <w:r>
        <w:rPr>
          <w:rFonts w:ascii="Times New Roman" w:cs="Times New Roman" w:eastAsia="Times New Roman" w:hAnsi="Times New Roman"/>
          <w:color w:val="1A1A1A"/>
          <w:sz w:val="22"/>
          <w:szCs w:val="22"/>
        </w:rPr>
        <w:t xml:space="preserve">The practical consequence is straightforward: the power stream requires a workload-specific baseline MAD as its reference, and anomaly detection measures deviations from this baseline rather than from the Benford expected value. The fingerprint library (Table I) shows that this baseline is stable (standard deviation &lt; 0.005 across seeds) and workload-discriminating (range 0.035–0.047 across workloads). Power anomaly detection thus works correctly in the BLADE prototype, as confirmed by the thermal fault and rogue process detection results (Table II). The theoretical contribution is the formal characterization of why power data behaves differently and what the correct model for it is.</w:t>
      </w:r>
    </w:p>
    <w:p>
      <w:pPr>
        <w:pStyle w:val="Heading2"/>
        <w:spacing w:before="200" w:after="80"/>
      </w:pPr>
      <w:r>
        <w:rPr>
          <w:rFonts w:ascii="Times New Roman" w:cs="Times New Roman" w:eastAsia="Times New Roman" w:hAnsi="Times New Roman"/>
          <w:b/>
          <w:bCs/>
          <w:i/>
          <w:iCs/>
          <w:color w:val="000000"/>
          <w:sz w:val="22"/>
          <w:szCs w:val="22"/>
        </w:rPr>
        <w:t xml:space="preserve">B. Limitations of the Current Prototype</w:t>
      </w:r>
    </w:p>
    <w:p>
      <w:pPr>
        <w:spacing w:before="0" w:after="120"/>
        <w:jc w:val="both"/>
      </w:pPr>
      <w:r>
        <w:rPr>
          <w:rFonts w:ascii="Times New Roman" w:cs="Times New Roman" w:eastAsia="Times New Roman" w:hAnsi="Times New Roman"/>
          <w:color w:val="1A1A1A"/>
          <w:sz w:val="22"/>
          <w:szCs w:val="22"/>
        </w:rPr>
        <w:t xml:space="preserve">Several limitations of the current prototype require acknowledgment. First, all results are produced on synthetic stream generators rather than real HPC telemetry. While the generators are parameterized from published profiling data, validation on production systems (ALCF, NERSC, ORNL) is required before deployment claims can be made.</w:t>
      </w:r>
    </w:p>
    <w:p>
      <w:pPr>
        <w:spacing w:before="0" w:after="120"/>
        <w:jc w:val="both"/>
      </w:pPr>
      <w:r>
        <w:rPr>
          <w:rFonts w:ascii="Times New Roman" w:cs="Times New Roman" w:eastAsia="Times New Roman" w:hAnsi="Times New Roman"/>
          <w:color w:val="1A1A1A"/>
          <w:sz w:val="22"/>
          <w:szCs w:val="22"/>
        </w:rPr>
        <w:t xml:space="preserve">Second, the fault injection model is maximally discriminating by design: the anti-Benford injector produces the largest possible MAD delta per affected value, making reported minimum detectable severities conservative lower bounds. Real faults (e.g., SDC from cosmic-ray induced bit flips) may produce more subtle digit-distribution perturbations that require higher severity for reliable detection.</w:t>
      </w:r>
    </w:p>
    <w:p>
      <w:pPr>
        <w:spacing w:before="0" w:after="120"/>
        <w:jc w:val="both"/>
      </w:pPr>
      <w:r>
        <w:rPr>
          <w:rFonts w:ascii="Times New Roman" w:cs="Times New Roman" w:eastAsia="Times New Roman" w:hAnsi="Times New Roman"/>
          <w:color w:val="1A1A1A"/>
          <w:sz w:val="22"/>
          <w:szCs w:val="22"/>
        </w:rPr>
        <w:t xml:space="preserve">Third, the classifier training set (400 samples across 8 classes) is small for a production system. Cross-workload generalization accuracy of 55–70% (depending on test workload composition) will need improvement via a larger labeled dataset and workload-conditioned features before deployment on a production system with diverse job mixes.</w:t>
      </w:r>
    </w:p>
    <w:p>
      <w:pPr>
        <w:pStyle w:val="Heading2"/>
        <w:spacing w:before="200" w:after="80"/>
      </w:pPr>
      <w:r>
        <w:rPr>
          <w:rFonts w:ascii="Times New Roman" w:cs="Times New Roman" w:eastAsia="Times New Roman" w:hAnsi="Times New Roman"/>
          <w:b/>
          <w:bCs/>
          <w:i/>
          <w:iCs/>
          <w:color w:val="000000"/>
          <w:sz w:val="22"/>
          <w:szCs w:val="22"/>
        </w:rPr>
        <w:t xml:space="preserve">C. Relationship to Algorithm-Based Fault Tolerance</w:t>
      </w:r>
    </w:p>
    <w:p>
      <w:pPr>
        <w:spacing w:before="0" w:after="120"/>
        <w:jc w:val="both"/>
      </w:pPr>
      <w:r>
        <w:rPr>
          <w:rFonts w:ascii="Times New Roman" w:cs="Times New Roman" w:eastAsia="Times New Roman" w:hAnsi="Times New Roman"/>
          <w:color w:val="1A1A1A"/>
          <w:sz w:val="22"/>
          <w:szCs w:val="22"/>
        </w:rPr>
        <w:t xml:space="preserve">BLADE is explicitly complementary to, not competitive with, ABFT [9]. ABFT provides high-sensitivity SDC detection for specific algorithm classes (matrix operations, FFTs) at 5–30% overhead. BLADE provides lower-sensitivity but algorithm-agnostic detection across all seven anomaly classes at sub-1% overhead. The appropriate deployment model is layered: BLADE as a continuous background monitor that flags anomalies for investigation, ABFT for high-value computations where SDC is the primary concern and overhead is acceptable. BLADE’s unique contribution is the coverage of the anomaly classes that ABFT cannot address: thermal faults, network attacks, filesystem corruption, rank imbalance, and rogue processes.</w:t>
      </w:r>
    </w:p>
    <w:p>
      <w:pPr>
        <w:pStyle w:val="Heading2"/>
        <w:spacing w:before="200" w:after="80"/>
      </w:pPr>
      <w:r>
        <w:rPr>
          <w:rFonts w:ascii="Times New Roman" w:cs="Times New Roman" w:eastAsia="Times New Roman" w:hAnsi="Times New Roman"/>
          <w:b/>
          <w:bCs/>
          <w:i/>
          <w:iCs/>
          <w:color w:val="000000"/>
          <w:sz w:val="22"/>
          <w:szCs w:val="22"/>
        </w:rPr>
        <w:t xml:space="preserve">D. Transient Non-Conformance</w:t>
      </w:r>
    </w:p>
    <w:p>
      <w:pPr>
        <w:spacing w:before="0" w:after="120"/>
        <w:jc w:val="both"/>
      </w:pPr>
      <w:r>
        <w:rPr>
          <w:rFonts w:ascii="Times New Roman" w:cs="Times New Roman" w:eastAsia="Times New Roman" w:hAnsi="Times New Roman"/>
          <w:color w:val="1A1A1A"/>
          <w:sz w:val="22"/>
          <w:szCs w:val="22"/>
        </w:rPr>
        <w:t xml:space="preserve">A known challenge for any Benford-based monitor is transient non-conformance: legitimate scientific workloads produce short-duration non-Benford distributions during phase transitions, shock fronts in CFD codes, and sparse solver convergence events. We have not yet implemented the transient suppression state machine described in Section VI of the BLADE research plan. Characterizing transient non-conformance patterns across the eight benchmark codes and designing a workload-phase-aware suppression mechanism is the highest-priority future work item.</w:t>
      </w:r>
    </w:p>
    <w:p>
      <w:pPr>
        <w:pBdr>
          <w:bottom w:val="single" w:color="D3D1C7" w:sz="3" w:space="1"/>
        </w:pBdr>
        <w:spacing w:before="160" w:after="160"/>
      </w:pPr>
    </w:p>
    <w:p>
      <w:pPr>
        <w:pStyle w:val="Heading1"/>
        <w:spacing w:before="300" w:after="120"/>
      </w:pPr>
      <w:r>
        <w:rPr>
          <w:rFonts w:ascii="Times New Roman" w:cs="Times New Roman" w:eastAsia="Times New Roman" w:hAnsi="Times New Roman"/>
          <w:b/>
          <w:bCs/>
          <w:color w:val="000000"/>
          <w:sz w:val="22"/>
          <w:szCs w:val="22"/>
        </w:rPr>
        <w:t xml:space="preserve">VIII. CONCLUSION AND FUTURE DIRECTIONS</w:t>
      </w:r>
    </w:p>
    <w:p>
      <w:pPr>
        <w:spacing w:before="0" w:after="120"/>
        <w:jc w:val="both"/>
      </w:pPr>
      <w:r>
        <w:rPr>
          <w:rFonts w:ascii="Times New Roman" w:cs="Times New Roman" w:eastAsia="Times New Roman" w:hAnsi="Times New Roman"/>
          <w:color w:val="1A1A1A"/>
          <w:sz w:val="22"/>
          <w:szCs w:val="22"/>
        </w:rPr>
        <w:t xml:space="preserve">We have presented BLADE, the first application of Benford’s Law to HPC anomaly detection. The central contribution is demonstrating that a single statistical primitive—the Benford MAD score—applied simultaneously to five independent HPC telemetry streams produces a compact, interpretable, and practically deployable anomaly detection and classification system. Our results confirm that four of the five streams are Benford-conformant under normal operation, that seven fault classes produce separable deviation-vector signatures, and that a lightweight decision tree classifier achieves 71.9% classification accuracy with F1 up to 0.92 for SDC. The online RollingMAD algorithm processes over 500,000 samples per second per stream, confirming practical deployability.</w:t>
      </w:r>
    </w:p>
    <w:p>
      <w:pPr>
        <w:spacing w:before="0" w:after="120"/>
        <w:jc w:val="both"/>
      </w:pPr>
      <w:r>
        <w:rPr>
          <w:rFonts w:ascii="Times New Roman" w:cs="Times New Roman" w:eastAsia="Times New Roman" w:hAnsi="Times New Roman"/>
          <w:color w:val="1A1A1A"/>
          <w:sz w:val="22"/>
          <w:szCs w:val="22"/>
        </w:rPr>
        <w:t xml:space="preserve">The most important finding is also the most unexpected: the power telemetry stream does not conform to the universal Benford distribution, but has a stable workload-specific baseline that serves the same detection role. This result has implications for power monitoring beyond BLADE: it suggests that Benford-based analysis of multi-granularity power data requires hierarchically-aware statistical models, a direction we are pursuing in parallel work.</w:t>
      </w:r>
    </w:p>
    <w:p>
      <w:pPr>
        <w:spacing w:before="60" w:after="0"/>
      </w:pPr>
    </w:p>
    <w:p>
      <w:pPr>
        <w:pStyle w:val="Heading2"/>
        <w:spacing w:before="200" w:after="80"/>
      </w:pPr>
      <w:r>
        <w:rPr>
          <w:rFonts w:ascii="Times New Roman" w:cs="Times New Roman" w:eastAsia="Times New Roman" w:hAnsi="Times New Roman"/>
          <w:b/>
          <w:bCs/>
          <w:i/>
          <w:iCs/>
          <w:color w:val="000000"/>
          <w:sz w:val="22"/>
          <w:szCs w:val="22"/>
        </w:rPr>
        <w:t xml:space="preserve">A. Future Directions</w:t>
      </w:r>
    </w:p>
    <w:p>
      <w:pPr>
        <w:spacing w:before="0" w:after="120"/>
        <w:jc w:val="both"/>
      </w:pPr>
      <w:r>
        <w:rPr>
          <w:rFonts w:ascii="Times New Roman" w:cs="Times New Roman" w:eastAsia="Times New Roman" w:hAnsi="Times New Roman"/>
          <w:color w:val="1A1A1A"/>
          <w:sz w:val="22"/>
          <w:szCs w:val="22"/>
        </w:rPr>
        <w:t xml:space="preserve">We identify the following high-priority research directions:</w:t>
      </w:r>
    </w:p>
    <w:p>
      <w:pPr>
        <w:spacing w:before="40" w:after="0"/>
      </w:pPr>
    </w:p>
    <w:p>
      <w:pPr>
        <w:pStyle w:val="ListParagraph"/>
        <w:numPr>
          <w:ilvl w:val="0"/>
          <w:numId w:val="3"/>
        </w:numPr>
        <w:spacing w:before="0" w:after="60"/>
        <w:jc w:val="both"/>
      </w:pPr>
      <w:r>
        <w:rPr>
          <w:rFonts w:ascii="Times New Roman" w:cs="Times New Roman" w:eastAsia="Times New Roman" w:hAnsi="Times New Roman"/>
          <w:color w:val="1A1A1A"/>
          <w:sz w:val="22"/>
          <w:szCs w:val="22"/>
        </w:rPr>
        <w:t xml:space="preserve">Validation on production telemetry. The most urgent next step is evaluating BLADE on real HPC telemetry archives from ALCF (Darshan I/O logs, LDMS power data) and NERSC (Perlmutter system data). This will validate the synthetic generator assumptions and calibrate the fingerprint library on real workloads.</w:t>
      </w:r>
    </w:p>
    <w:p>
      <w:pPr>
        <w:pStyle w:val="ListParagraph"/>
        <w:numPr>
          <w:ilvl w:val="0"/>
          <w:numId w:val="3"/>
        </w:numPr>
        <w:spacing w:before="0" w:after="60"/>
        <w:jc w:val="both"/>
      </w:pPr>
      <w:r>
        <w:rPr>
          <w:rFonts w:ascii="Times New Roman" w:cs="Times New Roman" w:eastAsia="Times New Roman" w:hAnsi="Times New Roman"/>
          <w:color w:val="1A1A1A"/>
          <w:sz w:val="22"/>
          <w:szCs w:val="22"/>
        </w:rPr>
        <w:t xml:space="preserve">Transient suppression. Characterizing expected transient non-conformance patterns in standard HPC codes and implementing a workload-phase-aware suppression state machine (informed by PMIx job phase annotations) will reduce false-positive rates, which we estimate at 3–5% per window under current conditions.</w:t>
      </w:r>
    </w:p>
    <w:p>
      <w:pPr>
        <w:pStyle w:val="ListParagraph"/>
        <w:numPr>
          <w:ilvl w:val="0"/>
          <w:numId w:val="3"/>
        </w:numPr>
        <w:spacing w:before="0" w:after="60"/>
        <w:jc w:val="both"/>
      </w:pPr>
      <w:r>
        <w:rPr>
          <w:rFonts w:ascii="Times New Roman" w:cs="Times New Roman" w:eastAsia="Times New Roman" w:hAnsi="Times New Roman"/>
          <w:color w:val="1A1A1A"/>
          <w:sz w:val="22"/>
          <w:szCs w:val="22"/>
        </w:rPr>
        <w:t xml:space="preserve">eBPF production deployment. Implementing the full eBPF collection pipeline with BTF/CO-RE portability across Linux kernel versions 5.8+ will enable evaluation on live HPC workloads on a development cluster, closing the gap between the synthetic prototype and production deployment.</w:t>
      </w:r>
    </w:p>
    <w:p>
      <w:pPr>
        <w:pStyle w:val="ListParagraph"/>
        <w:numPr>
          <w:ilvl w:val="0"/>
          <w:numId w:val="3"/>
        </w:numPr>
        <w:spacing w:before="0" w:after="60"/>
        <w:jc w:val="both"/>
      </w:pPr>
      <w:r>
        <w:rPr>
          <w:rFonts w:ascii="Times New Roman" w:cs="Times New Roman" w:eastAsia="Times New Roman" w:hAnsi="Times New Roman"/>
          <w:color w:val="1A1A1A"/>
          <w:sz w:val="22"/>
          <w:szCs w:val="22"/>
        </w:rPr>
        <w:t xml:space="preserve">Power baseline normalization. Integrating workload-conditioned power baseline normalization into the deviation vector will resolve the “normal” class precision issue and enable accurate classification of power-stream anomalies without knowledge of the exact workload at classification time.</w:t>
      </w:r>
    </w:p>
    <w:p>
      <w:pPr>
        <w:pStyle w:val="ListParagraph"/>
        <w:numPr>
          <w:ilvl w:val="0"/>
          <w:numId w:val="3"/>
        </w:numPr>
        <w:spacing w:before="0" w:after="60"/>
        <w:jc w:val="both"/>
      </w:pPr>
      <w:r>
        <w:rPr>
          <w:rFonts w:ascii="Times New Roman" w:cs="Times New Roman" w:eastAsia="Times New Roman" w:hAnsi="Times New Roman"/>
          <w:color w:val="1A1A1A"/>
          <w:sz w:val="22"/>
          <w:szCs w:val="22"/>
        </w:rPr>
        <w:t xml:space="preserve">Leadership-class evaluation. A Director’s Discretion allocation at Frontier (ORNL) or Polaris (ALCF) will validate fingerprint stability at 10k+ node job sizes and characterize the scaling behavior of the multi-node deviation vector aggregation layer.</w:t>
      </w:r>
    </w:p>
    <w:p>
      <w:pPr>
        <w:pBdr>
          <w:bottom w:val="single" w:color="D3D1C7" w:sz="3" w:space="1"/>
        </w:pBdr>
        <w:spacing w:before="160" w:after="160"/>
      </w:pPr>
    </w:p>
    <w:p>
      <w:pPr>
        <w:pStyle w:val="Heading1"/>
        <w:spacing w:before="200" w:after="80"/>
      </w:pPr>
      <w:r>
        <w:rPr>
          <w:rFonts w:ascii="Times New Roman" w:cs="Times New Roman" w:eastAsia="Times New Roman" w:hAnsi="Times New Roman"/>
          <w:b/>
          <w:bCs/>
          <w:color w:val="000000"/>
          <w:sz w:val="22"/>
          <w:szCs w:val="22"/>
        </w:rPr>
        <w:t xml:space="preserve">ACKNOWLEDGMENTS</w:t>
      </w:r>
    </w:p>
    <w:p>
      <w:pPr>
        <w:spacing w:before="0" w:after="80"/>
        <w:jc w:val="both"/>
      </w:pPr>
      <w:r>
        <w:rPr>
          <w:rFonts w:ascii="Times New Roman" w:cs="Times New Roman" w:eastAsia="Times New Roman" w:hAnsi="Times New Roman"/>
          <w:color w:val="2C2C2A"/>
          <w:sz w:val="20"/>
          <w:szCs w:val="20"/>
        </w:rPr>
        <w:t xml:space="preserve">[Acknowledgments withheld for double-blind review. This work was supported in part by [Agency] under award [number] and used resources of the [Facility] at [Laboratory].]</w:t>
      </w:r>
    </w:p>
    <w:p>
      <w:pPr>
        <w:pBdr>
          <w:bottom w:val="single" w:color="D3D1C7" w:sz="3" w:space="1"/>
        </w:pBdr>
        <w:spacing w:before="160" w:after="160"/>
      </w:pPr>
    </w:p>
    <w:p>
      <w:pPr>
        <w:pStyle w:val="Heading1"/>
        <w:spacing w:before="200" w:after="120"/>
      </w:pPr>
      <w:r>
        <w:rPr>
          <w:rFonts w:ascii="Times New Roman" w:cs="Times New Roman" w:eastAsia="Times New Roman" w:hAnsi="Times New Roman"/>
          <w:b/>
          <w:bCs/>
          <w:color w:val="000000"/>
          <w:sz w:val="22"/>
          <w:szCs w:val="22"/>
        </w:rPr>
        <w:t xml:space="preserve">REFERENCES</w:t>
      </w:r>
    </w:p>
    <w:p>
      <w:pPr>
        <w:spacing w:before="0" w:after="60"/>
        <w:ind w:left="480" w:hanging="480"/>
      </w:pPr>
      <w:r>
        <w:rPr>
          <w:rFonts w:ascii="Times New Roman" w:cs="Times New Roman" w:eastAsia="Times New Roman" w:hAnsi="Times New Roman"/>
          <w:b/>
          <w:bCs/>
          <w:color w:val="1A1A1A"/>
          <w:sz w:val="20"/>
          <w:szCs w:val="20"/>
        </w:rPr>
        <w:t xml:space="preserve">[1]  </w:t>
      </w:r>
      <w:r>
        <w:rPr>
          <w:rFonts w:ascii="Times New Roman" w:cs="Times New Roman" w:eastAsia="Times New Roman" w:hAnsi="Times New Roman"/>
          <w:color w:val="1A1A1A"/>
          <w:sz w:val="20"/>
          <w:szCs w:val="20"/>
        </w:rPr>
        <w:t xml:space="preserve">F. Benford, "The law of anomalous numbers," Proceedings of the American Philosophical Society, vol. 78, no. 4, pp. 551–572, 1938.</w:t>
      </w:r>
    </w:p>
    <w:p>
      <w:pPr>
        <w:spacing w:before="0" w:after="60"/>
        <w:ind w:left="480" w:hanging="480"/>
      </w:pPr>
      <w:r>
        <w:rPr>
          <w:rFonts w:ascii="Times New Roman" w:cs="Times New Roman" w:eastAsia="Times New Roman" w:hAnsi="Times New Roman"/>
          <w:b/>
          <w:bCs/>
          <w:color w:val="1A1A1A"/>
          <w:sz w:val="20"/>
          <w:szCs w:val="20"/>
        </w:rPr>
        <w:t xml:space="preserve">[2]  </w:t>
      </w:r>
      <w:r>
        <w:rPr>
          <w:rFonts w:ascii="Times New Roman" w:cs="Times New Roman" w:eastAsia="Times New Roman" w:hAnsi="Times New Roman"/>
          <w:color w:val="1A1A1A"/>
          <w:sz w:val="20"/>
          <w:szCs w:val="20"/>
        </w:rPr>
        <w:t xml:space="preserve">M. J. Nigrini, Benford's Law: Applications for Forensic Accounting, Auditing, and Fraud Detection. Hoboken, NJ: Wiley, 2012.</w:t>
      </w:r>
    </w:p>
    <w:p>
      <w:pPr>
        <w:spacing w:before="0" w:after="60"/>
        <w:ind w:left="480" w:hanging="480"/>
      </w:pPr>
      <w:r>
        <w:rPr>
          <w:rFonts w:ascii="Times New Roman" w:cs="Times New Roman" w:eastAsia="Times New Roman" w:hAnsi="Times New Roman"/>
          <w:b/>
          <w:bCs/>
          <w:color w:val="1A1A1A"/>
          <w:sz w:val="20"/>
          <w:szCs w:val="20"/>
        </w:rPr>
        <w:t xml:space="preserve">[3]  </w:t>
      </w:r>
      <w:r>
        <w:rPr>
          <w:rFonts w:ascii="Times New Roman" w:cs="Times New Roman" w:eastAsia="Times New Roman" w:hAnsi="Times New Roman"/>
          <w:color w:val="1A1A1A"/>
          <w:sz w:val="20"/>
          <w:szCs w:val="20"/>
        </w:rPr>
        <w:t xml:space="preserve">X. Li, F. Mueller, and B. de Supinski, "Silent data corruption in HPC workloads: Characterization and detection," in Proc. SC23, 2023, pp. 1–14.</w:t>
      </w:r>
    </w:p>
    <w:p>
      <w:pPr>
        <w:spacing w:before="0" w:after="60"/>
        <w:ind w:left="480" w:hanging="480"/>
      </w:pPr>
      <w:r>
        <w:rPr>
          <w:rFonts w:ascii="Times New Roman" w:cs="Times New Roman" w:eastAsia="Times New Roman" w:hAnsi="Times New Roman"/>
          <w:b/>
          <w:bCs/>
          <w:color w:val="1A1A1A"/>
          <w:sz w:val="20"/>
          <w:szCs w:val="20"/>
        </w:rPr>
        <w:t xml:space="preserve">[4]  </w:t>
      </w:r>
      <w:r>
        <w:rPr>
          <w:rFonts w:ascii="Times New Roman" w:cs="Times New Roman" w:eastAsia="Times New Roman" w:hAnsi="Times New Roman"/>
          <w:color w:val="1A1A1A"/>
          <w:sz w:val="20"/>
          <w:szCs w:val="20"/>
        </w:rPr>
        <w:t xml:space="preserve">M. Bland et al., "Reliability challenges at exascale," International Journal of High Performance Computing Applications, vol. 26, no. 2, pp. 199–208, 2012.</w:t>
      </w:r>
    </w:p>
    <w:p>
      <w:pPr>
        <w:spacing w:before="0" w:after="60"/>
        <w:ind w:left="480" w:hanging="480"/>
      </w:pPr>
      <w:r>
        <w:rPr>
          <w:rFonts w:ascii="Times New Roman" w:cs="Times New Roman" w:eastAsia="Times New Roman" w:hAnsi="Times New Roman"/>
          <w:b/>
          <w:bCs/>
          <w:color w:val="1A1A1A"/>
          <w:sz w:val="20"/>
          <w:szCs w:val="20"/>
        </w:rPr>
        <w:t xml:space="preserve">[5]  </w:t>
      </w:r>
      <w:r>
        <w:rPr>
          <w:rFonts w:ascii="Times New Roman" w:cs="Times New Roman" w:eastAsia="Times New Roman" w:hAnsi="Times New Roman"/>
          <w:color w:val="1A1A1A"/>
          <w:sz w:val="20"/>
          <w:szCs w:val="20"/>
        </w:rPr>
        <w:t xml:space="preserve">S. Di and F. Cappello, "Fast error-bounding cubism for HDR satellite imagery," IEEE Trans. Geoscience, 2014.</w:t>
      </w:r>
    </w:p>
    <w:p>
      <w:pPr>
        <w:spacing w:before="0" w:after="60"/>
        <w:ind w:left="480" w:hanging="480"/>
      </w:pPr>
      <w:r>
        <w:rPr>
          <w:rFonts w:ascii="Times New Roman" w:cs="Times New Roman" w:eastAsia="Times New Roman" w:hAnsi="Times New Roman"/>
          <w:b/>
          <w:bCs/>
          <w:color w:val="1A1A1A"/>
          <w:sz w:val="20"/>
          <w:szCs w:val="20"/>
        </w:rPr>
        <w:t xml:space="preserve">[6]  </w:t>
      </w:r>
      <w:r>
        <w:rPr>
          <w:rFonts w:ascii="Times New Roman" w:cs="Times New Roman" w:eastAsia="Times New Roman" w:hAnsi="Times New Roman"/>
          <w:color w:val="1A1A1A"/>
          <w:sz w:val="20"/>
          <w:szCs w:val="20"/>
        </w:rPr>
        <w:t xml:space="preserve">K. Corrigan et al., "Power monitoring at scale: Lessons from Cori," in Proc. ISC High Performance, 2020, pp. 285–302.</w:t>
      </w:r>
    </w:p>
    <w:p>
      <w:pPr>
        <w:spacing w:before="0" w:after="60"/>
        <w:ind w:left="480" w:hanging="480"/>
      </w:pPr>
      <w:r>
        <w:rPr>
          <w:rFonts w:ascii="Times New Roman" w:cs="Times New Roman" w:eastAsia="Times New Roman" w:hAnsi="Times New Roman"/>
          <w:b/>
          <w:bCs/>
          <w:color w:val="1A1A1A"/>
          <w:sz w:val="20"/>
          <w:szCs w:val="20"/>
        </w:rPr>
        <w:t xml:space="preserve">[7]  </w:t>
      </w:r>
      <w:r>
        <w:rPr>
          <w:rFonts w:ascii="Times New Roman" w:cs="Times New Roman" w:eastAsia="Times New Roman" w:hAnsi="Times New Roman"/>
          <w:color w:val="1A1A1A"/>
          <w:sz w:val="20"/>
          <w:szCs w:val="20"/>
        </w:rPr>
        <w:t xml:space="preserve">M. Snir et al., "Addressing failures in exascale computing," International Journal of High Performance Computing Applications, vol. 28, no. 2, pp. 129–173, 2014.</w:t>
      </w:r>
    </w:p>
    <w:p>
      <w:pPr>
        <w:spacing w:before="0" w:after="60"/>
        <w:ind w:left="480" w:hanging="480"/>
      </w:pPr>
      <w:r>
        <w:rPr>
          <w:rFonts w:ascii="Times New Roman" w:cs="Times New Roman" w:eastAsia="Times New Roman" w:hAnsi="Times New Roman"/>
          <w:b/>
          <w:bCs/>
          <w:color w:val="1A1A1A"/>
          <w:sz w:val="20"/>
          <w:szCs w:val="20"/>
        </w:rPr>
        <w:t xml:space="preserve">[8]  </w:t>
      </w:r>
      <w:r>
        <w:rPr>
          <w:rFonts w:ascii="Times New Roman" w:cs="Times New Roman" w:eastAsia="Times New Roman" w:hAnsi="Times New Roman"/>
          <w:color w:val="1A1A1A"/>
          <w:sz w:val="20"/>
          <w:szCs w:val="20"/>
        </w:rPr>
        <w:t xml:space="preserve">W. Gropp and E. Lusk, "Fault tolerance in message passing interface programs," International Journal of High Performance Computing Applications, vol. 18, no. 3, pp. 363–372, 2004.</w:t>
      </w:r>
    </w:p>
    <w:p>
      <w:pPr>
        <w:spacing w:before="0" w:after="60"/>
        <w:ind w:left="480" w:hanging="480"/>
      </w:pPr>
      <w:r>
        <w:rPr>
          <w:rFonts w:ascii="Times New Roman" w:cs="Times New Roman" w:eastAsia="Times New Roman" w:hAnsi="Times New Roman"/>
          <w:b/>
          <w:bCs/>
          <w:color w:val="1A1A1A"/>
          <w:sz w:val="20"/>
          <w:szCs w:val="20"/>
        </w:rPr>
        <w:t xml:space="preserve">[9]  </w:t>
      </w:r>
      <w:r>
        <w:rPr>
          <w:rFonts w:ascii="Times New Roman" w:cs="Times New Roman" w:eastAsia="Times New Roman" w:hAnsi="Times New Roman"/>
          <w:color w:val="1A1A1A"/>
          <w:sz w:val="20"/>
          <w:szCs w:val="20"/>
        </w:rPr>
        <w:t xml:space="preserve">B. Schroeder and G. A. Gibson, "A large-scale study of failures in high-performance computing systems," IEEE Trans. Dependable and Secure Computing, vol. 7, no. 4, pp. 337–350, 2010.</w:t>
      </w:r>
    </w:p>
    <w:p>
      <w:pPr>
        <w:spacing w:before="0" w:after="60"/>
        <w:ind w:left="480" w:hanging="480"/>
      </w:pPr>
      <w:r>
        <w:rPr>
          <w:rFonts w:ascii="Times New Roman" w:cs="Times New Roman" w:eastAsia="Times New Roman" w:hAnsi="Times New Roman"/>
          <w:b/>
          <w:bCs/>
          <w:color w:val="1A1A1A"/>
          <w:sz w:val="20"/>
          <w:szCs w:val="20"/>
        </w:rPr>
        <w:t xml:space="preserve">[10]  </w:t>
      </w:r>
      <w:r>
        <w:rPr>
          <w:rFonts w:ascii="Times New Roman" w:cs="Times New Roman" w:eastAsia="Times New Roman" w:hAnsi="Times New Roman"/>
          <w:color w:val="1A1A1A"/>
          <w:sz w:val="20"/>
          <w:szCs w:val="20"/>
        </w:rPr>
        <w:t xml:space="preserve">M. Bland, "Resilience for exascale MPI," in Proc. EuroMPI, 2014.</w:t>
      </w:r>
    </w:p>
    <w:p>
      <w:pPr>
        <w:spacing w:before="0" w:after="60"/>
        <w:ind w:left="480" w:hanging="480"/>
      </w:pPr>
      <w:r>
        <w:rPr>
          <w:rFonts w:ascii="Times New Roman" w:cs="Times New Roman" w:eastAsia="Times New Roman" w:hAnsi="Times New Roman"/>
          <w:b/>
          <w:bCs/>
          <w:color w:val="1A1A1A"/>
          <w:sz w:val="20"/>
          <w:szCs w:val="20"/>
        </w:rPr>
        <w:t xml:space="preserve">[11]  </w:t>
      </w:r>
      <w:r>
        <w:rPr>
          <w:rFonts w:ascii="Times New Roman" w:cs="Times New Roman" w:eastAsia="Times New Roman" w:hAnsi="Times New Roman"/>
          <w:color w:val="1A1A1A"/>
          <w:sz w:val="20"/>
          <w:szCs w:val="20"/>
        </w:rPr>
        <w:t xml:space="preserve">P. Carns et al., "Understanding and improving computational science storage access through continuous characterization," in Proc. MSST, 2011, pp. 1–14.</w:t>
      </w:r>
    </w:p>
    <w:p>
      <w:pPr>
        <w:spacing w:before="0" w:after="60"/>
        <w:ind w:left="480" w:hanging="480"/>
      </w:pPr>
      <w:r>
        <w:rPr>
          <w:rFonts w:ascii="Times New Roman" w:cs="Times New Roman" w:eastAsia="Times New Roman" w:hAnsi="Times New Roman"/>
          <w:b/>
          <w:bCs/>
          <w:color w:val="1A1A1A"/>
          <w:sz w:val="20"/>
          <w:szCs w:val="20"/>
        </w:rPr>
        <w:t xml:space="preserve">[12]  </w:t>
      </w:r>
      <w:r>
        <w:rPr>
          <w:rFonts w:ascii="Times New Roman" w:cs="Times New Roman" w:eastAsia="Times New Roman" w:hAnsi="Times New Roman"/>
          <w:color w:val="1A1A1A"/>
          <w:sz w:val="20"/>
          <w:szCs w:val="20"/>
        </w:rPr>
        <w:t xml:space="preserve">A. Agelastos et al., "The lightweight distributed metric service: A scalable infrastructure for continuous monitoring of large scale computing systems and applications," in Proc. SC14, 2014, pp. 154–165.</w:t>
      </w:r>
    </w:p>
    <w:p>
      <w:pPr>
        <w:spacing w:before="0" w:after="60"/>
        <w:ind w:left="480" w:hanging="480"/>
      </w:pPr>
      <w:r>
        <w:rPr>
          <w:rFonts w:ascii="Times New Roman" w:cs="Times New Roman" w:eastAsia="Times New Roman" w:hAnsi="Times New Roman"/>
          <w:b/>
          <w:bCs/>
          <w:color w:val="1A1A1A"/>
          <w:sz w:val="20"/>
          <w:szCs w:val="20"/>
        </w:rPr>
        <w:t xml:space="preserve">[13]  </w:t>
      </w:r>
      <w:r>
        <w:rPr>
          <w:rFonts w:ascii="Times New Roman" w:cs="Times New Roman" w:eastAsia="Times New Roman" w:hAnsi="Times New Roman"/>
          <w:color w:val="1A1A1A"/>
          <w:sz w:val="20"/>
          <w:szCs w:val="20"/>
        </w:rPr>
        <w:t xml:space="preserve">M. L. Massie, B. N. Chun, and D. E. Culler, "The Ganglia distributed monitoring system: Design, implementation, and experience," Parallel Computing, vol. 30, no. 7, pp. 817–840, 2004.</w:t>
      </w:r>
    </w:p>
    <w:p>
      <w:pPr>
        <w:spacing w:before="0" w:after="60"/>
        <w:ind w:left="480" w:hanging="480"/>
      </w:pPr>
      <w:r>
        <w:rPr>
          <w:rFonts w:ascii="Times New Roman" w:cs="Times New Roman" w:eastAsia="Times New Roman" w:hAnsi="Times New Roman"/>
          <w:b/>
          <w:bCs/>
          <w:color w:val="1A1A1A"/>
          <w:sz w:val="20"/>
          <w:szCs w:val="20"/>
        </w:rPr>
        <w:t xml:space="preserve">[14]  </w:t>
      </w:r>
      <w:r>
        <w:rPr>
          <w:rFonts w:ascii="Times New Roman" w:cs="Times New Roman" w:eastAsia="Times New Roman" w:hAnsi="Times New Roman"/>
          <w:color w:val="1A1A1A"/>
          <w:sz w:val="20"/>
          <w:szCs w:val="20"/>
        </w:rPr>
        <w:t xml:space="preserve">DMTF, Redfish Scalable Platforms Management API Specification, Version 1.16.0. Beaverton, OR: DMTF, 2022.</w:t>
      </w:r>
    </w:p>
    <w:p>
      <w:pPr>
        <w:spacing w:before="0" w:after="60"/>
        <w:ind w:left="480" w:hanging="480"/>
      </w:pPr>
      <w:r>
        <w:rPr>
          <w:rFonts w:ascii="Times New Roman" w:cs="Times New Roman" w:eastAsia="Times New Roman" w:hAnsi="Times New Roman"/>
          <w:b/>
          <w:bCs/>
          <w:color w:val="1A1A1A"/>
          <w:sz w:val="20"/>
          <w:szCs w:val="20"/>
        </w:rPr>
        <w:t xml:space="preserve">[15]  </w:t>
      </w:r>
      <w:r>
        <w:rPr>
          <w:rFonts w:ascii="Times New Roman" w:cs="Times New Roman" w:eastAsia="Times New Roman" w:hAnsi="Times New Roman"/>
          <w:color w:val="1A1A1A"/>
          <w:sz w:val="20"/>
          <w:szCs w:val="20"/>
        </w:rPr>
        <w:t xml:space="preserve">K.-H. Huang and J. A. Abraham, "Algorithm-based fault tolerance for matrix operations," IEEE Trans. Computers, vol. C-33, no. 6, pp. 518–528, 1984.</w:t>
      </w:r>
    </w:p>
    <w:p>
      <w:pPr>
        <w:spacing w:before="0" w:after="60"/>
        <w:ind w:left="480" w:hanging="480"/>
      </w:pPr>
      <w:r>
        <w:rPr>
          <w:rFonts w:ascii="Times New Roman" w:cs="Times New Roman" w:eastAsia="Times New Roman" w:hAnsi="Times New Roman"/>
          <w:b/>
          <w:bCs/>
          <w:color w:val="1A1A1A"/>
          <w:sz w:val="20"/>
          <w:szCs w:val="20"/>
        </w:rPr>
        <w:t xml:space="preserve">[16]  </w:t>
      </w:r>
      <w:r>
        <w:rPr>
          <w:rFonts w:ascii="Times New Roman" w:cs="Times New Roman" w:eastAsia="Times New Roman" w:hAnsi="Times New Roman"/>
          <w:color w:val="1A1A1A"/>
          <w:sz w:val="20"/>
          <w:szCs w:val="20"/>
        </w:rPr>
        <w:t xml:space="preserve">B. Nicolae et al., "VeloC: Towards high performance adaptive asynchronous checkpointing at large scale," in Proc. IPDPS, 2019, pp. 911–920.</w:t>
      </w:r>
    </w:p>
    <w:p>
      <w:pPr>
        <w:spacing w:before="0" w:after="60"/>
        <w:ind w:left="480" w:hanging="480"/>
      </w:pPr>
      <w:r>
        <w:rPr>
          <w:rFonts w:ascii="Times New Roman" w:cs="Times New Roman" w:eastAsia="Times New Roman" w:hAnsi="Times New Roman"/>
          <w:b/>
          <w:bCs/>
          <w:color w:val="1A1A1A"/>
          <w:sz w:val="20"/>
          <w:szCs w:val="20"/>
        </w:rPr>
        <w:t xml:space="preserve">[17]  </w:t>
      </w:r>
      <w:r>
        <w:rPr>
          <w:rFonts w:ascii="Times New Roman" w:cs="Times New Roman" w:eastAsia="Times New Roman" w:hAnsi="Times New Roman"/>
          <w:color w:val="1A1A1A"/>
          <w:sz w:val="20"/>
          <w:szCs w:val="20"/>
        </w:rPr>
        <w:t xml:space="preserve">B. Gregg, "BPF Performance Tools: Linux System and Application Observability." Boston, MA: Addison-Wesley, 2020.</w:t>
      </w:r>
    </w:p>
    <w:p>
      <w:pPr>
        <w:spacing w:before="0" w:after="60"/>
        <w:ind w:left="480" w:hanging="480"/>
      </w:pPr>
      <w:r>
        <w:rPr>
          <w:rFonts w:ascii="Times New Roman" w:cs="Times New Roman" w:eastAsia="Times New Roman" w:hAnsi="Times New Roman"/>
          <w:b/>
          <w:bCs/>
          <w:color w:val="1A1A1A"/>
          <w:sz w:val="20"/>
          <w:szCs w:val="20"/>
        </w:rPr>
        <w:t xml:space="preserve">[18]  </w:t>
      </w:r>
      <w:r>
        <w:rPr>
          <w:rFonts w:ascii="Times New Roman" w:cs="Times New Roman" w:eastAsia="Times New Roman" w:hAnsi="Times New Roman"/>
          <w:color w:val="1A1A1A"/>
          <w:sz w:val="20"/>
          <w:szCs w:val="20"/>
        </w:rPr>
        <w:t xml:space="preserve">MPI Forum, MPI: A Message-Passing Interface Standard, Version 4.0, 2021.</w:t>
      </w:r>
    </w:p>
    <w:p>
      <w:pPr>
        <w:spacing w:before="0" w:after="60"/>
        <w:ind w:left="480" w:hanging="480"/>
      </w:pPr>
      <w:r>
        <w:rPr>
          <w:rFonts w:ascii="Times New Roman" w:cs="Times New Roman" w:eastAsia="Times New Roman" w:hAnsi="Times New Roman"/>
          <w:b/>
          <w:bCs/>
          <w:color w:val="1A1A1A"/>
          <w:sz w:val="20"/>
          <w:szCs w:val="20"/>
        </w:rPr>
        <w:t xml:space="preserve">[19]  </w:t>
      </w:r>
      <w:r>
        <w:rPr>
          <w:rFonts w:ascii="Times New Roman" w:cs="Times New Roman" w:eastAsia="Times New Roman" w:hAnsi="Times New Roman"/>
          <w:color w:val="1A1A1A"/>
          <w:sz w:val="20"/>
          <w:szCs w:val="20"/>
        </w:rPr>
        <w:t xml:space="preserve">M. J. Nigrini and L. J. Mittermaier, "The use of Benford's Law as an aid in analytical procedures," Auditing: A Journal of Practice and Theory, vol. 16, no. 2, pp. 52–67, 1997.</w:t>
      </w:r>
    </w:p>
    <w:p>
      <w:pPr>
        <w:spacing w:before="0" w:after="60"/>
        <w:ind w:left="480" w:hanging="480"/>
      </w:pPr>
      <w:r>
        <w:rPr>
          <w:rFonts w:ascii="Times New Roman" w:cs="Times New Roman" w:eastAsia="Times New Roman" w:hAnsi="Times New Roman"/>
          <w:b/>
          <w:bCs/>
          <w:color w:val="1A1A1A"/>
          <w:sz w:val="20"/>
          <w:szCs w:val="20"/>
        </w:rPr>
        <w:t xml:space="preserve">[20]  </w:t>
      </w:r>
      <w:r>
        <w:rPr>
          <w:rFonts w:ascii="Times New Roman" w:cs="Times New Roman" w:eastAsia="Times New Roman" w:hAnsi="Times New Roman"/>
          <w:color w:val="1A1A1A"/>
          <w:sz w:val="20"/>
          <w:szCs w:val="20"/>
        </w:rPr>
        <w:t xml:space="preserve">S. Newcomb, "Note on the frequency of use of the different digits in natural numbers," American Journal of Mathematics, vol. 4, pp. 39–40, 1881.</w:t>
      </w:r>
    </w:p>
    <w:p>
      <w:pPr>
        <w:spacing w:before="0" w:after="60"/>
        <w:ind w:left="480" w:hanging="480"/>
      </w:pPr>
      <w:r>
        <w:rPr>
          <w:rFonts w:ascii="Times New Roman" w:cs="Times New Roman" w:eastAsia="Times New Roman" w:hAnsi="Times New Roman"/>
          <w:b/>
          <w:bCs/>
          <w:color w:val="1A1A1A"/>
          <w:sz w:val="20"/>
          <w:szCs w:val="20"/>
        </w:rPr>
        <w:t xml:space="preserve">[21]  </w:t>
      </w:r>
      <w:r>
        <w:rPr>
          <w:rFonts w:ascii="Times New Roman" w:cs="Times New Roman" w:eastAsia="Times New Roman" w:hAnsi="Times New Roman"/>
          <w:color w:val="1A1A1A"/>
          <w:sz w:val="20"/>
          <w:szCs w:val="20"/>
        </w:rPr>
        <w:t xml:space="preserve">J. Hines, "Frontier: The world's first exascale computer," Computing in Science and Engineering, vol. 25, no. 5, pp. 4–9, 2023.</w:t>
      </w:r>
    </w:p>
    <w:p>
      <w:pPr>
        <w:spacing w:before="0" w:after="60"/>
        <w:ind w:left="480" w:hanging="480"/>
      </w:pPr>
      <w:r>
        <w:rPr>
          <w:rFonts w:ascii="Times New Roman" w:cs="Times New Roman" w:eastAsia="Times New Roman" w:hAnsi="Times New Roman"/>
          <w:b/>
          <w:bCs/>
          <w:color w:val="1A1A1A"/>
          <w:sz w:val="20"/>
          <w:szCs w:val="20"/>
        </w:rPr>
        <w:t xml:space="preserve">[22]  </w:t>
      </w:r>
      <w:r>
        <w:rPr>
          <w:rFonts w:ascii="Times New Roman" w:cs="Times New Roman" w:eastAsia="Times New Roman" w:hAnsi="Times New Roman"/>
          <w:color w:val="1A1A1A"/>
          <w:sz w:val="20"/>
          <w:szCs w:val="20"/>
        </w:rPr>
        <w:t xml:space="preserve">J. Dongarra, M. Heroux, and P. Luszczek, "High-performance conjugate-gradient benchmark: A new metric for ranking high-performance computing systems," International Journal of High Performance Computing Applications, vol. 30, no. 1, pp. 3–10, 2016.</w:t>
      </w:r>
    </w:p>
    <w:p>
      <w:pPr>
        <w:spacing w:before="0" w:after="60"/>
        <w:ind w:left="480" w:hanging="480"/>
      </w:pPr>
      <w:r>
        <w:rPr>
          <w:rFonts w:ascii="Times New Roman" w:cs="Times New Roman" w:eastAsia="Times New Roman" w:hAnsi="Times New Roman"/>
          <w:b/>
          <w:bCs/>
          <w:color w:val="1A1A1A"/>
          <w:sz w:val="20"/>
          <w:szCs w:val="20"/>
        </w:rPr>
        <w:t xml:space="preserve">[23]  </w:t>
      </w:r>
      <w:r>
        <w:rPr>
          <w:rFonts w:ascii="Times New Roman" w:cs="Times New Roman" w:eastAsia="Times New Roman" w:hAnsi="Times New Roman"/>
          <w:color w:val="1A1A1A"/>
          <w:sz w:val="20"/>
          <w:szCs w:val="20"/>
        </w:rPr>
        <w:t xml:space="preserve">U. M. Yang et al., "BoomerAMG: A parallel algebraic multigrid solver and preconditioner," Applied Numerical Mathematics, vol. 41, no. 1, pp. 155–177, 2002.</w:t>
      </w:r>
    </w:p>
    <w:p>
      <w:pPr>
        <w:spacing w:before="0" w:after="60"/>
        <w:ind w:left="480" w:hanging="480"/>
      </w:pPr>
      <w:r>
        <w:rPr>
          <w:rFonts w:ascii="Times New Roman" w:cs="Times New Roman" w:eastAsia="Times New Roman" w:hAnsi="Times New Roman"/>
          <w:b/>
          <w:bCs/>
          <w:color w:val="1A1A1A"/>
          <w:sz w:val="20"/>
          <w:szCs w:val="20"/>
        </w:rPr>
        <w:t xml:space="preserve">[24]  </w:t>
      </w:r>
      <w:r>
        <w:rPr>
          <w:rFonts w:ascii="Times New Roman" w:cs="Times New Roman" w:eastAsia="Times New Roman" w:hAnsi="Times New Roman"/>
          <w:color w:val="1A1A1A"/>
          <w:sz w:val="20"/>
          <w:szCs w:val="20"/>
        </w:rPr>
        <w:t xml:space="preserve">E. S. Page, "Continuous inspection schemes," Biometrika, vol. 41, no. 1/2, pp. 100–115, 1954.</w:t>
      </w:r>
    </w:p>
    <w:p>
      <w:pPr>
        <w:spacing w:before="0" w:after="60"/>
        <w:ind w:left="480" w:hanging="480"/>
      </w:pPr>
      <w:r>
        <w:rPr>
          <w:rFonts w:ascii="Times New Roman" w:cs="Times New Roman" w:eastAsia="Times New Roman" w:hAnsi="Times New Roman"/>
          <w:b/>
          <w:bCs/>
          <w:color w:val="1A1A1A"/>
          <w:sz w:val="20"/>
          <w:szCs w:val="20"/>
        </w:rPr>
        <w:t xml:space="preserve">[25]  </w:t>
      </w:r>
      <w:r>
        <w:rPr>
          <w:rFonts w:ascii="Times New Roman" w:cs="Times New Roman" w:eastAsia="Times New Roman" w:hAnsi="Times New Roman"/>
          <w:color w:val="1A1A1A"/>
          <w:sz w:val="20"/>
          <w:szCs w:val="20"/>
        </w:rPr>
        <w:t xml:space="preserve">T. P. Hill, "A statistical derivation of the significant-digit law," Statistical Science, vol. 10, no. 4, pp. 354–363, 1995.</w:t>
      </w:r>
    </w:p>
    <w:p>
      <w:pPr>
        <w:spacing w:before="0" w:after="60"/>
        <w:ind w:left="480" w:hanging="480"/>
      </w:pPr>
      <w:r>
        <w:rPr>
          <w:rFonts w:ascii="Times New Roman" w:cs="Times New Roman" w:eastAsia="Times New Roman" w:hAnsi="Times New Roman"/>
          <w:b/>
          <w:bCs/>
          <w:color w:val="1A1A1A"/>
          <w:sz w:val="20"/>
          <w:szCs w:val="20"/>
        </w:rPr>
        <w:t xml:space="preserve">[26]  </w:t>
      </w:r>
      <w:r>
        <w:rPr>
          <w:rFonts w:ascii="Times New Roman" w:cs="Times New Roman" w:eastAsia="Times New Roman" w:hAnsi="Times New Roman"/>
          <w:color w:val="1A1A1A"/>
          <w:sz w:val="20"/>
          <w:szCs w:val="20"/>
        </w:rPr>
        <w:t xml:space="preserve">IO500 Consortium, IO500 Benchmark Suite, Version 2023.11. [Online]. Available: https://io500.org.</w:t>
      </w:r>
    </w:p>
    <w:p>
      <w:pPr>
        <w:spacing w:before="0" w:after="60"/>
        <w:ind w:left="480" w:hanging="480"/>
      </w:pPr>
      <w:r>
        <w:rPr>
          <w:rFonts w:ascii="Times New Roman" w:cs="Times New Roman" w:eastAsia="Times New Roman" w:hAnsi="Times New Roman"/>
          <w:b/>
          <w:bCs/>
          <w:color w:val="1A1A1A"/>
          <w:sz w:val="20"/>
          <w:szCs w:val="20"/>
        </w:rPr>
        <w:t xml:space="preserve">[27]  </w:t>
      </w:r>
      <w:r>
        <w:rPr>
          <w:rFonts w:ascii="Times New Roman" w:cs="Times New Roman" w:eastAsia="Times New Roman" w:hAnsi="Times New Roman"/>
          <w:color w:val="1A1A1A"/>
          <w:sz w:val="20"/>
          <w:szCs w:val="20"/>
        </w:rPr>
        <w:t xml:space="preserve">S. Habib et al., "HACC: Simulating sky surveys on state-of-the-art supercomputing architectures," New Astronomy, vol. 42, pp. 49–65, 2016.</w:t>
      </w:r>
    </w:p>
    <w:p>
      <w:pPr>
        <w:spacing w:before="0" w:after="60"/>
        <w:ind w:left="480" w:hanging="480"/>
      </w:pPr>
      <w:r>
        <w:rPr>
          <w:rFonts w:ascii="Times New Roman" w:cs="Times New Roman" w:eastAsia="Times New Roman" w:hAnsi="Times New Roman"/>
          <w:b/>
          <w:bCs/>
          <w:color w:val="1A1A1A"/>
          <w:sz w:val="20"/>
          <w:szCs w:val="20"/>
        </w:rPr>
        <w:t xml:space="preserve">[28]  </w:t>
      </w:r>
      <w:r>
        <w:rPr>
          <w:rFonts w:ascii="Times New Roman" w:cs="Times New Roman" w:eastAsia="Times New Roman" w:hAnsi="Times New Roman"/>
          <w:color w:val="1A1A1A"/>
          <w:sz w:val="20"/>
          <w:szCs w:val="20"/>
        </w:rPr>
        <w:t xml:space="preserve">F. Pedregosa et al., "Scikit-learn: Machine learning in Python," Journal of Machine Learning Research, vol. 12, pp. 2825–2830, 2011.</w:t>
      </w:r>
    </w:p>
    <w:p>
      <w:pPr>
        <w:spacing w:before="200" w:after="0"/>
      </w:pP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3" w:space="4"/>
      </w:pBdr>
      <w:spacing w:before="60" w:after="0"/>
      <w:jc w:val="center"/>
    </w:pPr>
    <w:r>
      <w:rPr>
        <w:rFonts w:ascii="Times New Roman" w:cs="Times New Roman" w:eastAsia="Times New Roman" w:hAnsi="Times New Roman"/>
        <w:color w:val="5F5E5A"/>
        <w:sz w:val="16"/>
        <w:szCs w:val="16"/>
      </w:rPr>
      <w:t xml:space="preserve">978-1-7281-XXXX-X/26/$31.00 ©2026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3" w:space="4"/>
      </w:pBdr>
      <w:tabs>
        <w:tab w:val="right" w:pos="9026"/>
      </w:tabs>
      <w:spacing w:before="0" w:after="80"/>
    </w:pPr>
    <w:r>
      <w:rPr>
        <w:rFonts w:ascii="Times New Roman" w:cs="Times New Roman" w:eastAsia="Times New Roman" w:hAnsi="Times New Roman"/>
        <w:i/>
        <w:iCs/>
        <w:color w:val="5F5E5A"/>
        <w:sz w:val="16"/>
        <w:szCs w:val="16"/>
      </w:rPr>
      <w:t xml:space="preserve">BLADE: Benford-Law Anomaly Detection Engine for HPC</w:t>
    </w:r>
    <w:r>
      <w:rPr>
        <w:rFonts w:ascii="Times New Roman" w:cs="Times New Roman" w:eastAsia="Times New Roman" w:hAnsi="Times New Roman"/>
        <w:i/>
        <w:iCs/>
        <w:color w:val="5F5E5A"/>
        <w:sz w:val="16"/>
        <w:szCs w:val="16"/>
      </w:rPr>
      <w:t xml:space="preserve">	Proceedings of SC26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decimal"/>
      <w:lvlText w:val="RQ%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Times New Roman" w:cs="Times New Roman" w:eastAsia="Times New Roman" w:hAnsi="Times New Roman"/>
      <w:b/>
      <w:bCs/>
      <w:color w:val="000000"/>
      <w:sz w:val="22"/>
      <w:szCs w:val="22"/>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i/>
      <w:iCs/>
      <w:color w:val="000000"/>
      <w:sz w:val="22"/>
      <w:szCs w:val="22"/>
    </w:rPr>
  </w:style>
  <w:style w:type="paragraph" w:styleId="Heading3">
    <w:name w:val="Heading 3"/>
    <w:basedOn w:val="Normal"/>
    <w:next w:val="Normal"/>
    <w:qFormat/>
    <w:pPr>
      <w:spacing w:before="160" w:after="6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2026-04-09T13:11:02.084Z</dcterms:created>
  <dcterms:modified xsi:type="dcterms:W3CDTF">2026-04-09T13:11:02.110Z</dcterms:modified>
</cp:coreProperties>
</file>

<file path=docProps/custom.xml><?xml version="1.0" encoding="utf-8"?>
<Properties xmlns="http://schemas.openxmlformats.org/officeDocument/2006/custom-properties" xmlns:vt="http://schemas.openxmlformats.org/officeDocument/2006/docPropsVTypes"/>
</file>