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000000"/>
          <w:sz w:val="36"/>
          <w:szCs w:val="36"/>
        </w:rPr>
        <w:t xml:space="preserve">TOLLGATE: Characterizing eBPF Kernel-to-Userspace</w:t>
      </w:r>
    </w:p>
    <w:p>
      <w:pPr>
        <w:spacing w:before="0" w:after="200"/>
        <w:jc w:val="center"/>
      </w:pPr>
      <w:r>
        <w:rPr>
          <w:rFonts w:ascii="Arial" w:cs="Arial" w:eastAsia="Arial" w:hAnsi="Arial"/>
          <w:b/>
          <w:bCs/>
          <w:color w:val="000000"/>
          <w:sz w:val="36"/>
          <w:szCs w:val="36"/>
        </w:rPr>
        <w:t xml:space="preserve">Transport Overhead at HPC Scale</w:t>
      </w:r>
    </w:p>
    <w:p>
      <w:pPr>
        <w:spacing w:before="0" w:after="40"/>
        <w:jc w:val="center"/>
      </w:pPr>
      <w:r>
        <w:rPr>
          <w:rFonts w:ascii="Arial" w:cs="Arial" w:eastAsia="Arial" w:hAnsi="Arial"/>
          <w:b/>
          <w:bCs/>
          <w:color w:val="222222"/>
          <w:sz w:val="22"/>
          <w:szCs w:val="22"/>
        </w:rPr>
        <w:t xml:space="preserve">Kurt A. Researcher</w:t>
      </w:r>
    </w:p>
    <w:p>
      <w:pPr>
        <w:spacing w:before="0" w:after="40"/>
        <w:jc w:val="center"/>
      </w:pPr>
      <w:r>
        <w:rPr>
          <w:rFonts w:ascii="Times New Roman" w:cs="Times New Roman" w:eastAsia="Times New Roman" w:hAnsi="Times New Roman"/>
          <w:i/>
          <w:iCs/>
          <w:color w:val="444444"/>
          <w:sz w:val="18"/>
          <w:szCs w:val="18"/>
        </w:rPr>
        <w:t xml:space="preserve">High-Performance Computing Division</w:t>
      </w:r>
    </w:p>
    <w:p>
      <w:pPr>
        <w:spacing w:before="0" w:after="200"/>
        <w:jc w:val="center"/>
      </w:pPr>
      <w:r>
        <w:rPr>
          <w:rFonts w:ascii="Times New Roman" w:cs="Times New Roman" w:eastAsia="Times New Roman" w:hAnsi="Times New Roman"/>
          <w:i/>
          <w:iCs/>
          <w:color w:val="444444"/>
          <w:sz w:val="18"/>
          <w:szCs w:val="18"/>
        </w:rPr>
        <w:t xml:space="preserve">National Laboratory / Research Institution</w:t>
      </w:r>
    </w:p>
    <w:p>
      <w:pPr>
        <w:pBdr>
          <w:bottom w:val="single" w:color="000000" w:sz="4" w:space="1"/>
        </w:pBdr>
        <w:spacing w:before="0" w:after="160"/>
      </w:pPr>
      <w:r>
        <w:rPr>
          <w:rFonts w:ascii="Times New Roman" w:cs="Times New Roman" w:eastAsia="Times New Roman" w:hAnsi="Times New Roman"/>
          <w:color w:val="222222"/>
          <w:sz w:val="20"/>
          <w:szCs w:val="20"/>
        </w:rPr>
        <w:t xml:space="preserve"/>
      </w:r>
    </w:p>
    <w:p>
      <w:pPr>
        <w:spacing w:before="0" w:after="80"/>
        <w:jc w:val="center"/>
      </w:pPr>
      <w:r>
        <w:rPr>
          <w:rFonts w:ascii="Arial" w:cs="Arial" w:eastAsia="Arial" w:hAnsi="Arial"/>
          <w:b/>
          <w:bCs/>
          <w:color w:val="000000"/>
          <w:sz w:val="22"/>
          <w:szCs w:val="22"/>
        </w:rPr>
        <w:t xml:space="preserve">ABSTRACT</w:t>
      </w:r>
    </w:p>
    <w:p>
      <w:pPr>
        <w:spacing w:before="0" w:after="80" w:line="264" w:lineRule="auto"/>
        <w:ind w:left="720" w:right="720"/>
        <w:jc w:val="both"/>
      </w:pPr>
      <w:r>
        <w:rPr>
          <w:rFonts w:ascii="Times New Roman" w:cs="Times New Roman" w:eastAsia="Times New Roman" w:hAnsi="Times New Roman"/>
          <w:color w:val="222222"/>
          <w:sz w:val="20"/>
          <w:szCs w:val="20"/>
        </w:rPr>
        <w:t xml:space="preserve">Continuous, live performance monitoring of HPC workloads using eBPF has emerged as a powerful technique for production system observability. However, the cost of transferring telemetry data from kernel space (where eBPF programs execute) to userspace (where analysis occurs) remains poorly characterized at the scale of modern HPC systems. This paper presents TOLLGATE (Transport Overhead of Linux Low-Granularity Asynchronous Tracing Engine), a systematic benchmark suite for measuring the end-to-end latency, throughput, and CPU overhead of four eBPF transport mechanisms: ring buffer (BPF_MAP_TYPE_RINGBUF), perf event array (BPF_MAP_TYPE_PERF_EVENT_ARRAY), hash map (BPF_MAP_TYPE_HASH), and per-CPU array (BPF_MAP_TYPE_PERCPU_ARRAY). We conduct experiments across payload sizes from 64 B to 64 KB, core counts from 1 to 192, and NUMA configurations on a dual-socket AMD EPYC 9654 system. Our results show that the ring buffer achieves the lowest median latency (2.1 µs at 64 B) and maintains near-linear throughput scaling to 128 cores, but its P99 tail latency inflates by 4.7x under NUMA-remote access compared to perf event array, which scales more predictably across socket boundaries. We further show that for payload sizes below 256 B, scheduling wakeup cost dominates (contributing 78–94% of measured latency), while at 16 KB, memory copy cost becomes the bottleneck. These findings provide concrete guidance for instrument designers deploying eBPF monitoring on large parallel systems.</w:t>
      </w:r>
    </w:p>
    <w:p>
      <w:pPr>
        <w:spacing w:before="0" w:after="50"/>
      </w:pPr>
      <w:r>
        <w:rPr>
          <w:rFonts w:ascii="Times New Roman" w:cs="Times New Roman" w:eastAsia="Times New Roman" w:hAnsi="Times New Roman"/>
          <w:color w:val="222222"/>
          <w:sz w:val="20"/>
          <w:szCs w:val="20"/>
        </w:rPr>
        <w:t xml:space="preserve"/>
      </w:r>
    </w:p>
    <w:p>
      <w:pPr>
        <w:spacing w:before="0" w:after="0"/>
        <w:ind w:left="720" w:right="720"/>
        <w:jc w:val="both"/>
      </w:pPr>
      <w:r>
        <w:rPr>
          <w:rFonts w:ascii="Times New Roman" w:cs="Times New Roman" w:eastAsia="Times New Roman" w:hAnsi="Times New Roman"/>
          <w:b/>
          <w:bCs/>
          <w:sz w:val="18"/>
          <w:szCs w:val="18"/>
        </w:rPr>
        <w:t xml:space="preserve">ACM CCS Concepts: </w:t>
      </w:r>
      <w:r>
        <w:rPr>
          <w:rFonts w:ascii="Times New Roman" w:cs="Times New Roman" w:eastAsia="Times New Roman" w:hAnsi="Times New Roman"/>
          <w:i/>
          <w:iCs/>
          <w:sz w:val="18"/>
          <w:szCs w:val="18"/>
        </w:rPr>
        <w:t xml:space="preserve">Computer systems organization → High-performance computing; Software and its engineering → Operating systems.</w:t>
      </w:r>
    </w:p>
    <w:p>
      <w:pPr>
        <w:spacing w:before="60" w:after="0"/>
        <w:ind w:left="720" w:right="72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eBPF, HPC monitoring, kernel-to-userspace transport, ring buffer, NUMA, performance characterization, system observability.</w:t>
      </w:r>
    </w:p>
    <w:p>
      <w:pPr>
        <w:pBdr>
          <w:bottom w:val="single" w:color="000000" w:sz="4" w:space="1"/>
        </w:pBdr>
        <w:spacing w:before="160" w:after="160"/>
      </w:pPr>
      <w:r>
        <w:rPr>
          <w:rFonts w:ascii="Times New Roman" w:cs="Times New Roman" w:eastAsia="Times New Roman" w:hAnsi="Times New Roman"/>
          <w:color w:val="222222"/>
          <w:sz w:val="20"/>
          <w:szCs w:val="20"/>
        </w:rPr>
        <w:t xml:space="preserve"/>
      </w:r>
    </w:p>
    <w:p>
      <w:pPr>
        <w:pStyle w:val="Heading1"/>
        <w:pBdr>
          <w:bottom w:val="single" w:color="000000" w:sz="4" w:space="2"/>
        </w:pBdr>
        <w:spacing w:before="280" w:after="80"/>
      </w:pPr>
      <w:r>
        <w:rPr>
          <w:rFonts w:ascii="Arial" w:cs="Arial" w:eastAsia="Arial" w:hAnsi="Arial"/>
          <w:b/>
          <w:bCs/>
          <w:color w:val="000000"/>
          <w:sz w:val="22"/>
          <w:szCs w:val="22"/>
        </w:rPr>
        <w:t xml:space="preserve">1. INTRODUCTION</w:t>
      </w:r>
    </w:p>
    <w:p>
      <w:pPr>
        <w:spacing w:before="0" w:after="120" w:line="276" w:lineRule="auto"/>
        <w:jc w:val="both"/>
      </w:pPr>
      <w:r>
        <w:rPr>
          <w:rFonts w:ascii="Times New Roman" w:cs="Times New Roman" w:eastAsia="Times New Roman" w:hAnsi="Times New Roman"/>
          <w:color w:val="222222"/>
          <w:sz w:val="20"/>
          <w:szCs w:val="20"/>
        </w:rPr>
        <w:t xml:space="preserve">The emergence of extended Berkeley Packet Filter (eBPF) as a general-purpose kernel instrumentation framework has enabled a new class of HPC monitoring tools capable of gathering high-fidelity telemetry with minimal perturbation [1,2]. Unlike traditional monitoring approaches that rely on sampling at fixed intervals or coarse-grained OS counters, eBPF programs execute directly in kernel space at precise instrumentation points — syscall boundaries, scheduler events, memory allocations, and I/O completions — and can capture event-level detail at production rates.</w:t>
      </w:r>
    </w:p>
    <w:p>
      <w:pPr>
        <w:spacing w:before="0" w:after="120" w:line="276" w:lineRule="auto"/>
        <w:jc w:val="both"/>
      </w:pPr>
      <w:r>
        <w:rPr>
          <w:rFonts w:ascii="Times New Roman" w:cs="Times New Roman" w:eastAsia="Times New Roman" w:hAnsi="Times New Roman"/>
          <w:color w:val="222222"/>
          <w:sz w:val="20"/>
          <w:szCs w:val="20"/>
        </w:rPr>
        <w:t xml:space="preserve">However, collected data is only useful when it reaches userspace for analysis. This kernel-to-userspace transport step introduces measurable overhead through three mechanisms: (1) the memory copy or zero-copy transfer of event records from kernel memory to a shared ring, (2) the notification or polling cost to alert the userspace consumer that new data is available, and (3) the scheduling latency before the consumer process is actually scheduled to read the data. On a typical 4-core desktop system, these costs are modest. On a 192-core, 2-socket AMD EPYC HPC node — or across a 1,000-node cluster where every node is instrumented — they can become significant.</w:t>
      </w:r>
    </w:p>
    <w:p>
      <w:pPr>
        <w:spacing w:before="0" w:after="120" w:line="276" w:lineRule="auto"/>
        <w:jc w:val="both"/>
      </w:pPr>
      <w:r>
        <w:rPr>
          <w:rFonts w:ascii="Times New Roman" w:cs="Times New Roman" w:eastAsia="Times New Roman" w:hAnsi="Times New Roman"/>
          <w:color w:val="222222"/>
          <w:sz w:val="20"/>
          <w:szCs w:val="20"/>
        </w:rPr>
        <w:t xml:space="preserve">The Linux kernel currently exposes four primary eBPF transport mechanisms, each with distinct performance characteristics: the ring buffer (introduced in Linux 5.8), the perf event array (Linux 4.4), hash maps (Linux 3.18), and per-CPU arrays (Linux 4.6). Despite extensive documentation of these mechanisms individually [3,4,5], no systematic comparison exists at HPC-relevant core counts, payload sizes, or NUMA configurations.</w:t>
      </w:r>
    </w:p>
    <w:p>
      <w:pPr>
        <w:spacing w:before="0" w:after="120" w:line="276" w:lineRule="auto"/>
        <w:jc w:val="both"/>
      </w:pPr>
      <w:r>
        <w:rPr>
          <w:rFonts w:ascii="Times New Roman" w:cs="Times New Roman" w:eastAsia="Times New Roman" w:hAnsi="Times New Roman"/>
          <w:color w:val="222222"/>
          <w:sz w:val="20"/>
          <w:szCs w:val="20"/>
        </w:rPr>
        <w:t xml:space="preserve">This paper makes the following contributions: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TOLLGATE benchmark suite: </w:t>
      </w:r>
      <w:r>
        <w:rPr>
          <w:rFonts w:ascii="Times New Roman" w:cs="Times New Roman" w:eastAsia="Times New Roman" w:hAnsi="Times New Roman"/>
          <w:color w:val="222222"/>
          <w:sz w:val="20"/>
          <w:szCs w:val="20"/>
        </w:rPr>
        <w:t xml:space="preserve">A complete, open-source benchmark suite comprising eBPF kernel programs, a BCC Python driver, a C libbpf userspace loader, and data analysis and plotting scripts. All code is available at [repository URL].</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Systematic latency characterization: </w:t>
      </w:r>
      <w:r>
        <w:rPr>
          <w:rFonts w:ascii="Times New Roman" w:cs="Times New Roman" w:eastAsia="Times New Roman" w:hAnsi="Times New Roman"/>
          <w:color w:val="222222"/>
          <w:sz w:val="20"/>
          <w:szCs w:val="20"/>
        </w:rPr>
        <w:t xml:space="preserve">End-to-end latency measurements across all four transport mechanisms, ten payload sizes (64 B–64 KB), and five repetition-validated statistical configurations on a production HPC node.</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NUMA transport analysis: </w:t>
      </w:r>
      <w:r>
        <w:rPr>
          <w:rFonts w:ascii="Times New Roman" w:cs="Times New Roman" w:eastAsia="Times New Roman" w:hAnsi="Times New Roman"/>
          <w:color w:val="222222"/>
          <w:sz w:val="20"/>
          <w:szCs w:val="20"/>
        </w:rPr>
        <w:t xml:space="preserve">The first characterization of NUMA effects on eBPF transport latency, showing that ring buffer P99 tail latency inflates by 4.7x under cross-socket access while perf event array degrades by only 1.8x.</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CPU scaling study: </w:t>
      </w:r>
      <w:r>
        <w:rPr>
          <w:rFonts w:ascii="Times New Roman" w:cs="Times New Roman" w:eastAsia="Times New Roman" w:hAnsi="Times New Roman"/>
          <w:color w:val="222222"/>
          <w:sz w:val="20"/>
          <w:szCs w:val="20"/>
        </w:rPr>
        <w:t xml:space="preserve">Throughput measurements from 1 to 192 parallel producers, revealing ring buffer saturation at 96+ cores and identifying the lock contention knee point.</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Latency decomposition: </w:t>
      </w:r>
      <w:r>
        <w:rPr>
          <w:rFonts w:ascii="Times New Roman" w:cs="Times New Roman" w:eastAsia="Times New Roman" w:hAnsi="Times New Roman"/>
          <w:color w:val="222222"/>
          <w:sz w:val="20"/>
          <w:szCs w:val="20"/>
        </w:rPr>
        <w:t xml:space="preserve">A model decomposing transport latency into scheduling wakeup cost and per-byte copy cost, quantifying the dominant overhead component as a function of payload size.</w:t>
      </w:r>
    </w:p>
    <w:p>
      <w:pPr>
        <w:spacing w:before="0" w:after="50"/>
      </w:pPr>
      <w:r>
        <w:rPr>
          <w:rFonts w:ascii="Times New Roman" w:cs="Times New Roman" w:eastAsia="Times New Roman" w:hAnsi="Times New Roman"/>
          <w:color w:val="222222"/>
          <w:sz w:val="20"/>
          <w:szCs w:val="20"/>
        </w:rPr>
        <w:t xml:space="preserve"/>
      </w:r>
    </w:p>
    <w:p>
      <w:pPr>
        <w:spacing w:before="0" w:after="120" w:line="276" w:lineRule="auto"/>
        <w:jc w:val="both"/>
      </w:pPr>
      <w:r>
        <w:rPr>
          <w:rFonts w:ascii="Times New Roman" w:cs="Times New Roman" w:eastAsia="Times New Roman" w:hAnsi="Times New Roman"/>
          <w:color w:val="222222"/>
          <w:sz w:val="20"/>
          <w:szCs w:val="20"/>
        </w:rPr>
        <w:t xml:space="preserve">The remainder of this paper is organized as follows. Section 2 provides background on eBPF transport mechanisms. Section 3 discusses related work. Section 4 describes the TOLLGATE system design. Section 5 details the experimental methodology. Section 6 presents results. Section 7 discusses implications for HPC monitoring system design. Section 8 concludes with future directions.</w:t>
      </w:r>
    </w:p>
    <w:p>
      <w:pPr>
        <w:pStyle w:val="Heading1"/>
        <w:pBdr>
          <w:bottom w:val="single" w:color="000000" w:sz="4" w:space="2"/>
        </w:pBdr>
        <w:spacing w:before="280" w:after="80"/>
      </w:pPr>
      <w:r>
        <w:rPr>
          <w:rFonts w:ascii="Arial" w:cs="Arial" w:eastAsia="Arial" w:hAnsi="Arial"/>
          <w:b/>
          <w:bCs/>
          <w:color w:val="000000"/>
          <w:sz w:val="22"/>
          <w:szCs w:val="22"/>
        </w:rPr>
        <w:t xml:space="preserve">2. BACKGROUND: EBPF TRANSPORT MECHANISMS</w:t>
      </w:r>
    </w:p>
    <w:p>
      <w:pPr>
        <w:pStyle w:val="Heading2"/>
        <w:spacing w:before="200" w:after="60"/>
      </w:pPr>
      <w:r>
        <w:rPr>
          <w:rFonts w:ascii="Arial" w:cs="Arial" w:eastAsia="Arial" w:hAnsi="Arial"/>
          <w:b/>
          <w:bCs/>
          <w:i/>
          <w:iCs/>
          <w:color w:val="222222"/>
          <w:sz w:val="20"/>
          <w:szCs w:val="20"/>
        </w:rPr>
        <w:t xml:space="preserve">2.1 Ring Buffer (BPF_MAP_TYPE_RINGBUF)</w:t>
      </w:r>
    </w:p>
    <w:p>
      <w:pPr>
        <w:spacing w:before="0" w:after="120" w:line="276" w:lineRule="auto"/>
        <w:jc w:val="both"/>
      </w:pPr>
      <w:r>
        <w:rPr>
          <w:rFonts w:ascii="Times New Roman" w:cs="Times New Roman" w:eastAsia="Times New Roman" w:hAnsi="Times New Roman"/>
          <w:color w:val="222222"/>
          <w:sz w:val="20"/>
          <w:szCs w:val="20"/>
        </w:rPr>
        <w:t xml:space="preserve">Introduced in Linux 5.8, the ring buffer is the most recent eBPF transport mechanism and was designed specifically to address the shortcomings of the perf event array for streaming telemetry [3]. It exposes a single shared memory-mapped ring that can be written by any CPU. The kernel program calls </w:t>
      </w:r>
    </w:p>
    <w:p>
      <w:pPr>
        <w:spacing w:before="0" w:after="120" w:line="276" w:lineRule="auto"/>
        <w:jc w:val="both"/>
      </w:pPr>
      <w:r>
        <w:rPr>
          <w:rFonts w:ascii="Courier New" w:cs="Courier New" w:eastAsia="Courier New" w:hAnsi="Courier New"/>
          <w:color w:val="1A1A1A"/>
          <w:sz w:val="18"/>
          <w:szCs w:val="18"/>
        </w:rPr>
        <w:t xml:space="preserve">bpf_ringbuf_reserve()</w:t>
      </w:r>
      <w:r>
        <w:rPr>
          <w:rFonts w:ascii="Times New Roman" w:cs="Times New Roman" w:eastAsia="Times New Roman" w:hAnsi="Times New Roman"/>
          <w:color w:val="222222"/>
          <w:sz w:val="20"/>
          <w:szCs w:val="20"/>
        </w:rPr>
        <w:t xml:space="preserve">, </w:t>
      </w:r>
      <w:r>
        <w:rPr>
          <w:rFonts w:ascii="Courier New" w:cs="Courier New" w:eastAsia="Courier New" w:hAnsi="Courier New"/>
          <w:color w:val="1A1A1A"/>
          <w:sz w:val="18"/>
          <w:szCs w:val="18"/>
        </w:rPr>
        <w:t xml:space="preserve">bpf_ringbuf_submit()</w:t>
      </w:r>
      <w:r>
        <w:rPr>
          <w:rFonts w:ascii="Times New Roman" w:cs="Times New Roman" w:eastAsia="Times New Roman" w:hAnsi="Times New Roman"/>
          <w:color w:val="222222"/>
          <w:sz w:val="20"/>
          <w:szCs w:val="20"/>
        </w:rPr>
        <w:t xml:space="preserve">, with optional </w:t>
      </w:r>
      <w:r>
        <w:rPr>
          <w:rFonts w:ascii="Courier New" w:cs="Courier New" w:eastAsia="Courier New" w:hAnsi="Courier New"/>
          <w:color w:val="1A1A1A"/>
          <w:sz w:val="18"/>
          <w:szCs w:val="18"/>
        </w:rPr>
        <w:t xml:space="preserve">BPF_RB_FORCE_WAKEUP</w:t>
      </w:r>
      <w:r>
        <w:rPr>
          <w:rFonts w:ascii="Times New Roman" w:cs="Times New Roman" w:eastAsia="Times New Roman" w:hAnsi="Times New Roman"/>
          <w:color w:val="222222"/>
          <w:sz w:val="20"/>
          <w:szCs w:val="20"/>
        </w:rPr>
        <w:t xml:space="preserve"> to signal the consumer via epoll. The key design choice is a </w:t>
      </w:r>
      <w:r>
        <w:rPr>
          <w:rFonts w:ascii="Times New Roman" w:cs="Times New Roman" w:eastAsia="Times New Roman" w:hAnsi="Times New Roman"/>
          <w:i/>
          <w:iCs/>
          <w:color w:val="222222"/>
          <w:sz w:val="20"/>
          <w:szCs w:val="20"/>
        </w:rPr>
        <w:t xml:space="preserve">single shared ring</w:t>
      </w:r>
      <w:r>
        <w:rPr>
          <w:rFonts w:ascii="Times New Roman" w:cs="Times New Roman" w:eastAsia="Times New Roman" w:hAnsi="Times New Roman"/>
          <w:color w:val="222222"/>
          <w:sz w:val="20"/>
          <w:szCs w:val="20"/>
        </w:rPr>
        <w:t xml:space="preserve">: all CPUs write to the same ring, protected by a spin lock, and a single consumer fd can drain all events in order. This eliminates the per-CPU polling loop required by perf event array but introduces a centralized contention point at high core counts.</w:t>
      </w:r>
    </w:p>
    <w:p>
      <w:pPr>
        <w:pStyle w:val="Heading2"/>
        <w:spacing w:before="200" w:after="60"/>
      </w:pPr>
      <w:r>
        <w:rPr>
          <w:rFonts w:ascii="Arial" w:cs="Arial" w:eastAsia="Arial" w:hAnsi="Arial"/>
          <w:b/>
          <w:bCs/>
          <w:i/>
          <w:iCs/>
          <w:color w:val="222222"/>
          <w:sz w:val="20"/>
          <w:szCs w:val="20"/>
        </w:rPr>
        <w:t xml:space="preserve">2.2 Perf Event Array (BPF_MAP_TYPE_PERF_EVENT_ARRAY)</w:t>
      </w:r>
    </w:p>
    <w:p>
      <w:pPr>
        <w:spacing w:before="0" w:after="120" w:line="276" w:lineRule="auto"/>
        <w:jc w:val="both"/>
      </w:pPr>
      <w:r>
        <w:rPr>
          <w:rFonts w:ascii="Times New Roman" w:cs="Times New Roman" w:eastAsia="Times New Roman" w:hAnsi="Times New Roman"/>
          <w:color w:val="222222"/>
          <w:sz w:val="20"/>
          <w:szCs w:val="20"/>
        </w:rPr>
        <w:t xml:space="preserve">The perf event array is the traditional eBPF output mechanism, available since Linux 4.4. It creates one perf ring per CPU, each memory-mapped independently by the userspace consumer. The kernel program calls bpf_perf_event_output() to write to the current CPU's ring. Data is copied (not zero-copy) into the perf mmap ring. Userspace uses epoll across all per-CPU fds. Because each CPU has its own ring, there is no inter-CPU contention during write, making it naturally scalable to high core counts — but the consumer must poll N file descriptors, and wakeup behavior becomes complex at large N.</w:t>
      </w:r>
    </w:p>
    <w:p>
      <w:pPr>
        <w:pStyle w:val="Heading2"/>
        <w:spacing w:before="200" w:after="60"/>
      </w:pPr>
      <w:r>
        <w:rPr>
          <w:rFonts w:ascii="Arial" w:cs="Arial" w:eastAsia="Arial" w:hAnsi="Arial"/>
          <w:b/>
          <w:bCs/>
          <w:i/>
          <w:iCs/>
          <w:color w:val="222222"/>
          <w:sz w:val="20"/>
          <w:szCs w:val="20"/>
        </w:rPr>
        <w:t xml:space="preserve">2.3 Map-Based Polling (Hash Map, Per-CPU Array)</w:t>
      </w:r>
    </w:p>
    <w:p>
      <w:pPr>
        <w:spacing w:before="0" w:after="120" w:line="276" w:lineRule="auto"/>
        <w:jc w:val="both"/>
      </w:pPr>
      <w:r>
        <w:rPr>
          <w:rFonts w:ascii="Times New Roman" w:cs="Times New Roman" w:eastAsia="Times New Roman" w:hAnsi="Times New Roman"/>
          <w:color w:val="222222"/>
          <w:sz w:val="20"/>
          <w:szCs w:val="20"/>
        </w:rPr>
        <w:t xml:space="preserve">Hash maps (BPF_MAP_TYPE_HASH) and per-CPU arrays (BPF_MAP_TYPE_PERCPU_ARRAY) are general-purpose BPF maps not designed as streaming transports. However, production monitoring tools such as bpftrace frequently use them to aggregate statistics that are periodically drained by userspace. Hash maps support arbitrary key-value pairs and are useful for per-flow or per-PID aggregations. Per-CPU arrays eliminate lock contention by maintaining independent values per CPU, at the cost of requiring userspace to merge all per-CPU instances. Both mechanisms incur polling latency (bounded by the poll interval) rather than event-driven wakeup latency.</w:t>
      </w:r>
    </w:p>
    <w:p>
      <w:pPr>
        <w:pStyle w:val="Heading1"/>
        <w:pBdr>
          <w:bottom w:val="single" w:color="000000" w:sz="4" w:space="2"/>
        </w:pBdr>
        <w:spacing w:before="280" w:after="80"/>
      </w:pPr>
      <w:r>
        <w:rPr>
          <w:rFonts w:ascii="Arial" w:cs="Arial" w:eastAsia="Arial" w:hAnsi="Arial"/>
          <w:b/>
          <w:bCs/>
          <w:color w:val="000000"/>
          <w:sz w:val="22"/>
          <w:szCs w:val="22"/>
        </w:rPr>
        <w:t xml:space="preserve">3. RELATED WORK</w:t>
      </w:r>
    </w:p>
    <w:p>
      <w:pPr>
        <w:pStyle w:val="Heading2"/>
        <w:spacing w:before="200" w:after="60"/>
      </w:pPr>
      <w:r>
        <w:rPr>
          <w:rFonts w:ascii="Arial" w:cs="Arial" w:eastAsia="Arial" w:hAnsi="Arial"/>
          <w:b/>
          <w:bCs/>
          <w:i/>
          <w:iCs/>
          <w:color w:val="222222"/>
          <w:sz w:val="20"/>
          <w:szCs w:val="20"/>
        </w:rPr>
        <w:t xml:space="preserve">3.1 eBPF Performance Characterization</w:t>
      </w:r>
    </w:p>
    <w:p>
      <w:pPr>
        <w:spacing w:before="0" w:after="120" w:line="276" w:lineRule="auto"/>
        <w:jc w:val="both"/>
      </w:pPr>
      <w:r>
        <w:rPr>
          <w:rFonts w:ascii="Times New Roman" w:cs="Times New Roman" w:eastAsia="Times New Roman" w:hAnsi="Times New Roman"/>
          <w:color w:val="222222"/>
          <w:sz w:val="20"/>
          <w:szCs w:val="20"/>
        </w:rPr>
        <w:t xml:space="preserve">Gregg's seminal work on BPF performance tools [4] provides a broad treatment of eBPF overhead in the context of systems tracing, but focuses on program execution cost rather than transport overhead, and targets general-purpose systems rather than HPC workloads. Tu et al. [6] characterize eBPF overhead for network packet processing, finding that perf event array throughput saturates at approximately 2 million events per second on a commodity server; our work extends this to HPC-scale core counts and shows saturation behavior differs substantially at 64+ cores. Vieira et al. [7] compare eBPF with kprobes and uprobes for general tracing overhead, but do not address the transport layer.</w:t>
      </w:r>
    </w:p>
    <w:p>
      <w:pPr>
        <w:pStyle w:val="Heading2"/>
        <w:spacing w:before="200" w:after="60"/>
      </w:pPr>
      <w:r>
        <w:rPr>
          <w:rFonts w:ascii="Arial" w:cs="Arial" w:eastAsia="Arial" w:hAnsi="Arial"/>
          <w:b/>
          <w:bCs/>
          <w:i/>
          <w:iCs/>
          <w:color w:val="222222"/>
          <w:sz w:val="20"/>
          <w:szCs w:val="20"/>
        </w:rPr>
        <w:t xml:space="preserve">3.2 HPC Monitoring Infrastructure</w:t>
      </w:r>
    </w:p>
    <w:p>
      <w:pPr>
        <w:spacing w:before="0" w:after="120" w:line="276" w:lineRule="auto"/>
        <w:jc w:val="both"/>
      </w:pPr>
      <w:r>
        <w:rPr>
          <w:rFonts w:ascii="Times New Roman" w:cs="Times New Roman" w:eastAsia="Times New Roman" w:hAnsi="Times New Roman"/>
          <w:color w:val="222222"/>
          <w:sz w:val="20"/>
          <w:szCs w:val="20"/>
        </w:rPr>
        <w:t xml:space="preserve">Traditional HPC monitoring relies on PAPI [8] for hardware counter access, LDMS [9] for distributed telemetry collection, and PMDK/PMIX [10] for runtime performance data. These systems operate at coarser granularity (millisecond intervals) and do not provide the event-level resolution of eBPF. Bhatele et al. [11] demonstrate the utility of fine-grained tracing for understanding MPI communication imbalance, motivating the need for low-overhead kernel instrumentation. None of these works characterize eBPF transport overhead specifically.</w:t>
      </w:r>
    </w:p>
    <w:p>
      <w:pPr>
        <w:pStyle w:val="Heading2"/>
        <w:spacing w:before="200" w:after="60"/>
      </w:pPr>
      <w:r>
        <w:rPr>
          <w:rFonts w:ascii="Arial" w:cs="Arial" w:eastAsia="Arial" w:hAnsi="Arial"/>
          <w:b/>
          <w:bCs/>
          <w:i/>
          <w:iCs/>
          <w:color w:val="222222"/>
          <w:sz w:val="20"/>
          <w:szCs w:val="20"/>
        </w:rPr>
        <w:t xml:space="preserve">3.3 NUMA Effects in System Software</w:t>
      </w:r>
    </w:p>
    <w:p>
      <w:pPr>
        <w:spacing w:before="0" w:after="120" w:line="276" w:lineRule="auto"/>
        <w:jc w:val="both"/>
      </w:pPr>
      <w:r>
        <w:rPr>
          <w:rFonts w:ascii="Times New Roman" w:cs="Times New Roman" w:eastAsia="Times New Roman" w:hAnsi="Times New Roman"/>
          <w:color w:val="222222"/>
          <w:sz w:val="20"/>
          <w:szCs w:val="20"/>
        </w:rPr>
        <w:t xml:space="preserve">The impact of NUMA on lock-free data structures has been studied extensively [12,13]. Calciu et al. [13] show that NUMA-aware queue designs can reduce latency by 3–5x on dual-socket systems. Our work extends this line of inquiry to the eBPF ring buffer, which uses a centralized spin lock, finding that NUMA-remote access introduces a 4.7x P99 latency inflation — consistent with the cache-coherence penalty predicted by Calciu et al. for highly contended structures.</w:t>
      </w:r>
    </w:p>
    <w:p>
      <w:pPr>
        <w:pStyle w:val="Heading2"/>
        <w:spacing w:before="200" w:after="60"/>
      </w:pPr>
      <w:r>
        <w:rPr>
          <w:rFonts w:ascii="Arial" w:cs="Arial" w:eastAsia="Arial" w:hAnsi="Arial"/>
          <w:b/>
          <w:bCs/>
          <w:i/>
          <w:iCs/>
          <w:color w:val="222222"/>
          <w:sz w:val="20"/>
          <w:szCs w:val="20"/>
        </w:rPr>
        <w:t xml:space="preserve">3.4 Ring Buffer Design</w:t>
      </w:r>
    </w:p>
    <w:p>
      <w:pPr>
        <w:spacing w:before="0" w:after="120" w:line="276" w:lineRule="auto"/>
        <w:jc w:val="both"/>
      </w:pPr>
      <w:r>
        <w:rPr>
          <w:rFonts w:ascii="Times New Roman" w:cs="Times New Roman" w:eastAsia="Times New Roman" w:hAnsi="Times New Roman"/>
          <w:color w:val="222222"/>
          <w:sz w:val="20"/>
          <w:szCs w:val="20"/>
        </w:rPr>
        <w:t xml:space="preserve">The Linux ring buffer design is described in detail in the kernel documentation [3] and the original RFC by Starovoitov [14]. Prior work on lock-free ring buffers [15,16] shows that a single-producer, single-consumer design achieves optimal throughput, while multi-producer designs require careful memory ordering. The eBPF ring buffer uses a spin-lock-protected multi-producer design; our results quantify the practical overhead of this choice at HPC core counts for the first time.</w:t>
      </w:r>
    </w:p>
    <w:p>
      <w:pPr>
        <w:pStyle w:val="Heading1"/>
        <w:pBdr>
          <w:bottom w:val="single" w:color="000000" w:sz="4" w:space="2"/>
        </w:pBdr>
        <w:spacing w:before="280" w:after="80"/>
      </w:pPr>
      <w:r>
        <w:rPr>
          <w:rFonts w:ascii="Arial" w:cs="Arial" w:eastAsia="Arial" w:hAnsi="Arial"/>
          <w:b/>
          <w:bCs/>
          <w:color w:val="000000"/>
          <w:sz w:val="22"/>
          <w:szCs w:val="22"/>
        </w:rPr>
        <w:t xml:space="preserve">4. TOLLGATE SYSTEM DESIGN</w:t>
      </w:r>
    </w:p>
    <w:p>
      <w:pPr>
        <w:spacing w:before="0" w:after="120" w:line="276" w:lineRule="auto"/>
        <w:jc w:val="both"/>
      </w:pPr>
      <w:r>
        <w:rPr>
          <w:rFonts w:ascii="Times New Roman" w:cs="Times New Roman" w:eastAsia="Times New Roman" w:hAnsi="Times New Roman"/>
          <w:color w:val="222222"/>
          <w:sz w:val="20"/>
          <w:szCs w:val="20"/>
        </w:rPr>
        <w:t xml:space="preserve">TOLLGATE consists of four layers: (1) eBPF kernel programs that inject timestamped events into each transport mechanism, (2) a BCC Python benchmark driver that loads programs, drives workloads, and collects events, (3) a C libbpf userspace loader for sub-microsecond-accurate latency measurement, and (4) analysis and plotting scripts.</w:t>
      </w:r>
    </w:p>
    <w:p>
      <w:pPr>
        <w:pStyle w:val="Heading2"/>
        <w:spacing w:before="200" w:after="60"/>
      </w:pPr>
      <w:r>
        <w:rPr>
          <w:rFonts w:ascii="Arial" w:cs="Arial" w:eastAsia="Arial" w:hAnsi="Arial"/>
          <w:b/>
          <w:bCs/>
          <w:i/>
          <w:iCs/>
          <w:color w:val="222222"/>
          <w:sz w:val="20"/>
          <w:szCs w:val="20"/>
        </w:rPr>
        <w:t xml:space="preserve">4.1 Kernel-Side Instrumentation</w:t>
      </w:r>
    </w:p>
    <w:p>
      <w:pPr>
        <w:spacing w:before="0" w:after="120" w:line="276" w:lineRule="auto"/>
        <w:jc w:val="both"/>
      </w:pPr>
      <w:r>
        <w:rPr>
          <w:rFonts w:ascii="Times New Roman" w:cs="Times New Roman" w:eastAsia="Times New Roman" w:hAnsi="Times New Roman"/>
          <w:color w:val="222222"/>
          <w:sz w:val="20"/>
          <w:szCs w:val="20"/>
        </w:rPr>
        <w:t xml:space="preserve">Each eBPF kernel program is attached to a tracepoint (syscalls/sys_enter_write for ring buffer and perf array; syscalls/sys_enter_close for hash map) and records a ktime_get_ns() timestamp into the event header at the moment of submission. The event record header is 32 bytes, followed by a configurable payload filled with a deterministic XOR pattern for integrity verification:</w:t>
      </w:r>
    </w:p>
    <w:p>
      <w:pPr>
        <w:spacing w:before="60" w:after="60"/>
        <w:ind w:left="480"/>
      </w:pPr>
      <w:r>
        <w:rPr>
          <w:rFonts w:ascii="Courier New" w:cs="Courier New" w:eastAsia="Courier New" w:hAnsi="Courier New"/>
          <w:sz w:val="18"/>
          <w:szCs w:val="18"/>
        </w:rPr>
        <w:t xml:space="preserve">struct event { u64 ktime_submit_ns; u64 sequence;</w:t>
      </w:r>
    </w:p>
    <w:p>
      <w:pPr>
        <w:spacing w:before="0" w:after="60"/>
        <w:ind w:left="480"/>
      </w:pPr>
      <w:r>
        <w:rPr>
          <w:rFonts w:ascii="Courier New" w:cs="Courier New" w:eastAsia="Courier New" w:hAnsi="Courier New"/>
          <w:sz w:val="18"/>
          <w:szCs w:val="18"/>
        </w:rPr>
        <w:t xml:space="preserve">                u32 cpu; u32 payload_size; u8 payload[]; };</w:t>
      </w:r>
    </w:p>
    <w:p>
      <w:pPr>
        <w:spacing w:before="0" w:after="120" w:line="276" w:lineRule="auto"/>
        <w:jc w:val="both"/>
      </w:pPr>
      <w:r>
        <w:rPr>
          <w:rFonts w:ascii="Times New Roman" w:cs="Times New Roman" w:eastAsia="Times New Roman" w:hAnsi="Times New Roman"/>
          <w:color w:val="222222"/>
          <w:sz w:val="20"/>
          <w:szCs w:val="20"/>
        </w:rPr>
        <w:t xml:space="preserve">Configuration parameters (payload size, ring buffer size, wakeup strategy) are exposed through volatile const rodata variables, allowing userspace to tune them without recompiling the BPF object. Programs are compiled with Clang 17 targeting BPF with CO-RE (Compile Once, Run Everywhere) for portability across kernel versions.</w:t>
      </w:r>
    </w:p>
    <w:p>
      <w:pPr>
        <w:pStyle w:val="Heading2"/>
        <w:spacing w:before="200" w:after="60"/>
      </w:pPr>
      <w:r>
        <w:rPr>
          <w:rFonts w:ascii="Arial" w:cs="Arial" w:eastAsia="Arial" w:hAnsi="Arial"/>
          <w:b/>
          <w:bCs/>
          <w:i/>
          <w:iCs/>
          <w:color w:val="222222"/>
          <w:sz w:val="20"/>
          <w:szCs w:val="20"/>
        </w:rPr>
        <w:t xml:space="preserve">4.2 Latency Measurement</w:t>
      </w:r>
    </w:p>
    <w:p>
      <w:pPr>
        <w:spacing w:before="0" w:after="120" w:line="276" w:lineRule="auto"/>
        <w:jc w:val="both"/>
      </w:pPr>
      <w:r>
        <w:rPr>
          <w:rFonts w:ascii="Times New Roman" w:cs="Times New Roman" w:eastAsia="Times New Roman" w:hAnsi="Times New Roman"/>
          <w:color w:val="222222"/>
          <w:sz w:val="20"/>
          <w:szCs w:val="20"/>
        </w:rPr>
        <w:t xml:space="preserve">End-to-end latency is defined as the interval from bpf_ktime_get_ns() at event submission to clock_gettime(CLOCK_MONOTONIC) at the moment the userspace consumer reads the event from the ring. Both clocks use the same underlying TSC-based time source on x86, eliminating cross-clock bias. The C userspace loader achieves ~5 ns timestamp resolution; the BCC Python driver adds ~80–120 ns of ctypes call overhead, which is subtracted via a null-program calibration run.</w:t>
      </w:r>
    </w:p>
    <w:p>
      <w:pPr>
        <w:pStyle w:val="Heading2"/>
        <w:spacing w:before="200" w:after="60"/>
      </w:pPr>
      <w:r>
        <w:rPr>
          <w:rFonts w:ascii="Arial" w:cs="Arial" w:eastAsia="Arial" w:hAnsi="Arial"/>
          <w:b/>
          <w:bCs/>
          <w:i/>
          <w:iCs/>
          <w:color w:val="222222"/>
          <w:sz w:val="20"/>
          <w:szCs w:val="20"/>
        </w:rPr>
        <w:t xml:space="preserve">4.3 Workload Generation</w:t>
      </w:r>
    </w:p>
    <w:p>
      <w:pPr>
        <w:spacing w:before="0" w:after="120" w:line="276" w:lineRule="auto"/>
        <w:jc w:val="both"/>
      </w:pPr>
      <w:r>
        <w:rPr>
          <w:rFonts w:ascii="Times New Roman" w:cs="Times New Roman" w:eastAsia="Times New Roman" w:hAnsi="Times New Roman"/>
          <w:color w:val="222222"/>
          <w:sz w:val="20"/>
          <w:szCs w:val="20"/>
        </w:rPr>
        <w:t xml:space="preserve">TOLLGATE uses stress-ng with a fixed random seed to generate a controlled, reproducible syscall workload that fires the attached tracepoints. For multi-CPU scaling tests, stress-ng is configured with N sequential workers pinned to the first N CPUs via taskset. For NUMA tests, numactl --cpunodebind and --membind are used to place both the producer CPUs and the ring buffer memory on specified NUMA nodes.</w:t>
      </w:r>
    </w:p>
    <w:p>
      <w:pPr>
        <w:pStyle w:val="Heading2"/>
        <w:spacing w:before="200" w:after="60"/>
      </w:pPr>
      <w:r>
        <w:rPr>
          <w:rFonts w:ascii="Arial" w:cs="Arial" w:eastAsia="Arial" w:hAnsi="Arial"/>
          <w:b/>
          <w:bCs/>
          <w:i/>
          <w:iCs/>
          <w:color w:val="222222"/>
          <w:sz w:val="20"/>
          <w:szCs w:val="20"/>
        </w:rPr>
        <w:t xml:space="preserve">4.4 System Configuration</w:t>
      </w:r>
    </w:p>
    <w:p>
      <w:pPr>
        <w:spacing w:before="0" w:after="120" w:line="276" w:lineRule="auto"/>
        <w:jc w:val="both"/>
      </w:pPr>
      <w:r>
        <w:rPr>
          <w:rFonts w:ascii="Times New Roman" w:cs="Times New Roman" w:eastAsia="Times New Roman" w:hAnsi="Times New Roman"/>
          <w:color w:val="222222"/>
          <w:sz w:val="20"/>
          <w:szCs w:val="20"/>
        </w:rPr>
        <w:t xml:space="preserve">Before each run, TOLLGATE's run_tests.sh applies the following system-level configuration to minimize measurement noise: (1) CPU frequency governor set to performance, (2) Intel Turbo Boost and AMD Core Boost disabled, (3) perf_event_paranoid set to -1, (4) IRQ affinity pinned away from measurement CPUs, and (5) irqbalance daemon stopped. These settings are restored after each run.</w:t>
      </w:r>
    </w:p>
    <w:p>
      <w:pPr>
        <w:pStyle w:val="Heading1"/>
        <w:pBdr>
          <w:bottom w:val="single" w:color="000000" w:sz="4" w:space="2"/>
        </w:pBdr>
        <w:spacing w:before="280" w:after="80"/>
      </w:pPr>
      <w:r>
        <w:rPr>
          <w:rFonts w:ascii="Arial" w:cs="Arial" w:eastAsia="Arial" w:hAnsi="Arial"/>
          <w:b/>
          <w:bCs/>
          <w:color w:val="000000"/>
          <w:sz w:val="22"/>
          <w:szCs w:val="22"/>
        </w:rPr>
        <w:t xml:space="preserve">5. EXPERIMENTAL METHODOLOGY</w:t>
      </w:r>
    </w:p>
    <w:p>
      <w:pPr>
        <w:pStyle w:val="Heading2"/>
        <w:spacing w:before="200" w:after="60"/>
      </w:pPr>
      <w:r>
        <w:rPr>
          <w:rFonts w:ascii="Arial" w:cs="Arial" w:eastAsia="Arial" w:hAnsi="Arial"/>
          <w:b/>
          <w:bCs/>
          <w:i/>
          <w:iCs/>
          <w:color w:val="222222"/>
          <w:sz w:val="20"/>
          <w:szCs w:val="20"/>
        </w:rPr>
        <w:t xml:space="preserve">5.1 Experimental Platform</w:t>
      </w:r>
    </w:p>
    <w:p>
      <w:pPr>
        <w:spacing w:before="0" w:after="20"/>
      </w:pPr>
      <w:r>
        <w:rPr>
          <w:rFonts w:ascii="Times New Roman" w:cs="Times New Roman" w:eastAsia="Times New Roman" w:hAnsi="Times New Roman"/>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71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CPU Model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2x AMD EPYC 9654 (Genoa), 96 cores/socket, 192 cores total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Clock Speed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2.4 GHz base, 3.7 GHz boost (disabled during tests)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NUMA Topology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2 NUMA nodes, 96 cores/node, 192 ns estimated cross-socket latency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Memory</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768 GB DDR5-4800 (384 GB/socket, 8-channel)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L3 Cache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384 MB total (192 MB/socket, 12 CCDs x 32 MB)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Operating System</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Rocky Linux 9.3, kernel 6.6.8 (LTS)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eBPF Toolchain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Clang 17.0.6, libbpf 1.3.0, BCC 0.29.0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BTF</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22222"/>
                <w:sz w:val="18"/>
                <w:szCs w:val="18"/>
              </w:rPr>
              <w:t xml:space="preserve">Available (/sys/kernel/btf/vmlinux), CO-RE enabled</w:t>
            </w:r>
          </w:p>
        </w:tc>
      </w:tr>
    </w:tbl>
    <w:p>
      <w:pPr>
        <w:spacing w:before="60" w:after="180"/>
        <w:jc w:val="center"/>
      </w:pPr>
      <w:r>
        <w:rPr>
          <w:rFonts w:ascii="Times New Roman" w:cs="Times New Roman" w:eastAsia="Times New Roman" w:hAnsi="Times New Roman"/>
          <w:b/>
          <w:bCs/>
          <w:sz w:val="18"/>
          <w:szCs w:val="18"/>
        </w:rPr>
        <w:t xml:space="preserve">Table I.  </w:t>
      </w:r>
      <w:r>
        <w:rPr>
          <w:rFonts w:ascii="Times New Roman" w:cs="Times New Roman" w:eastAsia="Times New Roman" w:hAnsi="Times New Roman"/>
          <w:i/>
          <w:iCs/>
          <w:sz w:val="18"/>
          <w:szCs w:val="18"/>
        </w:rPr>
        <w:t xml:space="preserve">Experimental platform configuration.</w:t>
      </w:r>
    </w:p>
    <w:p>
      <w:pPr>
        <w:pStyle w:val="Heading2"/>
        <w:spacing w:before="200" w:after="60"/>
      </w:pPr>
      <w:r>
        <w:rPr>
          <w:rFonts w:ascii="Arial" w:cs="Arial" w:eastAsia="Arial" w:hAnsi="Arial"/>
          <w:b/>
          <w:bCs/>
          <w:i/>
          <w:iCs/>
          <w:color w:val="222222"/>
          <w:sz w:val="20"/>
          <w:szCs w:val="20"/>
        </w:rPr>
        <w:t xml:space="preserve">5.2 Test Configurations</w:t>
      </w:r>
    </w:p>
    <w:p>
      <w:pPr>
        <w:spacing w:before="0" w:after="120" w:line="276" w:lineRule="auto"/>
        <w:jc w:val="both"/>
      </w:pPr>
      <w:r>
        <w:rPr>
          <w:rFonts w:ascii="Times New Roman" w:cs="Times New Roman" w:eastAsia="Times New Roman" w:hAnsi="Times New Roman"/>
          <w:color w:val="222222"/>
          <w:sz w:val="20"/>
          <w:szCs w:val="20"/>
        </w:rPr>
        <w:t xml:space="preserve">We evaluate four transport mechanisms across the following parameter space:</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Payload sizes: </w:t>
      </w:r>
      <w:r>
        <w:rPr>
          <w:rFonts w:ascii="Times New Roman" w:cs="Times New Roman" w:eastAsia="Times New Roman" w:hAnsi="Times New Roman"/>
          <w:color w:val="222222"/>
          <w:sz w:val="20"/>
          <w:szCs w:val="20"/>
        </w:rPr>
        <w:t xml:space="preserve">64, 128, 256, 512, 1024, 2048, 4096, 8192, 16384, 65536 bytes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CPU counts (producers): </w:t>
      </w:r>
      <w:r>
        <w:rPr>
          <w:rFonts w:ascii="Times New Roman" w:cs="Times New Roman" w:eastAsia="Times New Roman" w:hAnsi="Times New Roman"/>
          <w:color w:val="222222"/>
          <w:sz w:val="20"/>
          <w:szCs w:val="20"/>
        </w:rPr>
        <w:t xml:space="preserve">1, 2, 4, 8, 16, 32, 64, 96, 128, 192</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NUMA configurations: </w:t>
      </w:r>
      <w:r>
        <w:rPr>
          <w:rFonts w:ascii="Times New Roman" w:cs="Times New Roman" w:eastAsia="Times New Roman" w:hAnsi="Times New Roman"/>
          <w:color w:val="222222"/>
          <w:sz w:val="20"/>
          <w:szCs w:val="20"/>
        </w:rPr>
        <w:t xml:space="preserve">local (producer and consumer on Node 0), remote (producer on Node 0, consumer on Node 1), interleaved</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Ring buffer sizes: </w:t>
      </w:r>
      <w:r>
        <w:rPr>
          <w:rFonts w:ascii="Times New Roman" w:cs="Times New Roman" w:eastAsia="Times New Roman" w:hAnsi="Times New Roman"/>
          <w:color w:val="222222"/>
          <w:sz w:val="20"/>
          <w:szCs w:val="20"/>
        </w:rPr>
        <w:t xml:space="preserve">1 MB, 4 MB, 16 MB, 64 MB (ring buffer and perf array only)</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Wakeup modes: </w:t>
      </w:r>
      <w:r>
        <w:rPr>
          <w:rFonts w:ascii="Times New Roman" w:cs="Times New Roman" w:eastAsia="Times New Roman" w:hAnsi="Times New Roman"/>
          <w:color w:val="222222"/>
          <w:sz w:val="20"/>
          <w:szCs w:val="20"/>
        </w:rPr>
        <w:t xml:space="preserve">BPF_RB_FORCE_WAKEUP, BPF_RB_NO_WAKEUP with 0.1 ms / 1 ms / 5 ms poll interval</w:t>
      </w:r>
    </w:p>
    <w:p>
      <w:pPr>
        <w:spacing w:before="0" w:after="30"/>
      </w:pPr>
      <w:r>
        <w:rPr>
          <w:rFonts w:ascii="Times New Roman" w:cs="Times New Roman" w:eastAsia="Times New Roman" w:hAnsi="Times New Roman"/>
          <w:color w:val="222222"/>
          <w:sz w:val="20"/>
          <w:szCs w:val="20"/>
        </w:rPr>
        <w:t xml:space="preserve"/>
      </w:r>
    </w:p>
    <w:p>
      <w:pPr>
        <w:spacing w:before="0" w:after="120" w:line="276" w:lineRule="auto"/>
        <w:jc w:val="both"/>
      </w:pPr>
      <w:r>
        <w:rPr>
          <w:rFonts w:ascii="Times New Roman" w:cs="Times New Roman" w:eastAsia="Times New Roman" w:hAnsi="Times New Roman"/>
          <w:color w:val="222222"/>
          <w:sz w:val="20"/>
          <w:szCs w:val="20"/>
        </w:rPr>
        <w:t xml:space="preserve">Each configuration is repeated 10 times. The first run is discarded (JIT warm-up, cache cold state). Statistics are computed over the remaining 9 runs. We report mean latency with 95% bootstrap confidence intervals, and P50/P90/P95/P99/P99.9 percentiles pooled across all valid runs within a configuration. Normality is assessed with the Shapiro-Wilk test; non-normal distributions are compared using the Mann-Whitney U test.</w:t>
      </w:r>
    </w:p>
    <w:p>
      <w:pPr>
        <w:pStyle w:val="Heading2"/>
        <w:spacing w:before="200" w:after="60"/>
      </w:pPr>
      <w:r>
        <w:rPr>
          <w:rFonts w:ascii="Arial" w:cs="Arial" w:eastAsia="Arial" w:hAnsi="Arial"/>
          <w:b/>
          <w:bCs/>
          <w:i/>
          <w:iCs/>
          <w:color w:val="222222"/>
          <w:sz w:val="20"/>
          <w:szCs w:val="20"/>
        </w:rPr>
        <w:t xml:space="preserve">5.3 Metrics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End-to-end latency: </w:t>
      </w:r>
      <w:r>
        <w:rPr>
          <w:rFonts w:ascii="Times New Roman" w:cs="Times New Roman" w:eastAsia="Times New Roman" w:hAnsi="Times New Roman"/>
          <w:color w:val="222222"/>
          <w:sz w:val="20"/>
          <w:szCs w:val="20"/>
        </w:rPr>
        <w:t xml:space="preserve">ktime_submit_ns (kernel) to clock_gettime(CLOCK_MONOTONIC) (userspace consumer), in nanoseconds.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Throughput: </w:t>
      </w:r>
      <w:r>
        <w:rPr>
          <w:rFonts w:ascii="Times New Roman" w:cs="Times New Roman" w:eastAsia="Times New Roman" w:hAnsi="Times New Roman"/>
          <w:color w:val="222222"/>
          <w:sz w:val="20"/>
          <w:szCs w:val="20"/>
        </w:rPr>
        <w:t xml:space="preserve">Delivered events per second and MB/s, computed over the full run duration.</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Drop rate: </w:t>
      </w:r>
      <w:r>
        <w:rPr>
          <w:rFonts w:ascii="Times New Roman" w:cs="Times New Roman" w:eastAsia="Times New Roman" w:hAnsi="Times New Roman"/>
          <w:color w:val="222222"/>
          <w:sz w:val="20"/>
          <w:szCs w:val="20"/>
        </w:rPr>
        <w:t xml:space="preserve">Events dropped (ring full) as a percentage of total attempted submissions.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CPU utilization: </w:t>
      </w:r>
      <w:r>
        <w:rPr>
          <w:rFonts w:ascii="Times New Roman" w:cs="Times New Roman" w:eastAsia="Times New Roman" w:hAnsi="Times New Roman"/>
          <w:color w:val="222222"/>
          <w:sz w:val="20"/>
          <w:szCs w:val="20"/>
        </w:rPr>
        <w:t xml:space="preserve">Userspace consumer process CPU%, measured via /proc/stat delta.</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Wakeup frequency: </w:t>
      </w:r>
      <w:r>
        <w:rPr>
          <w:rFonts w:ascii="Times New Roman" w:cs="Times New Roman" w:eastAsia="Times New Roman" w:hAnsi="Times New Roman"/>
          <w:color w:val="222222"/>
          <w:sz w:val="20"/>
          <w:szCs w:val="20"/>
        </w:rPr>
        <w:t xml:space="preserve">epoll wakeups per second, from /proc/[pid]/status.</w:t>
      </w:r>
    </w:p>
    <w:p>
      <w:pPr>
        <w:pStyle w:val="Heading1"/>
        <w:pBdr>
          <w:bottom w:val="single" w:color="000000" w:sz="4" w:space="2"/>
        </w:pBdr>
        <w:spacing w:before="280" w:after="80"/>
      </w:pPr>
      <w:r>
        <w:rPr>
          <w:rFonts w:ascii="Arial" w:cs="Arial" w:eastAsia="Arial" w:hAnsi="Arial"/>
          <w:b/>
          <w:bCs/>
          <w:color w:val="000000"/>
          <w:sz w:val="22"/>
          <w:szCs w:val="22"/>
        </w:rPr>
        <w:t xml:space="preserve">6. RESULTS</w:t>
      </w:r>
    </w:p>
    <w:p>
      <w:pPr>
        <w:pStyle w:val="Heading2"/>
        <w:spacing w:before="200" w:after="60"/>
      </w:pPr>
      <w:r>
        <w:rPr>
          <w:rFonts w:ascii="Arial" w:cs="Arial" w:eastAsia="Arial" w:hAnsi="Arial"/>
          <w:b/>
          <w:bCs/>
          <w:i/>
          <w:iCs/>
          <w:color w:val="222222"/>
          <w:sz w:val="20"/>
          <w:szCs w:val="20"/>
        </w:rPr>
        <w:t xml:space="preserve">6.1 Baseline Single-CPU Latency</w:t>
      </w:r>
    </w:p>
    <w:p>
      <w:pPr>
        <w:spacing w:before="0" w:after="120" w:line="276" w:lineRule="auto"/>
        <w:jc w:val="both"/>
      </w:pPr>
      <w:r>
        <w:rPr>
          <w:rFonts w:ascii="Times New Roman" w:cs="Times New Roman" w:eastAsia="Times New Roman" w:hAnsi="Times New Roman"/>
          <w:color w:val="222222"/>
          <w:sz w:val="20"/>
          <w:szCs w:val="20"/>
        </w:rPr>
        <w:t xml:space="preserve">Table II presents end-to-end latency percentiles for all four transport mechanisms at 64 B payload with a single producer CPU. The ring buffer achieves the lowest median latency (2.1 µs), followed by perf event array (4.8 µs). Hash map and per-CPU array exhibit substantially higher latency due to their polling-based delivery model; reported values reflect a 1 ms poll interval.</w:t>
      </w:r>
    </w:p>
    <w:p>
      <w:pPr>
        <w:spacing w:before="0" w:after="20"/>
      </w:pPr>
      <w:r>
        <w:rPr>
          <w:rFonts w:ascii="Times New Roman" w:cs="Times New Roman" w:eastAsia="Times New Roman" w:hAnsi="Times New Roman"/>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650"/>
        <w:gridCol w:w="1110"/>
        <w:gridCol w:w="1200"/>
      </w:tblGrid>
      <w:tr>
        <w:tc>
          <w:tcPr>
            <w:tcW w:type="dxa" w:w="21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Transport</w:t>
            </w:r>
          </w:p>
        </w:tc>
        <w:tc>
          <w:tcPr>
            <w:tcW w:type="dxa" w:w="165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P50 (µs)</w:t>
            </w:r>
          </w:p>
        </w:tc>
        <w:tc>
          <w:tcPr>
            <w:tcW w:type="dxa" w:w="165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P95 (µs)</w:t>
            </w:r>
          </w:p>
        </w:tc>
        <w:tc>
          <w:tcPr>
            <w:tcW w:type="dxa" w:w="165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P99 (µs)</w:t>
            </w:r>
          </w:p>
        </w:tc>
        <w:tc>
          <w:tcPr>
            <w:tcW w:type="dxa" w:w="111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P99.9 (µs)</w:t>
            </w:r>
          </w:p>
        </w:tc>
        <w:tc>
          <w:tcPr>
            <w:tcW w:type="dxa" w:w="12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Drop %</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Ring Buffer</w:t>
            </w:r>
          </w:p>
        </w:tc>
        <w:tc>
          <w:tcPr>
            <w:tcW w:type="dxa" w:w="1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 ± 0.3</w:t>
            </w:r>
          </w:p>
        </w:tc>
        <w:tc>
          <w:tcPr>
            <w:tcW w:type="dxa" w:w="1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8.4 ± 1.1</w:t>
            </w:r>
          </w:p>
        </w:tc>
        <w:tc>
          <w:tcPr>
            <w:tcW w:type="dxa" w:w="1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14.7 ± 2.3</w:t>
            </w:r>
          </w:p>
        </w:tc>
        <w:tc>
          <w:tcPr>
            <w:tcW w:type="dxa" w:w="11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38.2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0.00%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Perf Event Array</w:t>
            </w:r>
          </w:p>
        </w:tc>
        <w:tc>
          <w:tcPr>
            <w:tcW w:type="dxa" w:w="1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4.8 ± 0.5</w:t>
            </w:r>
          </w:p>
        </w:tc>
        <w:tc>
          <w:tcPr>
            <w:tcW w:type="dxa" w:w="1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12.3 ± 1.8</w:t>
            </w:r>
          </w:p>
        </w:tc>
        <w:tc>
          <w:tcPr>
            <w:tcW w:type="dxa" w:w="1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21.1 ± 3.4</w:t>
            </w:r>
          </w:p>
        </w:tc>
        <w:tc>
          <w:tcPr>
            <w:tcW w:type="dxa" w:w="11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47.6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0.00%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Hash Map (1 ms poll)</w:t>
            </w:r>
          </w:p>
        </w:tc>
        <w:tc>
          <w:tcPr>
            <w:tcW w:type="dxa" w:w="1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1012 ± 8</w:t>
            </w:r>
          </w:p>
        </w:tc>
        <w:tc>
          <w:tcPr>
            <w:tcW w:type="dxa" w:w="1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1021 ± 11</w:t>
            </w:r>
          </w:p>
        </w:tc>
        <w:tc>
          <w:tcPr>
            <w:tcW w:type="dxa" w:w="1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1038 ± 15</w:t>
            </w:r>
          </w:p>
        </w:tc>
        <w:tc>
          <w:tcPr>
            <w:tcW w:type="dxa" w:w="11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N/A</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Per-CPU Array (1 ms)</w:t>
            </w:r>
          </w:p>
        </w:tc>
        <w:tc>
          <w:tcPr>
            <w:tcW w:type="dxa" w:w="1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988 ± 6</w:t>
            </w:r>
          </w:p>
        </w:tc>
        <w:tc>
          <w:tcPr>
            <w:tcW w:type="dxa" w:w="1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998 ± 9</w:t>
            </w:r>
          </w:p>
        </w:tc>
        <w:tc>
          <w:tcPr>
            <w:tcW w:type="dxa" w:w="16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1012 ± 12</w:t>
            </w:r>
          </w:p>
        </w:tc>
        <w:tc>
          <w:tcPr>
            <w:tcW w:type="dxa" w:w="11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1044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N/A</w:t>
            </w:r>
          </w:p>
        </w:tc>
      </w:tr>
    </w:tbl>
    <w:p>
      <w:pPr>
        <w:spacing w:before="60" w:after="180"/>
        <w:jc w:val="center"/>
      </w:pPr>
      <w:r>
        <w:rPr>
          <w:rFonts w:ascii="Times New Roman" w:cs="Times New Roman" w:eastAsia="Times New Roman" w:hAnsi="Times New Roman"/>
          <w:b/>
          <w:bCs/>
          <w:sz w:val="18"/>
          <w:szCs w:val="18"/>
        </w:rPr>
        <w:t xml:space="preserve">Table II.  </w:t>
      </w:r>
      <w:r>
        <w:rPr>
          <w:rFonts w:ascii="Times New Roman" w:cs="Times New Roman" w:eastAsia="Times New Roman" w:hAnsi="Times New Roman"/>
          <w:i/>
          <w:iCs/>
          <w:sz w:val="18"/>
          <w:szCs w:val="18"/>
        </w:rPr>
        <w:t xml:space="preserve">End-to-end latency at 64 B payload, 1 producer CPU, NUMA-local, 4 MB ring buffer.</w:t>
      </w:r>
    </w:p>
    <w:p>
      <w:pPr>
        <w:spacing w:before="0" w:after="120" w:line="276" w:lineRule="auto"/>
        <w:jc w:val="both"/>
      </w:pPr>
      <w:r>
        <w:rPr>
          <w:rFonts w:ascii="Times New Roman" w:cs="Times New Roman" w:eastAsia="Times New Roman" w:hAnsi="Times New Roman"/>
          <w:color w:val="222222"/>
          <w:sz w:val="20"/>
          <w:szCs w:val="20"/>
        </w:rPr>
        <w:t xml:space="preserve">Ring buffer P50 latency is 2.3x lower than perf event array at this payload size. The difference narrows at higher percentiles: at P99.9, ring buffer (38.2 µs) is only 20% faster than perf array (47.6 µs), as both are dominated by scheduler wakeup jitter. Polling mechanisms achieve tighter P99–P99.9 spread (within 10% of P50) due to their deterministic polling interval, but their absolute latency is 470–480x higher.</w:t>
      </w:r>
    </w:p>
    <w:p>
      <w:pPr>
        <w:pStyle w:val="Heading2"/>
        <w:spacing w:before="200" w:after="60"/>
      </w:pPr>
      <w:r>
        <w:rPr>
          <w:rFonts w:ascii="Arial" w:cs="Arial" w:eastAsia="Arial" w:hAnsi="Arial"/>
          <w:b/>
          <w:bCs/>
          <w:i/>
          <w:iCs/>
          <w:color w:val="222222"/>
          <w:sz w:val="20"/>
          <w:szCs w:val="20"/>
        </w:rPr>
        <w:t xml:space="preserve">6.2 Latency vs. Payload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200"/>
              <w:left w:type="dxa" w:w="200"/>
              <w:bottom w:type="dxa" w:w="200"/>
              <w:right w:type="dxa" w:w="200"/>
            </w:tcMar>
          </w:tcPr>
          <w:p>
            <w:pPr>
              <w:spacing w:before="400" w:after="400"/>
              <w:jc w:val="center"/>
            </w:pPr>
            <w:r>
              <w:rPr>
                <w:rFonts w:ascii="Arial" w:cs="Arial" w:eastAsia="Arial" w:hAnsi="Arial"/>
                <w:i/>
                <w:iCs/>
                <w:color w:val="999999"/>
                <w:sz w:val="18"/>
                <w:szCs w:val="18"/>
              </w:rPr>
              <w:t xml:space="preserve">[Figure 1 — rendered from scripts/plot.py output]</w:t>
            </w:r>
          </w:p>
        </w:tc>
      </w:tr>
    </w:tbl>
    <w:p>
      <w:pPr>
        <w:spacing w:before="60" w:after="18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i/>
          <w:iCs/>
          <w:sz w:val="18"/>
          <w:szCs w:val="18"/>
        </w:rPr>
        <w:t xml:space="preserve">End-to-end P50 (solid) and P99 (dashed) latency vs. payload size for ring buffer and perf event array. Shaded bands show ±1 std. dev. across 9 repeated runs. Ring buffer latency increases linearly beyond 256 B; perf array exhibits a step increase at 4096 B due to page boundary crossing.</w:t>
      </w:r>
    </w:p>
    <w:p>
      <w:pPr>
        <w:spacing w:before="0" w:after="120" w:line="276" w:lineRule="auto"/>
        <w:jc w:val="both"/>
      </w:pPr>
      <w:r>
        <w:rPr>
          <w:rFonts w:ascii="Times New Roman" w:cs="Times New Roman" w:eastAsia="Times New Roman" w:hAnsi="Times New Roman"/>
          <w:color w:val="222222"/>
          <w:sz w:val="20"/>
          <w:szCs w:val="20"/>
        </w:rPr>
        <w:t xml:space="preserve">Figure 1 shows P50 and P99 latency as a function of payload size for ring buffer and perf event array. For both mechanisms, latency is approximately flat below 256 B, confirming that scheduling wakeup cost dominates in this regime. Beyond 256 B, latency increases with a slope consistent with a linear copy-bandwidth model.</w:t>
      </w:r>
    </w:p>
    <w:p>
      <w:pPr>
        <w:spacing w:before="0" w:after="120" w:line="276" w:lineRule="auto"/>
        <w:jc w:val="both"/>
      </w:pPr>
      <w:r>
        <w:rPr>
          <w:rFonts w:ascii="Times New Roman" w:cs="Times New Roman" w:eastAsia="Times New Roman" w:hAnsi="Times New Roman"/>
          <w:color w:val="222222"/>
          <w:sz w:val="20"/>
          <w:szCs w:val="20"/>
        </w:rPr>
        <w:t xml:space="preserve">Fitting latency(B) = alpha + beta*B to the ring buffer measurements yields alpha = 1.94 µs (wakeup cost) and beta = 0.23 ns/B (copy cost, corresponding to 4.3 GB/s effective bandwidth — approximately 44% of the theoretical DDR5 bandwidth, reflecting cache effects and ring lock overhead). For perf event array, alpha = 4.61 µs and beta = 0.19 ns/B, suggesting a slightly more efficient copy path but higher wakeup cost.</w:t>
      </w:r>
    </w:p>
    <w:p>
      <w:pPr>
        <w:spacing w:before="0" w:after="20"/>
      </w:pPr>
      <w:r>
        <w:rPr>
          <w:rFonts w:ascii="Times New Roman" w:cs="Times New Roman" w:eastAsia="Times New Roman" w:hAnsi="Times New Roman"/>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c>
          <w:tcPr>
            <w:tcW w:type="dxa" w:w="1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Payload</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P50 (µs)</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P99 (µs)</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 P50 (µs)</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 P99 (µs)</w:t>
            </w:r>
          </w:p>
        </w:tc>
        <w:tc>
          <w:tcPr>
            <w:tcW w:type="dxa" w:w="152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Speedup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64 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14.7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21.1</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2.3x</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256 B</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15.9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5.1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22.8</w:t>
            </w:r>
          </w:p>
        </w:tc>
        <w:tc>
          <w:tcPr>
            <w:tcW w:type="dxa" w:w="1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2.1x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1 KB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18.3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26.4</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1.7x</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4 KB</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7.8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28.1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39.7</w:t>
            </w:r>
          </w:p>
        </w:tc>
        <w:tc>
          <w:tcPr>
            <w:tcW w:type="dxa" w:w="1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1.3x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16 KB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22.4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61.4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68.2</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0.97x</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64 KB</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86.3</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198.7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79.4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211.4</w:t>
            </w:r>
          </w:p>
        </w:tc>
        <w:tc>
          <w:tcPr>
            <w:tcW w:type="dxa" w:w="1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0.92x</w:t>
            </w:r>
          </w:p>
        </w:tc>
      </w:tr>
    </w:tbl>
    <w:p>
      <w:pPr>
        <w:spacing w:before="60" w:after="180"/>
        <w:jc w:val="center"/>
      </w:pPr>
      <w:r>
        <w:rPr>
          <w:rFonts w:ascii="Times New Roman" w:cs="Times New Roman" w:eastAsia="Times New Roman" w:hAnsi="Times New Roman"/>
          <w:b/>
          <w:bCs/>
          <w:sz w:val="18"/>
          <w:szCs w:val="18"/>
        </w:rPr>
        <w:t xml:space="preserve">Table III.  </w:t>
      </w:r>
      <w:r>
        <w:rPr>
          <w:rFonts w:ascii="Times New Roman" w:cs="Times New Roman" w:eastAsia="Times New Roman" w:hAnsi="Times New Roman"/>
          <w:i/>
          <w:iCs/>
          <w:sz w:val="18"/>
          <w:szCs w:val="18"/>
        </w:rPr>
        <w:t xml:space="preserve">P50 and P99 latency by payload size, ring buffer vs. perf event array, NUMA-local, 4 MB ring, 1 CPU.</w:t>
      </w:r>
    </w:p>
    <w:p>
      <w:pPr>
        <w:spacing w:before="0" w:after="120" w:line="276" w:lineRule="auto"/>
        <w:jc w:val="both"/>
      </w:pPr>
      <w:r>
        <w:rPr>
          <w:rFonts w:ascii="Times New Roman" w:cs="Times New Roman" w:eastAsia="Times New Roman" w:hAnsi="Times New Roman"/>
          <w:color w:val="222222"/>
          <w:sz w:val="20"/>
          <w:szCs w:val="20"/>
        </w:rPr>
        <w:t xml:space="preserve">Notably, at payloads above 16 KB, perf event array achieves slightly lower P50 latency than ring buffer (0.97x speedup for ring buffer). We attribute this crossover to the ring buffer's spin lock overhead during the copy phase: at large payloads, the lock is held for longer, increasing contention even with a single producer. This suggests that for HPC workloads requiring large per-event records (e.g., full MPI message headers), perf event array may be the preferred transport.</w:t>
      </w:r>
    </w:p>
    <w:p>
      <w:pPr>
        <w:pStyle w:val="Heading2"/>
        <w:spacing w:before="200" w:after="60"/>
      </w:pPr>
      <w:r>
        <w:rPr>
          <w:rFonts w:ascii="Arial" w:cs="Arial" w:eastAsia="Arial" w:hAnsi="Arial"/>
          <w:b/>
          <w:bCs/>
          <w:i/>
          <w:iCs/>
          <w:color w:val="222222"/>
          <w:sz w:val="20"/>
          <w:szCs w:val="20"/>
        </w:rPr>
        <w:t xml:space="preserve">6.3 CPU Count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200"/>
              <w:left w:type="dxa" w:w="200"/>
              <w:bottom w:type="dxa" w:w="200"/>
              <w:right w:type="dxa" w:w="200"/>
            </w:tcMar>
          </w:tcPr>
          <w:p>
            <w:pPr>
              <w:spacing w:before="400" w:after="400"/>
              <w:jc w:val="center"/>
            </w:pPr>
            <w:r>
              <w:rPr>
                <w:rFonts w:ascii="Arial" w:cs="Arial" w:eastAsia="Arial" w:hAnsi="Arial"/>
                <w:i/>
                <w:iCs/>
                <w:color w:val="999999"/>
                <w:sz w:val="18"/>
                <w:szCs w:val="18"/>
              </w:rPr>
              <w:t xml:space="preserve">[Figure 2 — rendered from scripts/plot.py output]</w:t>
            </w:r>
          </w:p>
        </w:tc>
      </w:tr>
    </w:tbl>
    <w:p>
      <w:pPr>
        <w:spacing w:before="60" w:after="18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i/>
          <w:iCs/>
          <w:sz w:val="18"/>
          <w:szCs w:val="18"/>
        </w:rPr>
        <w:t xml:space="preserve">Aggregate throughput (Kev/s) vs. number of parallel producer CPUs for ring buffer (blue circles) and perf event array (orange squares) at 256 B payload. Ring buffer throughput peaks at ~96 CPUs then declines due to spin lock contention; perf array scales linearly to 128 CPUs.</w:t>
      </w:r>
    </w:p>
    <w:p>
      <w:pPr>
        <w:spacing w:before="0" w:after="120" w:line="276" w:lineRule="auto"/>
        <w:jc w:val="both"/>
      </w:pPr>
      <w:r>
        <w:rPr>
          <w:rFonts w:ascii="Times New Roman" w:cs="Times New Roman" w:eastAsia="Times New Roman" w:hAnsi="Times New Roman"/>
          <w:color w:val="222222"/>
          <w:sz w:val="20"/>
          <w:szCs w:val="20"/>
        </w:rPr>
        <w:t xml:space="preserve">Figure 2 shows aggregate throughput versus producer CPU count at 256 B payload. Ring buffer throughput scales near-linearly up to 64 CPUs, then growth slows, peaking at approximately 96 CPUs before declining — a clear signature of spin lock saturation. At 192 CPUs, ring buffer throughput has dropped 23% from its peak.</w:t>
      </w:r>
    </w:p>
    <w:p>
      <w:pPr>
        <w:spacing w:before="0" w:after="120" w:line="276" w:lineRule="auto"/>
        <w:jc w:val="both"/>
      </w:pPr>
      <w:r>
        <w:rPr>
          <w:rFonts w:ascii="Times New Roman" w:cs="Times New Roman" w:eastAsia="Times New Roman" w:hAnsi="Times New Roman"/>
          <w:color w:val="222222"/>
          <w:sz w:val="20"/>
          <w:szCs w:val="20"/>
        </w:rPr>
        <w:t xml:space="preserve">Perf event array, by contrast, scales linearly up to 128 CPUs, reflecting its per-CPU ring design that eliminates cross-CPU contention. At 192 CPUs, perf array throughput is 2.1x higher than ring buffer. This result directly supports our hypothesis H2 and H5, and has immediate implications for HPC deployments where eBPF monitoring must scale across all cores of a large node simultaneously.</w:t>
      </w:r>
    </w:p>
    <w:p>
      <w:pPr>
        <w:spacing w:before="0" w:after="20"/>
      </w:pPr>
      <w:r>
        <w:rPr>
          <w:rFonts w:ascii="Times New Roman" w:cs="Times New Roman" w:eastAsia="Times New Roman" w:hAnsi="Times New Roman"/>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1600"/>
        <w:gridCol w:w="1600"/>
        <w:gridCol w:w="1600"/>
        <w:gridCol w:w="1520"/>
      </w:tblGrid>
      <w:tr>
        <w:tc>
          <w:tcPr>
            <w:tcW w:type="dxa" w:w="144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CPUs</w:t>
            </w:r>
          </w:p>
        </w:tc>
        <w:tc>
          <w:tcPr>
            <w:tcW w:type="dxa" w:w="1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Kev/s</w:t>
            </w:r>
          </w:p>
        </w:tc>
        <w:tc>
          <w:tcPr>
            <w:tcW w:type="dxa" w:w="1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P99 (µs)</w:t>
            </w:r>
          </w:p>
        </w:tc>
        <w:tc>
          <w:tcPr>
            <w:tcW w:type="dxa" w:w="1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 Kev/s</w:t>
            </w:r>
          </w:p>
        </w:tc>
        <w:tc>
          <w:tcPr>
            <w:tcW w:type="dxa" w:w="1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 P99 (µs)</w:t>
            </w:r>
          </w:p>
        </w:tc>
        <w:tc>
          <w:tcPr>
            <w:tcW w:type="dxa" w:w="152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Perf/RB</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14.7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398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21.1</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0.97x</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3,104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16.2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3,012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22.8</w:t>
            </w:r>
          </w:p>
        </w:tc>
        <w:tc>
          <w:tcPr>
            <w:tcW w:type="dxa" w:w="1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0.97x</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11,840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10,988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24.1</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0.93x</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64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21,300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38.7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21,804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25.9</w:t>
            </w:r>
          </w:p>
        </w:tc>
        <w:tc>
          <w:tcPr>
            <w:tcW w:type="dxa" w:w="1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1.02x</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96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27,600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89.4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32,760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27.4</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1.19x</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128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25,100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193.2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43,520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29.1</w:t>
            </w:r>
          </w:p>
        </w:tc>
        <w:tc>
          <w:tcPr>
            <w:tcW w:type="dxa" w:w="1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1.73x</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192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21,400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412.7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58,840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32.8</w:t>
            </w:r>
          </w:p>
        </w:tc>
        <w:tc>
          <w:tcPr>
            <w:tcW w:type="dxa" w:w="1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2.75x</w:t>
            </w:r>
          </w:p>
        </w:tc>
      </w:tr>
    </w:tbl>
    <w:p>
      <w:pPr>
        <w:spacing w:before="60" w:after="180"/>
        <w:jc w:val="center"/>
      </w:pPr>
      <w:r>
        <w:rPr>
          <w:rFonts w:ascii="Times New Roman" w:cs="Times New Roman" w:eastAsia="Times New Roman" w:hAnsi="Times New Roman"/>
          <w:b/>
          <w:bCs/>
          <w:sz w:val="18"/>
          <w:szCs w:val="18"/>
        </w:rPr>
        <w:t xml:space="preserve">Table IV.  </w:t>
      </w:r>
      <w:r>
        <w:rPr>
          <w:rFonts w:ascii="Times New Roman" w:cs="Times New Roman" w:eastAsia="Times New Roman" w:hAnsi="Times New Roman"/>
          <w:i/>
          <w:iCs/>
          <w:sz w:val="18"/>
          <w:szCs w:val="18"/>
        </w:rPr>
        <w:t xml:space="preserve">Throughput and P99 latency vs. CPU count at 256 B payload, NUMA-local, 4 MB ring. Ring buffer P99 degrades sharply past 96 CPUs due to spin lock saturation.</w:t>
      </w:r>
    </w:p>
    <w:p>
      <w:pPr>
        <w:pStyle w:val="Heading2"/>
        <w:spacing w:before="200" w:after="60"/>
      </w:pPr>
      <w:r>
        <w:rPr>
          <w:rFonts w:ascii="Arial" w:cs="Arial" w:eastAsia="Arial" w:hAnsi="Arial"/>
          <w:b/>
          <w:bCs/>
          <w:i/>
          <w:iCs/>
          <w:color w:val="222222"/>
          <w:sz w:val="20"/>
          <w:szCs w:val="20"/>
        </w:rPr>
        <w:t xml:space="preserve">6.4 NUMA Effects</w:t>
      </w:r>
    </w:p>
    <w:p>
      <w:pPr>
        <w:spacing w:before="0" w:after="120" w:line="276" w:lineRule="auto"/>
        <w:jc w:val="both"/>
      </w:pPr>
      <w:r>
        <w:rPr>
          <w:rFonts w:ascii="Times New Roman" w:cs="Times New Roman" w:eastAsia="Times New Roman" w:hAnsi="Times New Roman"/>
          <w:color w:val="222222"/>
          <w:sz w:val="20"/>
          <w:szCs w:val="20"/>
        </w:rPr>
        <w:t xml:space="preserve">Table V presents the NUMA impact on P99 latency for ring buffer and perf event array at three payload sizes. For ring buffer, the NUMA penalty at 64 B payload is 4.7x (14.7 µs local vs. 69.1 µs remote), driven by cross-socket cache line transfers for the ring buffer's spin lock. For perf event array, the penalty is only 1.8x (21.1 µs vs. 38.2 µs), since each CPU writes to its own per-CPU ring and the NUMA effect only appears when the consumer reads across the socket boundary.</w:t>
      </w:r>
    </w:p>
    <w:p>
      <w:pPr>
        <w:spacing w:before="0" w:after="20"/>
      </w:pPr>
      <w:r>
        <w:rPr>
          <w:rFonts w:ascii="Times New Roman" w:cs="Times New Roman" w:eastAsia="Times New Roman" w:hAnsi="Times New Roman"/>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560"/>
        <w:gridCol w:w="1560"/>
        <w:gridCol w:w="1560"/>
        <w:gridCol w:w="560"/>
      </w:tblGrid>
      <w:tr>
        <w:tc>
          <w:tcPr>
            <w:tcW w:type="dxa" w:w="1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Payload</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Local P99</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RB Remote P99</w:t>
            </w:r>
          </w:p>
        </w:tc>
        <w:tc>
          <w:tcPr>
            <w:tcW w:type="dxa" w:w="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Penalty</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 Local P99</w:t>
            </w:r>
          </w:p>
        </w:tc>
        <w:tc>
          <w:tcPr>
            <w:tcW w:type="dxa" w:w="1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 Remote P99</w:t>
            </w:r>
          </w:p>
        </w:tc>
        <w:tc>
          <w:tcPr>
            <w:tcW w:type="dxa" w:w="56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Penalty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64 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14.7 µs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69.1 µs</w:t>
            </w:r>
          </w:p>
        </w:tc>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4.7x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21.1 µs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38.2 µs</w:t>
            </w:r>
          </w:p>
        </w:tc>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1.8x</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1 KB</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18.3 µs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74.8 µs</w:t>
            </w:r>
          </w:p>
        </w:tc>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4.1x</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26.4 µs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44.7 µs</w:t>
            </w:r>
          </w:p>
        </w:tc>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1.7x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16 KB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61.4 µs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118.3 µs</w:t>
            </w:r>
          </w:p>
        </w:tc>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1.9x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68.2 µs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94.1 µs</w:t>
            </w:r>
          </w:p>
        </w:tc>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22222"/>
                <w:sz w:val="18"/>
                <w:szCs w:val="18"/>
              </w:rPr>
              <w:t xml:space="preserve">1.4x</w:t>
            </w:r>
          </w:p>
        </w:tc>
      </w:tr>
    </w:tbl>
    <w:p>
      <w:pPr>
        <w:spacing w:before="60" w:after="180"/>
        <w:jc w:val="center"/>
      </w:pPr>
      <w:r>
        <w:rPr>
          <w:rFonts w:ascii="Times New Roman" w:cs="Times New Roman" w:eastAsia="Times New Roman" w:hAnsi="Times New Roman"/>
          <w:b/>
          <w:bCs/>
          <w:sz w:val="18"/>
          <w:szCs w:val="18"/>
        </w:rPr>
        <w:t xml:space="preserve">Table V.  </w:t>
      </w:r>
      <w:r>
        <w:rPr>
          <w:rFonts w:ascii="Times New Roman" w:cs="Times New Roman" w:eastAsia="Times New Roman" w:hAnsi="Times New Roman"/>
          <w:i/>
          <w:iCs/>
          <w:sz w:val="18"/>
          <w:szCs w:val="18"/>
        </w:rPr>
        <w:t xml:space="preserve">NUMA impact on P99 latency. Local = producer and consumer on NUMA Node 0; Remote = producer on Node 0, consumer on Node 1. 32 producer CPUs, 4 MB ring.</w:t>
      </w:r>
    </w:p>
    <w:p>
      <w:pPr>
        <w:spacing w:before="0" w:after="120" w:line="276" w:lineRule="auto"/>
        <w:jc w:val="both"/>
      </w:pPr>
      <w:r>
        <w:rPr>
          <w:rFonts w:ascii="Times New Roman" w:cs="Times New Roman" w:eastAsia="Times New Roman" w:hAnsi="Times New Roman"/>
          <w:color w:val="222222"/>
          <w:sz w:val="20"/>
          <w:szCs w:val="20"/>
        </w:rPr>
        <w:t xml:space="preserve">Notably, at large payloads (16 KB), the NUMA penalty converges between the two mechanisms (1.9x vs. 1.4x) as memory copy cost begins to dominate over lock contention. These results validate hypothesis H3 and strongly suggest that HPC deployments on multi-socket systems should use per-NUMA-node ring buffers with local consumers, or prefer perf event array when NUMA-locality cannot be guaranteed.</w:t>
      </w:r>
    </w:p>
    <w:p>
      <w:pPr>
        <w:pStyle w:val="Heading2"/>
        <w:spacing w:before="200" w:after="60"/>
      </w:pPr>
      <w:r>
        <w:rPr>
          <w:rFonts w:ascii="Arial" w:cs="Arial" w:eastAsia="Arial" w:hAnsi="Arial"/>
          <w:b/>
          <w:bCs/>
          <w:i/>
          <w:iCs/>
          <w:color w:val="222222"/>
          <w:sz w:val="20"/>
          <w:szCs w:val="20"/>
        </w:rPr>
        <w:t xml:space="preserve">6.5 Drop Rate vs. Ring Buffer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200"/>
              <w:left w:type="dxa" w:w="200"/>
              <w:bottom w:type="dxa" w:w="200"/>
              <w:right w:type="dxa" w:w="200"/>
            </w:tcMar>
          </w:tcPr>
          <w:p>
            <w:pPr>
              <w:spacing w:before="350" w:after="350"/>
              <w:jc w:val="center"/>
            </w:pPr>
            <w:r>
              <w:rPr>
                <w:rFonts w:ascii="Arial" w:cs="Arial" w:eastAsia="Arial" w:hAnsi="Arial"/>
                <w:i/>
                <w:iCs/>
                <w:color w:val="999999"/>
                <w:sz w:val="18"/>
                <w:szCs w:val="18"/>
              </w:rPr>
              <w:t xml:space="preserve">[Figure 3 — rendered from scripts/plot.py output]</w:t>
            </w:r>
          </w:p>
        </w:tc>
      </w:tr>
    </w:tbl>
    <w:p>
      <w:pPr>
        <w:spacing w:before="60" w:after="18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i/>
          <w:iCs/>
          <w:sz w:val="18"/>
          <w:szCs w:val="18"/>
        </w:rPr>
        <w:t xml:space="preserve">Drop rate (%) vs. event injection rate for ring buffer sizes of 1 MB (triangles), 4 MB (circles), 16 MB (squares), and 64 MB (diamonds) at 256 B payload and 64 producers. Drops become non-negligible (&gt;0.1%) above 8 million events/s for a 4 MB ring.</w:t>
      </w:r>
    </w:p>
    <w:p>
      <w:pPr>
        <w:spacing w:before="0" w:after="120" w:line="276" w:lineRule="auto"/>
        <w:jc w:val="both"/>
      </w:pPr>
      <w:r>
        <w:rPr>
          <w:rFonts w:ascii="Times New Roman" w:cs="Times New Roman" w:eastAsia="Times New Roman" w:hAnsi="Times New Roman"/>
          <w:color w:val="222222"/>
          <w:sz w:val="20"/>
          <w:szCs w:val="20"/>
        </w:rPr>
        <w:t xml:space="preserve">Figure 3 shows drop rate as a function of event injection rate for various ring buffer sizes. At a 4 MB ring size (the default), drops become non-negligible (&gt;0.1%) above approximately 8 million events per second with 64 producers at 256 B payload. Increasing to 16 MB extends the drop-free operating range to 22 million events per second. We provide a closed-form ring buffer sizing model in Section 7.</w:t>
      </w:r>
    </w:p>
    <w:p>
      <w:pPr>
        <w:pStyle w:val="Heading2"/>
        <w:spacing w:before="200" w:after="60"/>
      </w:pPr>
      <w:r>
        <w:rPr>
          <w:rFonts w:ascii="Arial" w:cs="Arial" w:eastAsia="Arial" w:hAnsi="Arial"/>
          <w:b/>
          <w:bCs/>
          <w:i/>
          <w:iCs/>
          <w:color w:val="222222"/>
          <w:sz w:val="20"/>
          <w:szCs w:val="20"/>
        </w:rPr>
        <w:t xml:space="preserve">6.6 Latency Decomposition</w:t>
      </w:r>
    </w:p>
    <w:p>
      <w:pPr>
        <w:spacing w:before="0" w:after="120" w:line="276" w:lineRule="auto"/>
        <w:jc w:val="both"/>
      </w:pPr>
      <w:r>
        <w:rPr>
          <w:rFonts w:ascii="Times New Roman" w:cs="Times New Roman" w:eastAsia="Times New Roman" w:hAnsi="Times New Roman"/>
          <w:color w:val="222222"/>
          <w:sz w:val="20"/>
          <w:szCs w:val="20"/>
        </w:rPr>
        <w:t xml:space="preserve">To decompose total latency into wakeup cost (alpha) and per-byte copy cost (beta), we fit the linear model latency(B) = alpha + beta*B to median latency measurements across all payload sizes at 1 CPU, NUMA-local. Results are summarized in Table VI.</w:t>
      </w:r>
    </w:p>
    <w:p>
      <w:pPr>
        <w:spacing w:before="0" w:after="20"/>
      </w:pPr>
      <w:r>
        <w:rPr>
          <w:rFonts w:ascii="Times New Roman" w:cs="Times New Roman" w:eastAsia="Times New Roman" w:hAnsi="Times New Roman"/>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40"/>
        <w:gridCol w:w="1740"/>
        <w:gridCol w:w="1740"/>
        <w:gridCol w:w="1540"/>
      </w:tblGrid>
      <w:tr>
        <w:tc>
          <w:tcPr>
            <w:tcW w:type="dxa" w:w="260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Transport</w:t>
            </w:r>
          </w:p>
        </w:tc>
        <w:tc>
          <w:tcPr>
            <w:tcW w:type="dxa" w:w="174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Alpha / Wakeup (µs)</w:t>
            </w:r>
          </w:p>
        </w:tc>
        <w:tc>
          <w:tcPr>
            <w:tcW w:type="dxa" w:w="174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Beta (ns/B)</w:t>
            </w:r>
          </w:p>
        </w:tc>
        <w:tc>
          <w:tcPr>
            <w:tcW w:type="dxa" w:w="174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R²</w:t>
            </w:r>
          </w:p>
        </w:tc>
        <w:tc>
          <w:tcPr>
            <w:tcW w:type="dxa" w:w="1540"/>
            <w:gridSpan w:val="1"/>
            <w:tcBorders>
              <w:top w:val="single" w:color="CCCCCC" w:sz="1"/>
              <w:left w:val="single" w:color="CCCCCC" w:sz="1"/>
              <w:bottom w:val="single" w:color="CCCCCC" w:sz="1"/>
              <w:right w:val="single" w:color="CCCCCC" w:sz="1"/>
            </w:tcBorders>
            <w:shd w:fill="2222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 BW (GB/s)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Ring Buffer</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1.94</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0.23</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0.981</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4.35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Perf Event Array</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4.61</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0.19</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0.976</w:t>
            </w:r>
          </w:p>
        </w:tc>
        <w:tc>
          <w:tcPr>
            <w:tcW w:type="dxa" w:w="1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5.26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Hash Map (1ms)</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0.21</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0.944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4.76</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222222"/>
                <w:sz w:val="18"/>
                <w:szCs w:val="18"/>
              </w:rPr>
              <w:t xml:space="preserve">Per-CPU Array (1ms)</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0.18</w:t>
            </w:r>
          </w:p>
        </w:tc>
        <w:tc>
          <w:tcPr>
            <w:tcW w:type="dxa" w:w="1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0.958</w:t>
            </w:r>
          </w:p>
        </w:tc>
        <w:tc>
          <w:tcPr>
            <w:tcW w:type="dxa" w:w="1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222222"/>
                <w:sz w:val="18"/>
                <w:szCs w:val="18"/>
              </w:rPr>
              <w:t xml:space="preserve">5.56</w:t>
            </w:r>
          </w:p>
        </w:tc>
      </w:tr>
    </w:tbl>
    <w:p>
      <w:pPr>
        <w:spacing w:before="60" w:after="180"/>
        <w:jc w:val="center"/>
      </w:pPr>
      <w:r>
        <w:rPr>
          <w:rFonts w:ascii="Times New Roman" w:cs="Times New Roman" w:eastAsia="Times New Roman" w:hAnsi="Times New Roman"/>
          <w:b/>
          <w:bCs/>
          <w:sz w:val="18"/>
          <w:szCs w:val="18"/>
        </w:rPr>
        <w:t xml:space="preserve">Table VI.  </w:t>
      </w:r>
      <w:r>
        <w:rPr>
          <w:rFonts w:ascii="Times New Roman" w:cs="Times New Roman" w:eastAsia="Times New Roman" w:hAnsi="Times New Roman"/>
          <w:i/>
          <w:iCs/>
          <w:sz w:val="18"/>
          <w:szCs w:val="18"/>
        </w:rPr>
        <w:t xml:space="preserve">Latency decomposition model fit: latency(B) = alpha + beta*B. Alpha = wakeup/scheduling cost; Beta = per-byte copy cost; Eff. BW = effective memory bandwidth inferred from beta.</w:t>
      </w:r>
    </w:p>
    <w:p>
      <w:pPr>
        <w:spacing w:before="0" w:after="120" w:line="276" w:lineRule="auto"/>
        <w:jc w:val="both"/>
      </w:pPr>
      <w:r>
        <w:rPr>
          <w:rFonts w:ascii="Times New Roman" w:cs="Times New Roman" w:eastAsia="Times New Roman" w:hAnsi="Times New Roman"/>
          <w:color w:val="222222"/>
          <w:sz w:val="20"/>
          <w:szCs w:val="20"/>
        </w:rPr>
        <w:t xml:space="preserve">The wakeup cost alpha confirms that ring buffer has a 2.4x lower scheduling overhead than perf event array, consistent with its single epoll fd vs. N per-CPU fds. The per-byte copy cost beta is similar across mechanisms (0.18–0.23 ns/B), implying that the copy implementation is comparably efficient and that the choice of mechanism does not significantly affect memory bandwidth utilization.</w:t>
      </w:r>
    </w:p>
    <w:p>
      <w:pPr>
        <w:pStyle w:val="Heading1"/>
        <w:pBdr>
          <w:bottom w:val="single" w:color="000000" w:sz="4" w:space="2"/>
        </w:pBdr>
        <w:spacing w:before="280" w:after="80"/>
      </w:pPr>
      <w:r>
        <w:rPr>
          <w:rFonts w:ascii="Arial" w:cs="Arial" w:eastAsia="Arial" w:hAnsi="Arial"/>
          <w:b/>
          <w:bCs/>
          <w:color w:val="000000"/>
          <w:sz w:val="22"/>
          <w:szCs w:val="22"/>
        </w:rPr>
        <w:t xml:space="preserve">7. DISCUSSION</w:t>
      </w:r>
    </w:p>
    <w:p>
      <w:pPr>
        <w:pStyle w:val="Heading2"/>
        <w:spacing w:before="200" w:after="60"/>
      </w:pPr>
      <w:r>
        <w:rPr>
          <w:rFonts w:ascii="Arial" w:cs="Arial" w:eastAsia="Arial" w:hAnsi="Arial"/>
          <w:b/>
          <w:bCs/>
          <w:i/>
          <w:iCs/>
          <w:color w:val="222222"/>
          <w:sz w:val="20"/>
          <w:szCs w:val="20"/>
        </w:rPr>
        <w:t xml:space="preserve">7.1 Transport Selection Guidelines for HPC</w:t>
      </w:r>
    </w:p>
    <w:p>
      <w:pPr>
        <w:spacing w:before="0" w:after="120" w:line="276" w:lineRule="auto"/>
        <w:jc w:val="both"/>
      </w:pPr>
      <w:r>
        <w:rPr>
          <w:rFonts w:ascii="Times New Roman" w:cs="Times New Roman" w:eastAsia="Times New Roman" w:hAnsi="Times New Roman"/>
          <w:color w:val="222222"/>
          <w:sz w:val="20"/>
          <w:szCs w:val="20"/>
        </w:rPr>
        <w:t xml:space="preserve">Our results yield concrete, actionable guidance for HPC monitoring system designers: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Low-latency feedback loops (&lt; 10 µs target): </w:t>
      </w:r>
      <w:r>
        <w:rPr>
          <w:rFonts w:ascii="Times New Roman" w:cs="Times New Roman" w:eastAsia="Times New Roman" w:hAnsi="Times New Roman"/>
          <w:color w:val="222222"/>
          <w:sz w:val="20"/>
          <w:szCs w:val="20"/>
        </w:rPr>
        <w:t xml:space="preserve">Use ring buffer with BPF_RB_FORCE_WAKEUP on NUMA-local deployments. Payload must be kept below 4 KB to stay within the latency budget. Avoid cross-socket ring access.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High-throughput monitoring at full node scale (64+ cores): </w:t>
      </w:r>
      <w:r>
        <w:rPr>
          <w:rFonts w:ascii="Times New Roman" w:cs="Times New Roman" w:eastAsia="Times New Roman" w:hAnsi="Times New Roman"/>
          <w:color w:val="222222"/>
          <w:sz w:val="20"/>
          <w:szCs w:val="20"/>
        </w:rPr>
        <w:t xml:space="preserve">Use perf event array. Its per-CPU ring design maintains linear scaling where ring buffer saturates, and its P99 latency is more stable.</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Large payload transport (&gt; 16 KB): </w:t>
      </w:r>
      <w:r>
        <w:rPr>
          <w:rFonts w:ascii="Times New Roman" w:cs="Times New Roman" w:eastAsia="Times New Roman" w:hAnsi="Times New Roman"/>
          <w:color w:val="222222"/>
          <w:sz w:val="20"/>
          <w:szCs w:val="20"/>
        </w:rPr>
        <w:t xml:space="preserve">Ring buffer and perf array are equivalent in throughput at this payload range. Ring buffer has marginally higher P99 due to spin lock duration. Consider per-NUMA-node ring partitioning.</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Aggregated statistics (counter-style): </w:t>
      </w:r>
      <w:r>
        <w:rPr>
          <w:rFonts w:ascii="Times New Roman" w:cs="Times New Roman" w:eastAsia="Times New Roman" w:hAnsi="Times New Roman"/>
          <w:color w:val="222222"/>
          <w:sz w:val="20"/>
          <w:szCs w:val="20"/>
        </w:rPr>
        <w:t xml:space="preserve">Per-CPU array with 1–5 ms polling delivers the lowest CPU overhead (&lt; 0.5%) and is appropriate for monitoring that does not require event-level granularity.</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Multi-socket HPC nodes: </w:t>
      </w:r>
      <w:r>
        <w:rPr>
          <w:rFonts w:ascii="Times New Roman" w:cs="Times New Roman" w:eastAsia="Times New Roman" w:hAnsi="Times New Roman"/>
          <w:color w:val="222222"/>
          <w:sz w:val="20"/>
          <w:szCs w:val="20"/>
        </w:rPr>
        <w:t xml:space="preserve">Prefer perf event array for global deployment, OR deploy separate ring buffers per NUMA domain with consumer threads pinned to the same socket.</w:t>
      </w:r>
    </w:p>
    <w:p>
      <w:pPr>
        <w:pStyle w:val="Heading2"/>
        <w:spacing w:before="200" w:after="60"/>
      </w:pPr>
      <w:r>
        <w:rPr>
          <w:rFonts w:ascii="Arial" w:cs="Arial" w:eastAsia="Arial" w:hAnsi="Arial"/>
          <w:b/>
          <w:bCs/>
          <w:i/>
          <w:iCs/>
          <w:color w:val="222222"/>
          <w:sz w:val="20"/>
          <w:szCs w:val="20"/>
        </w:rPr>
        <w:t xml:space="preserve">7.2 Ring Buffer Sizing Model</w:t>
      </w:r>
    </w:p>
    <w:p>
      <w:pPr>
        <w:spacing w:before="0" w:after="120" w:line="276" w:lineRule="auto"/>
        <w:jc w:val="both"/>
      </w:pPr>
      <w:r>
        <w:rPr>
          <w:rFonts w:ascii="Times New Roman" w:cs="Times New Roman" w:eastAsia="Times New Roman" w:hAnsi="Times New Roman"/>
          <w:color w:val="222222"/>
          <w:sz w:val="20"/>
          <w:szCs w:val="20"/>
        </w:rPr>
        <w:t xml:space="preserve">Given the ring buffer saturation results, we derive a practical sizing formula. For a ring buffer serving N producer CPUs at event rate R events/s, payload size P bytes, and consumer drain latency D seconds (typically 1–5 ms for epoll-based consumers):</w:t>
      </w:r>
    </w:p>
    <w:p>
      <w:pPr>
        <w:spacing w:before="80" w:after="80"/>
        <w:ind w:left="720" w:right="720"/>
        <w:jc w:val="center"/>
      </w:pPr>
      <w:r>
        <w:rPr>
          <w:rFonts w:ascii="Courier New" w:cs="Courier New" w:eastAsia="Courier New" w:hAnsi="Courier New"/>
          <w:b/>
          <w:bCs/>
          <w:sz w:val="18"/>
          <w:szCs w:val="18"/>
        </w:rPr>
        <w:t xml:space="preserve">ring_size &gt;= N * R * (P + 32) * D * safety_factor</w:t>
      </w:r>
    </w:p>
    <w:p>
      <w:pPr>
        <w:spacing w:before="0" w:after="120" w:line="276" w:lineRule="auto"/>
        <w:jc w:val="both"/>
      </w:pPr>
      <w:r>
        <w:rPr>
          <w:rFonts w:ascii="Times New Roman" w:cs="Times New Roman" w:eastAsia="Times New Roman" w:hAnsi="Times New Roman"/>
          <w:color w:val="222222"/>
          <w:sz w:val="20"/>
          <w:szCs w:val="20"/>
        </w:rPr>
        <w:t xml:space="preserve">With safety_factor = 2.0, this formula predicts the observed drop-free threshold to within 15% across all tested configurations. For a 96-core node at 100,000 events/s per core with 256 B payloads and 2 ms drain latency, this yields a recommended ring size of 96 * 100,000 * 288 * 0.002 * 2.0 = 1.1 GB — substantially larger than the 4 MB default, highlighting the importance of this analysis for production deployments.</w:t>
      </w:r>
    </w:p>
    <w:p>
      <w:pPr>
        <w:pStyle w:val="Heading2"/>
        <w:spacing w:before="200" w:after="60"/>
      </w:pPr>
      <w:r>
        <w:rPr>
          <w:rFonts w:ascii="Arial" w:cs="Arial" w:eastAsia="Arial" w:hAnsi="Arial"/>
          <w:b/>
          <w:bCs/>
          <w:i/>
          <w:iCs/>
          <w:color w:val="222222"/>
          <w:sz w:val="20"/>
          <w:szCs w:val="20"/>
        </w:rPr>
        <w:t xml:space="preserve">7.3 Limitations and Threats to Validity</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Single architecture: </w:t>
      </w:r>
      <w:r>
        <w:rPr>
          <w:rFonts w:ascii="Times New Roman" w:cs="Times New Roman" w:eastAsia="Times New Roman" w:hAnsi="Times New Roman"/>
          <w:color w:val="222222"/>
          <w:sz w:val="20"/>
          <w:szCs w:val="20"/>
        </w:rPr>
        <w:t xml:space="preserve">Results are specific to the AMD EPYC 9654 platform. ARM HPC platforms (e.g., Fujitsu A64FX, NVIDIA Grace) may exhibit different NUMA topologies and cache coherence behavior. We plan to extend to ARM in future work.</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Synthetic workload: </w:t>
      </w:r>
      <w:r>
        <w:rPr>
          <w:rFonts w:ascii="Times New Roman" w:cs="Times New Roman" w:eastAsia="Times New Roman" w:hAnsi="Times New Roman"/>
          <w:color w:val="222222"/>
          <w:sz w:val="20"/>
          <w:szCs w:val="20"/>
        </w:rPr>
        <w:t xml:space="preserve">Stress-ng generates uniform syscall workloads. Real HPC workloads (MPI collective operations, parallel I/O) may exhibit burst patterns that stress the ring buffer differently.</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Kernel version: </w:t>
      </w:r>
      <w:r>
        <w:rPr>
          <w:rFonts w:ascii="Times New Roman" w:cs="Times New Roman" w:eastAsia="Times New Roman" w:hAnsi="Times New Roman"/>
          <w:color w:val="222222"/>
          <w:sz w:val="20"/>
          <w:szCs w:val="20"/>
        </w:rPr>
        <w:t xml:space="preserve">Results are on Linux 6.6.8. The eBPF ring buffer implementation has been optimized across kernel versions; results may differ on older (5.8–5.15) kernels.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Consumer thread design: </w:t>
      </w:r>
      <w:r>
        <w:rPr>
          <w:rFonts w:ascii="Times New Roman" w:cs="Times New Roman" w:eastAsia="Times New Roman" w:hAnsi="Times New Roman"/>
          <w:color w:val="222222"/>
          <w:sz w:val="20"/>
          <w:szCs w:val="20"/>
        </w:rPr>
        <w:t xml:space="preserve">We use a single consumer thread. Multi-threaded consumers (not currently supported by the ring buffer API) may improve throughput in future kernel versions.</w:t>
      </w:r>
    </w:p>
    <w:p>
      <w:pPr>
        <w:pStyle w:val="Heading1"/>
        <w:pBdr>
          <w:bottom w:val="single" w:color="000000" w:sz="4" w:space="2"/>
        </w:pBdr>
        <w:spacing w:before="280" w:after="80"/>
      </w:pPr>
      <w:r>
        <w:rPr>
          <w:rFonts w:ascii="Arial" w:cs="Arial" w:eastAsia="Arial" w:hAnsi="Arial"/>
          <w:b/>
          <w:bCs/>
          <w:color w:val="000000"/>
          <w:sz w:val="22"/>
          <w:szCs w:val="22"/>
        </w:rPr>
        <w:t xml:space="preserve">8. CONCLUSIONS AND FUTURE DIRECTIONS</w:t>
      </w:r>
    </w:p>
    <w:p>
      <w:pPr>
        <w:spacing w:before="0" w:after="120" w:line="276" w:lineRule="auto"/>
        <w:jc w:val="both"/>
      </w:pPr>
      <w:r>
        <w:rPr>
          <w:rFonts w:ascii="Times New Roman" w:cs="Times New Roman" w:eastAsia="Times New Roman" w:hAnsi="Times New Roman"/>
          <w:color w:val="222222"/>
          <w:sz w:val="20"/>
          <w:szCs w:val="20"/>
        </w:rPr>
        <w:t xml:space="preserve">We presented TOLLGATE, a systematic benchmark suite for characterizing eBPF kernel-to-userspace transport overhead at HPC scale. Our key findings are:</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Ring buffer is fastest for small payloads on single-socket systems: </w:t>
      </w:r>
      <w:r>
        <w:rPr>
          <w:rFonts w:ascii="Times New Roman" w:cs="Times New Roman" w:eastAsia="Times New Roman" w:hAnsi="Times New Roman"/>
          <w:color w:val="222222"/>
          <w:sz w:val="20"/>
          <w:szCs w:val="20"/>
        </w:rPr>
        <w:t xml:space="preserve">2.3x lower P50 latency than perf event array at 64 B payload, with near-zero drop rates at 4 MB ring size up to 64 producers.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Ring buffer saturates at high core counts: </w:t>
      </w:r>
      <w:r>
        <w:rPr>
          <w:rFonts w:ascii="Times New Roman" w:cs="Times New Roman" w:eastAsia="Times New Roman" w:hAnsi="Times New Roman"/>
          <w:color w:val="222222"/>
          <w:sz w:val="20"/>
          <w:szCs w:val="20"/>
        </w:rPr>
        <w:t xml:space="preserve">Throughput peaks at 96 CPUs and declines 23% by 192 CPUs due to spin lock contention; perf event array scales linearly to 192 CPUs.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NUMA is the dominant risk for ring buffer: </w:t>
      </w:r>
      <w:r>
        <w:rPr>
          <w:rFonts w:ascii="Times New Roman" w:cs="Times New Roman" w:eastAsia="Times New Roman" w:hAnsi="Times New Roman"/>
          <w:color w:val="222222"/>
          <w:sz w:val="20"/>
          <w:szCs w:val="20"/>
        </w:rPr>
        <w:t xml:space="preserve">Cross-socket P99 latency inflates by 4.7x vs. only 1.8x for perf event array, making transport selection a critical design decision for multi-socket nodes.</w:t>
      </w:r>
    </w:p>
    <w:p>
      <w:pPr>
        <w:pStyle w:val="ListParagraph"/>
        <w:numPr>
          <w:ilvl w:val="0"/>
          <w:numId w:val="2"/>
        </w:numPr>
        <w:spacing w:before="30" w:after="30"/>
      </w:pPr>
      <w:r>
        <w:rPr>
          <w:rFonts w:ascii="Times New Roman" w:cs="Times New Roman" w:eastAsia="Times New Roman" w:hAnsi="Times New Roman"/>
          <w:b/>
          <w:bCs/>
          <w:color w:val="222222"/>
          <w:sz w:val="20"/>
          <w:szCs w:val="20"/>
        </w:rPr>
        <w:t xml:space="preserve">Scheduling wakeup cost, not copy cost, dominates at small payloads: </w:t>
      </w:r>
      <w:r>
        <w:rPr>
          <w:rFonts w:ascii="Times New Roman" w:cs="Times New Roman" w:eastAsia="Times New Roman" w:hAnsi="Times New Roman"/>
          <w:color w:val="222222"/>
          <w:sz w:val="20"/>
          <w:szCs w:val="20"/>
        </w:rPr>
        <w:t xml:space="preserve">78–94% of measured latency at payloads below 256 B is attributable to scheduling overhead, motivating kernel-level improvements to wakeup latency rather than copy-path optimization.</w:t>
      </w:r>
    </w:p>
    <w:p>
      <w:pPr>
        <w:spacing w:before="0" w:after="50"/>
      </w:pPr>
      <w:r>
        <w:rPr>
          <w:rFonts w:ascii="Times New Roman" w:cs="Times New Roman" w:eastAsia="Times New Roman" w:hAnsi="Times New Roman"/>
          <w:color w:val="222222"/>
          <w:sz w:val="20"/>
          <w:szCs w:val="20"/>
        </w:rPr>
        <w:t xml:space="preserve"/>
      </w:r>
    </w:p>
    <w:p>
      <w:pPr>
        <w:spacing w:before="0" w:after="120" w:line="276" w:lineRule="auto"/>
        <w:jc w:val="both"/>
      </w:pPr>
      <w:r>
        <w:rPr>
          <w:rFonts w:ascii="Times New Roman" w:cs="Times New Roman" w:eastAsia="Times New Roman" w:hAnsi="Times New Roman"/>
          <w:color w:val="222222"/>
          <w:sz w:val="20"/>
          <w:szCs w:val="20"/>
        </w:rPr>
        <w:t xml:space="preserve">These results provide the HPC community with the first comprehensive, quantitative basis for eBPF transport selection, covering the scale, topology, and payload sizes relevant to modern HPC monitoring infrastructure.</w:t>
      </w:r>
    </w:p>
    <w:p>
      <w:pPr>
        <w:pStyle w:val="Heading2"/>
        <w:spacing w:before="200" w:after="60"/>
      </w:pPr>
      <w:r>
        <w:rPr>
          <w:rFonts w:ascii="Arial" w:cs="Arial" w:eastAsia="Arial" w:hAnsi="Arial"/>
          <w:b/>
          <w:bCs/>
          <w:i/>
          <w:iCs/>
          <w:color w:val="222222"/>
          <w:sz w:val="20"/>
          <w:szCs w:val="20"/>
        </w:rPr>
        <w:t xml:space="preserve">8.1 Future Directions</w:t>
      </w:r>
    </w:p>
    <w:p>
      <w:pPr>
        <w:pStyle w:val="ListParagraph"/>
        <w:numPr>
          <w:ilvl w:val="0"/>
          <w:numId w:val="2"/>
        </w:numPr>
        <w:spacing w:before="30" w:after="30"/>
      </w:pPr>
      <w:r>
        <w:rPr>
          <w:rFonts w:ascii="Times New Roman" w:cs="Times New Roman" w:eastAsia="Times New Roman" w:hAnsi="Times New Roman"/>
          <w:color w:val="222222"/>
          <w:sz w:val="20"/>
          <w:szCs w:val="20"/>
        </w:rPr>
        <w:t xml:space="preserve">ARM HPC architecture characterization (Fujitsu A64FX, NVIDIA Grace Hopper)</w:t>
      </w:r>
    </w:p>
    <w:p>
      <w:pPr>
        <w:pStyle w:val="ListParagraph"/>
        <w:numPr>
          <w:ilvl w:val="0"/>
          <w:numId w:val="2"/>
        </w:numPr>
        <w:spacing w:before="30" w:after="30"/>
      </w:pPr>
      <w:r>
        <w:rPr>
          <w:rFonts w:ascii="Times New Roman" w:cs="Times New Roman" w:eastAsia="Times New Roman" w:hAnsi="Times New Roman"/>
          <w:color w:val="222222"/>
          <w:sz w:val="20"/>
          <w:szCs w:val="20"/>
        </w:rPr>
        <w:t xml:space="preserve">Multi-node ring buffer federation for cluster-level telemetry aggregation</w:t>
      </w:r>
    </w:p>
    <w:p>
      <w:pPr>
        <w:pStyle w:val="ListParagraph"/>
        <w:numPr>
          <w:ilvl w:val="0"/>
          <w:numId w:val="2"/>
        </w:numPr>
        <w:spacing w:before="30" w:after="30"/>
      </w:pPr>
      <w:r>
        <w:rPr>
          <w:rFonts w:ascii="Times New Roman" w:cs="Times New Roman" w:eastAsia="Times New Roman" w:hAnsi="Times New Roman"/>
          <w:color w:val="222222"/>
          <w:sz w:val="20"/>
          <w:szCs w:val="20"/>
        </w:rPr>
        <w:t xml:space="preserve">Adaptive ring buffer sizing based on runtime event rate estimation</w:t>
      </w:r>
    </w:p>
    <w:p>
      <w:pPr>
        <w:pStyle w:val="ListParagraph"/>
        <w:numPr>
          <w:ilvl w:val="0"/>
          <w:numId w:val="2"/>
        </w:numPr>
        <w:spacing w:before="30" w:after="30"/>
      </w:pPr>
      <w:r>
        <w:rPr>
          <w:rFonts w:ascii="Times New Roman" w:cs="Times New Roman" w:eastAsia="Times New Roman" w:hAnsi="Times New Roman"/>
          <w:color w:val="222222"/>
          <w:sz w:val="20"/>
          <w:szCs w:val="20"/>
        </w:rPr>
        <w:t xml:space="preserve">Integration with MPI runtime adaptive monitoring (intercept layer + ring buffer)</w:t>
      </w:r>
    </w:p>
    <w:p>
      <w:pPr>
        <w:pStyle w:val="ListParagraph"/>
        <w:numPr>
          <w:ilvl w:val="0"/>
          <w:numId w:val="2"/>
        </w:numPr>
        <w:spacing w:before="30" w:after="30"/>
      </w:pPr>
      <w:r>
        <w:rPr>
          <w:rFonts w:ascii="Times New Roman" w:cs="Times New Roman" w:eastAsia="Times New Roman" w:hAnsi="Times New Roman"/>
          <w:color w:val="222222"/>
          <w:sz w:val="20"/>
          <w:szCs w:val="20"/>
        </w:rPr>
        <w:t xml:space="preserve">Kernel patch proposal for per-NUMA-domain ring buffer API</w:t>
      </w:r>
    </w:p>
    <w:p>
      <w:pPr>
        <w:pStyle w:val="ListParagraph"/>
        <w:numPr>
          <w:ilvl w:val="0"/>
          <w:numId w:val="2"/>
        </w:numPr>
        <w:spacing w:before="30" w:after="30"/>
      </w:pPr>
      <w:r>
        <w:rPr>
          <w:rFonts w:ascii="Times New Roman" w:cs="Times New Roman" w:eastAsia="Times New Roman" w:hAnsi="Times New Roman"/>
          <w:color w:val="222222"/>
          <w:sz w:val="20"/>
          <w:szCs w:val="20"/>
        </w:rPr>
        <w:t xml:space="preserve">Evaluation under real HPC workloads: HPCG, AMG2023, IOR parallel I/O benchmarks</w:t>
      </w:r>
    </w:p>
    <w:p>
      <w:pPr>
        <w:pStyle w:val="Heading1"/>
        <w:pBdr>
          <w:bottom w:val="single" w:color="000000" w:sz="4" w:space="2"/>
        </w:pBdr>
        <w:spacing w:before="280" w:after="80"/>
      </w:pPr>
      <w:r>
        <w:rPr>
          <w:rFonts w:ascii="Arial" w:cs="Arial" w:eastAsia="Arial" w:hAnsi="Arial"/>
          <w:b/>
          <w:bCs/>
          <w:color w:val="000000"/>
          <w:sz w:val="22"/>
          <w:szCs w:val="22"/>
        </w:rPr>
        <w:t xml:space="preserve">ACKNOWLEDGMENTS</w:t>
      </w:r>
    </w:p>
    <w:p>
      <w:pPr>
        <w:spacing w:before="0" w:after="120" w:line="276" w:lineRule="auto"/>
        <w:jc w:val="both"/>
      </w:pPr>
      <w:r>
        <w:rPr>
          <w:rFonts w:ascii="Times New Roman" w:cs="Times New Roman" w:eastAsia="Times New Roman" w:hAnsi="Times New Roman"/>
          <w:color w:val="222222"/>
          <w:sz w:val="20"/>
          <w:szCs w:val="20"/>
        </w:rPr>
        <w:t xml:space="preserve">The author thanks the HPC systems team for access to the experimental platform, and the eBPF community for thorough kernel documentation. This work was supported in part by [funding agency and grant number]. Computing time was provided through [HPC allocation program].</w:t>
      </w:r>
    </w:p>
    <w:p>
      <w:pPr>
        <w:pStyle w:val="Heading1"/>
        <w:pBdr>
          <w:bottom w:val="single" w:color="000000" w:sz="4" w:space="2"/>
        </w:pBdr>
        <w:spacing w:before="280" w:after="80"/>
      </w:pPr>
      <w:r>
        <w:rPr>
          <w:rFonts w:ascii="Arial" w:cs="Arial" w:eastAsia="Arial" w:hAnsi="Arial"/>
          <w:b/>
          <w:bCs/>
          <w:color w:val="000000"/>
          <w:sz w:val="22"/>
          <w:szCs w:val="22"/>
        </w:rPr>
        <w:t xml:space="preserve">REFERENCES</w:t>
      </w:r>
    </w:p>
    <w:p>
      <w:pPr>
        <w:spacing w:before="0" w:after="80"/>
        <w:ind w:left="400" w:hanging="40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color w:val="222222"/>
          <w:sz w:val="18"/>
          <w:szCs w:val="18"/>
        </w:rPr>
        <w:t xml:space="preserve">Starovoitov, A., and Borkmann, D. "BPF: A New Type of Software." Proc. Linux Plumbers Conf., 2018.</w:t>
      </w:r>
    </w:p>
    <w:p>
      <w:pPr>
        <w:spacing w:before="0" w:after="80"/>
        <w:ind w:left="400" w:hanging="40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color w:val="222222"/>
          <w:sz w:val="18"/>
          <w:szCs w:val="18"/>
        </w:rPr>
        <w:t xml:space="preserve">Fleming, J. "A thorough introduction to eBPF." LWN.net, December 2017. https://lwn.net/Articles/740157/</w:t>
      </w:r>
    </w:p>
    <w:p>
      <w:pPr>
        <w:spacing w:before="0" w:after="80"/>
        <w:ind w:left="400" w:hanging="40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color w:val="222222"/>
          <w:sz w:val="18"/>
          <w:szCs w:val="18"/>
        </w:rPr>
        <w:t xml:space="preserve">Starovoitov, A. "BPF ring buffer." Linux Kernel Documentation, Documentation/bpf/ringbuf.rst, 2020.</w:t>
      </w:r>
    </w:p>
    <w:p>
      <w:pPr>
        <w:spacing w:before="0" w:after="80"/>
        <w:ind w:left="400" w:hanging="400"/>
      </w:pPr>
      <w:r>
        <w:rPr>
          <w:rFonts w:ascii="Times New Roman" w:cs="Times New Roman" w:eastAsia="Times New Roman" w:hAnsi="Times New Roman"/>
          <w:b/>
          <w:bCs/>
          <w:sz w:val="18"/>
          <w:szCs w:val="18"/>
        </w:rPr>
        <w:t xml:space="preserve">[4]  </w:t>
      </w:r>
      <w:r>
        <w:rPr>
          <w:rFonts w:ascii="Times New Roman" w:cs="Times New Roman" w:eastAsia="Times New Roman" w:hAnsi="Times New Roman"/>
          <w:color w:val="222222"/>
          <w:sz w:val="18"/>
          <w:szCs w:val="18"/>
        </w:rPr>
        <w:t xml:space="preserve">Gregg, B. BPF Performance Tools: Linux System and Application Observability. Addison-Wesley, 2019. ISBN 978-0-13-655482-1.</w:t>
      </w:r>
    </w:p>
    <w:p>
      <w:pPr>
        <w:spacing w:before="0" w:after="80"/>
        <w:ind w:left="400" w:hanging="40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color w:val="222222"/>
          <w:sz w:val="18"/>
          <w:szCs w:val="18"/>
        </w:rPr>
        <w:t xml:space="preserve">Linux Kernel. perf_event_open(2) man page. Linux Programmer's Manual, 2024.</w:t>
      </w:r>
    </w:p>
    <w:p>
      <w:pPr>
        <w:spacing w:before="0" w:after="80"/>
        <w:ind w:left="400" w:hanging="400"/>
      </w:pPr>
      <w:r>
        <w:rPr>
          <w:rFonts w:ascii="Times New Roman" w:cs="Times New Roman" w:eastAsia="Times New Roman" w:hAnsi="Times New Roman"/>
          <w:b/>
          <w:bCs/>
          <w:sz w:val="18"/>
          <w:szCs w:val="18"/>
        </w:rPr>
        <w:t xml:space="preserve">[6]  </w:t>
      </w:r>
      <w:r>
        <w:rPr>
          <w:rFonts w:ascii="Times New Roman" w:cs="Times New Roman" w:eastAsia="Times New Roman" w:hAnsi="Times New Roman"/>
          <w:color w:val="222222"/>
          <w:sz w:val="18"/>
          <w:szCs w:val="18"/>
        </w:rPr>
        <w:t xml:space="preserve">Tu, J., et al. "Understanding the performance of eBPF for packet processing." Proc. SIGCOMM Workshop on Kernel Bypassing Networks (KBNets), 2021.</w:t>
      </w:r>
    </w:p>
    <w:p>
      <w:pPr>
        <w:spacing w:before="0" w:after="80"/>
        <w:ind w:left="400" w:hanging="400"/>
      </w:pPr>
      <w:r>
        <w:rPr>
          <w:rFonts w:ascii="Times New Roman" w:cs="Times New Roman" w:eastAsia="Times New Roman" w:hAnsi="Times New Roman"/>
          <w:b/>
          <w:bCs/>
          <w:sz w:val="18"/>
          <w:szCs w:val="18"/>
        </w:rPr>
        <w:t xml:space="preserve">[7]  </w:t>
      </w:r>
      <w:r>
        <w:rPr>
          <w:rFonts w:ascii="Times New Roman" w:cs="Times New Roman" w:eastAsia="Times New Roman" w:hAnsi="Times New Roman"/>
          <w:color w:val="222222"/>
          <w:sz w:val="18"/>
          <w:szCs w:val="18"/>
        </w:rPr>
        <w:t xml:space="preserve">Vieira, M. A. M., et al. "Fast Packet Processing with eBPF and XDP." ACM Computing Surveys 53(1), 2020. https://doi.org/10.1145/3371038</w:t>
      </w:r>
    </w:p>
    <w:p>
      <w:pPr>
        <w:spacing w:before="0" w:after="80"/>
        <w:ind w:left="400" w:hanging="400"/>
      </w:pPr>
      <w:r>
        <w:rPr>
          <w:rFonts w:ascii="Times New Roman" w:cs="Times New Roman" w:eastAsia="Times New Roman" w:hAnsi="Times New Roman"/>
          <w:b/>
          <w:bCs/>
          <w:sz w:val="18"/>
          <w:szCs w:val="18"/>
        </w:rPr>
        <w:t xml:space="preserve">[8]  </w:t>
      </w:r>
      <w:r>
        <w:rPr>
          <w:rFonts w:ascii="Times New Roman" w:cs="Times New Roman" w:eastAsia="Times New Roman" w:hAnsi="Times New Roman"/>
          <w:color w:val="222222"/>
          <w:sz w:val="18"/>
          <w:szCs w:val="18"/>
        </w:rPr>
        <w:t xml:space="preserve">Mucci, P. J., et al. "PAPI: A portable interface to hardware performance counters." Proc. HPC '99, 1999.</w:t>
      </w:r>
    </w:p>
    <w:p>
      <w:pPr>
        <w:spacing w:before="0" w:after="80"/>
        <w:ind w:left="400" w:hanging="400"/>
      </w:pPr>
      <w:r>
        <w:rPr>
          <w:rFonts w:ascii="Times New Roman" w:cs="Times New Roman" w:eastAsia="Times New Roman" w:hAnsi="Times New Roman"/>
          <w:b/>
          <w:bCs/>
          <w:sz w:val="18"/>
          <w:szCs w:val="18"/>
        </w:rPr>
        <w:t xml:space="preserve">[9]  </w:t>
      </w:r>
      <w:r>
        <w:rPr>
          <w:rFonts w:ascii="Times New Roman" w:cs="Times New Roman" w:eastAsia="Times New Roman" w:hAnsi="Times New Roman"/>
          <w:color w:val="222222"/>
          <w:sz w:val="18"/>
          <w:szCs w:val="18"/>
        </w:rPr>
        <w:t xml:space="preserve">Agelastos, A., et al. "The Lightweight Distributed Metric Service: A Scalable Infrastructure for Continuous Monitoring of Large Scale Computing Systems and Applications." Proc. SC '14. https://doi.org/10.1109/SC.2014.18</w:t>
      </w:r>
    </w:p>
    <w:p>
      <w:pPr>
        <w:spacing w:before="0" w:after="80"/>
        <w:ind w:left="400" w:hanging="400"/>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color w:val="222222"/>
          <w:sz w:val="18"/>
          <w:szCs w:val="18"/>
        </w:rPr>
        <w:t xml:space="preserve">Castain, R. H., et al. "The PMIx Standard: Enabling Co-Design Across the HPC Community." Proc. EuroMPI '19, 2019.</w:t>
      </w:r>
    </w:p>
    <w:p>
      <w:pPr>
        <w:spacing w:before="0" w:after="80"/>
        <w:ind w:left="400" w:hanging="400"/>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color w:val="222222"/>
          <w:sz w:val="18"/>
          <w:szCs w:val="18"/>
        </w:rPr>
        <w:t xml:space="preserve">Bhatele, A., et al. "Identifying the root causes of communication inefficiencies in parallel applications." Proc. SC '10. https://doi.org/10.1109/SC.2010.28</w:t>
      </w:r>
    </w:p>
    <w:p>
      <w:pPr>
        <w:spacing w:before="0" w:after="80"/>
        <w:ind w:left="400" w:hanging="400"/>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color w:val="222222"/>
          <w:sz w:val="18"/>
          <w:szCs w:val="18"/>
        </w:rPr>
        <w:t xml:space="preserve">Boyd-Wickizer, S., et al. "An Analysis of Linux Scalability to Many Cores." Proc. OSDI '10, 2010.</w:t>
      </w:r>
    </w:p>
    <w:p>
      <w:pPr>
        <w:spacing w:before="0" w:after="80"/>
        <w:ind w:left="400" w:hanging="400"/>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color w:val="222222"/>
          <w:sz w:val="18"/>
          <w:szCs w:val="18"/>
        </w:rPr>
        <w:t xml:space="preserve">Calciu, I., et al. "NUMA-Aware Reader-Writer Locks." Proc. PPoPP '13. https://doi.org/10.1145/2442516.2442532</w:t>
      </w:r>
    </w:p>
    <w:p>
      <w:pPr>
        <w:spacing w:before="0" w:after="80"/>
        <w:ind w:left="400" w:hanging="400"/>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color w:val="222222"/>
          <w:sz w:val="18"/>
          <w:szCs w:val="18"/>
        </w:rPr>
        <w:t xml:space="preserve">Starovoitov, A. "[PATCH bpf-next 0/4] BPF ring buffer." Linux Kernel Mailing List, August 2020. https://lore.kernel.org/bpf/20200529075424.3139988-1-ast@kernel.org/</w:t>
      </w:r>
    </w:p>
    <w:p>
      <w:pPr>
        <w:spacing w:before="0" w:after="80"/>
        <w:ind w:left="400" w:hanging="400"/>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color w:val="222222"/>
          <w:sz w:val="18"/>
          <w:szCs w:val="18"/>
        </w:rPr>
        <w:t xml:space="preserve">Lee, L., et al. "Fast and Correct Lock-Free Queues." Proc. IEEE IPDPS '10, 2010.</w:t>
      </w:r>
    </w:p>
    <w:p>
      <w:pPr>
        <w:spacing w:before="0" w:after="80"/>
        <w:ind w:left="400" w:hanging="400"/>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color w:val="222222"/>
          <w:sz w:val="18"/>
          <w:szCs w:val="18"/>
        </w:rPr>
        <w:t xml:space="preserve">Arnautov, S., et al. "SCONE: Secure Linux Containers with Intel SGX." Proc. OSDI '16, 2016.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3"/>
      </w:pBdr>
      <w:tabs>
        <w:tab w:val="right" w:pos="9360"/>
      </w:tabs>
      <w:spacing w:before="0"/>
    </w:pPr>
    <w:r>
      <w:rPr>
        <w:rFonts w:ascii="Arial" w:cs="Arial" w:eastAsia="Arial" w:hAnsi="Arial"/>
        <w:i/>
        <w:iCs/>
        <w:color w:val="666666"/>
        <w:sz w:val="16"/>
        <w:szCs w:val="16"/>
      </w:rPr>
      <w:t xml:space="preserve">Submitted to SC26 Workshop on Emerging Technologies in HPC Monitoring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tabs>
        <w:tab w:val="right" w:pos="9360"/>
      </w:tabs>
      <w:spacing w:after="0"/>
    </w:pPr>
    <w:r>
      <w:rPr>
        <w:rFonts w:ascii="Arial" w:cs="Arial" w:eastAsia="Arial" w:hAnsi="Arial"/>
        <w:i/>
        <w:iCs/>
        <w:color w:val="666666"/>
        <w:sz w:val="16"/>
        <w:szCs w:val="16"/>
      </w:rPr>
      <w:t xml:space="preserve">SC26 Workshop on Emerging Technologies in HPC Monitoring</w:t>
    </w:r>
    <w:r>
      <w:rPr>
        <w:sz w:val="16"/>
        <w:szCs w:val="16"/>
      </w:rPr>
      <w:t xml:space="preserve">	</w:t>
    </w:r>
    <w:r>
      <w:rPr>
        <w:rFonts w:ascii="Arial" w:cs="Arial" w:eastAsia="Arial" w:hAnsi="Arial"/>
        <w:color w:val="666666"/>
        <w:sz w:val="16"/>
        <w:szCs w:val="16"/>
      </w:rPr>
      <w:t xml:space="preserve">TOLLGATE: eBPF Transport Overhead at HPC Scale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80"/>
      <w:outlineLvl w:val="0"/>
    </w:pPr>
    <w:rPr>
      <w:rFonts w:ascii="Arial" w:cs="Arial" w:eastAsia="Arial" w:hAnsi="Arial"/>
      <w:b/>
      <w:bCs/>
      <w:color w:val="000000"/>
      <w:sz w:val="22"/>
      <w:szCs w:val="22"/>
    </w:rPr>
  </w:style>
  <w:style w:type="paragraph" w:styleId="Heading2">
    <w:name w:val="Heading 2"/>
    <w:basedOn w:val="Normal"/>
    <w:next w:val="Normal"/>
    <w:qFormat/>
    <w:pPr>
      <w:spacing w:before="200" w:after="60"/>
      <w:outlineLvl w:val="1"/>
    </w:pPr>
    <w:rPr>
      <w:rFonts w:ascii="Arial" w:cs="Arial" w:eastAsia="Arial" w:hAnsi="Arial"/>
      <w:b/>
      <w:bCs/>
      <w:i/>
      <w:iCs/>
      <w:color w:val="222222"/>
      <w:sz w:val="20"/>
      <w:szCs w:val="20"/>
    </w:rPr>
  </w:style>
  <w:style w:type="paragraph" w:styleId="Heading3">
    <w:name w:val="Heading 3"/>
    <w:basedOn w:val="Normal"/>
    <w:next w:val="Normal"/>
    <w:qFormat/>
    <w:pPr>
      <w:spacing w:before="140" w:after="40"/>
      <w:outlineLvl w:val="2"/>
    </w:pPr>
    <w:rPr>
      <w:rFonts w:ascii="Arial" w:cs="Arial" w:eastAsia="Arial" w:hAnsi="Arial"/>
      <w:b/>
      <w:bCs/>
      <w:color w:val="2222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2026-04-09T13:24:54.577Z</dcterms:created>
  <dcterms:modified xsi:type="dcterms:W3CDTF">2026-04-09T13:24:54.578Z</dcterms:modified>
</cp:coreProperties>
</file>

<file path=docProps/custom.xml><?xml version="1.0" encoding="utf-8"?>
<Properties xmlns="http://schemas.openxmlformats.org/officeDocument/2006/custom-properties" xmlns:vt="http://schemas.openxmlformats.org/officeDocument/2006/docPropsVTypes"/>
</file>