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K-Net User Guide</w:t>
      </w:r>
    </w:p>
    <w:p>
      <w:pPr>
        <w:spacing w:after="100"/>
      </w:pPr>
      <w:r>
        <w:t xml:space="preserve">Cash Advance, Liquidation, Reimbursement &amp; Revolving Fund Workflow System</w:t>
      </w:r>
    </w:p>
    <w:p>
      <w:pPr>
        <w:spacing w:after="400"/>
      </w:pPr>
      <w:r>
        <w:rPr>
          <w:i/>
          <w:iCs/>
          <w:color w:val="777777"/>
        </w:rPr>
        <w:t xml:space="preserve">Screenshots captured from the live K-Net staging environment (lsbizportal.lemonsquare.com.ph/k-net).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Getting Started</w:t>
      </w:r>
    </w:p>
    <w:p>
      <w:pPr>
        <w:spacing w:after="150"/>
      </w:pPr>
      <w:r>
        <w:t xml:space="preserve">K-Net is accessed through the LS BizPortal. You do not log into K-Net directly — you log into the shared company portal, then open the K-Net tile.</w:t>
      </w:r>
    </w:p>
    <w:p>
      <w:pPr>
        <w:pStyle w:val="Heading2"/>
        <w:spacing w:after="150" w:before="300"/>
      </w:pPr>
      <w:r>
        <w:t xml:space="preserve">1.1 Logging 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the BizPortal login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your username and password, then click Login.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the K-Net tile under Support Center to open the app.</w:t>
      </w:r>
    </w:p>
    <w:p>
      <w:pPr>
        <w:pStyle w:val="Heading2"/>
        <w:spacing w:after="150" w:before="300"/>
      </w:pPr>
      <w:r>
        <w:t xml:space="preserve">1.2 The Dashboard</w:t>
      </w:r>
    </w:p>
    <w:p>
      <w:pPr>
        <w:spacing w:after="150"/>
      </w:pPr>
      <w:r>
        <w:t xml:space="preserve">After opening K-Net you land on your personal Dashboard: your open Cash Advances, items For Liquidation, Pending Reimbursements, your Remaining Fund balance (if you hold a revolving fund), recent Fund History, and anything needing your attention.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2A93B" w:sz="12" w:space="8"/>
        </w:pBdr>
        <w:spacing w:after="200"/>
        <w:ind w:left="200"/>
      </w:pPr>
      <w:r>
        <w:rPr>
          <w:i/>
          <w:iCs/>
          <w:color w:val="555555"/>
        </w:rPr>
        <w:t xml:space="preserve">Note: The exact tiles you see depend on your role — a plain requester sees a simpler dashboard than a fund holder or approver.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Cash Advance (with K-Flow Approval)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Any employee who needs company funds in advance of an expense.</w:t>
      </w:r>
    </w:p>
    <w:p>
      <w:pPr>
        <w:spacing w:after="150"/>
      </w:pPr>
      <w:r>
        <w:t xml:space="preserve">This is the most important flow to understand because a Cash Advance does not stay inside K-Net the whole time — it is briefly handed off to K-Flow, a separate company approval system, before coming back into K-Net to finish its own approval matrix.</w:t>
      </w:r>
    </w:p>
    <w:p>
      <w:pPr>
        <w:pStyle w:val="Heading2"/>
        <w:spacing w:after="150" w:before="300"/>
      </w:pPr>
      <w:r>
        <w:t xml:space="preserve">2.1 Cash Advance List</w:t>
      </w:r>
    </w:p>
    <w:p>
      <w:pPr>
        <w:spacing w:after="150"/>
      </w:pPr>
      <w:r>
        <w:t xml:space="preserve">Opens to your own request history: totals for the amount you have requested, how much is pending, for liquidation, and approved, plus a filterable table of every request you’ve filed.</w:t>
      </w:r>
    </w:p>
    <w:p>
      <w:pPr>
        <w:spacing w:after="200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2.2 Step 1 — File a New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New Request.</w:t>
      </w:r>
    </w:p>
    <w:p>
      <w:pPr>
        <w:spacing w:after="200"/>
      </w:pPr>
      <w:r>
        <w:drawing>
          <wp:inline distT="0" distB="0" distL="0" distR="0">
            <wp:extent cx="5905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 in Payable To, Cost Center, Address, Amount, Date Needed, Purpose, and attach any supporting documents.</w:t>
      </w:r>
    </w:p>
    <w:p>
      <w:pPr>
        <w:spacing w:after="200"/>
      </w:pPr>
      <w:r>
        <w:drawing>
          <wp:inline distT="0" distB="0" distL="0" distR="0">
            <wp:extent cx="5905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2A93B" w:sz="12" w:space="8"/>
        </w:pBdr>
        <w:spacing w:after="200"/>
        <w:ind w:left="200"/>
      </w:pPr>
      <w:r>
        <w:rPr>
          <w:i/>
          <w:iCs/>
          <w:color w:val="555555"/>
        </w:rPr>
        <w:t xml:space="preserve">Note: The form above is filled with sample data for illustration only — it was not submitted, to avoid creating a test transaction in the live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Submit Request.</w:t>
      </w:r>
    </w:p>
    <w:p>
      <w:pPr>
        <w:pStyle w:val="Heading2"/>
        <w:spacing w:after="150" w:before="300"/>
      </w:pPr>
      <w:r>
        <w:t xml:space="preserve">2.3 Step 2 — Routed to K-Flow</w:t>
      </w:r>
    </w:p>
    <w:p>
      <w:pPr>
        <w:spacing w:after="150"/>
      </w:pPr>
      <w:r>
        <w:t xml:space="preserve">Immediately after you submit, K-Net hands the request off to K-Flow (the company-wide workflow/e-signature system) for its own review. While this is happening, the request’s status briefly reads "Routed to K-Flow" and it will not yet appear as pending inside K-Net’s own Approvals screen.</w:t>
      </w:r>
    </w:p>
    <w:p>
      <w:pPr>
        <w:pBdr>
          <w:left w:val="single" w:color="F2A93B" w:sz="12" w:space="8"/>
        </w:pBdr>
        <w:spacing w:after="200"/>
        <w:ind w:left="200"/>
      </w:pPr>
      <w:r>
        <w:rPr>
          <w:i/>
          <w:iCs/>
          <w:color w:val="555555"/>
        </w:rPr>
        <w:t xml:space="preserve">Note: There is currently no request sitting in this in-between state to screenshot live — in this test environment K-Flow tends to resolve within seconds of submission. Rather than create a new test transaction to force-capture this transient screen, this step is documented from the code/config instead of a live screenshot.</w:t>
      </w:r>
    </w:p>
    <w:p>
      <w:pPr>
        <w:pStyle w:val="Heading2"/>
        <w:spacing w:after="150" w:before="300"/>
      </w:pPr>
      <w:r>
        <w:t xml:space="preserve">2.4 Step 3 — K-Flow Callback into K-Net’s Approval Matrix</w:t>
      </w:r>
    </w:p>
    <w:p>
      <w:pPr>
        <w:spacing w:after="150"/>
      </w:pPr>
      <w:r>
        <w:t xml:space="preserve">Once K-Flow finishes its own sign-off, it calls back into K-Net, and the request enters K-Net’s own configurable Approval Matrix (see Section 7). Depending on the matrix rule that matches the request’s department and amount, it either needs one or more designated approvers, or — if the requester is also the sole configured approver — it is auto-approved.</w:t>
      </w:r>
    </w:p>
    <w:p>
      <w:pPr>
        <w:pStyle w:val="Heading2"/>
        <w:spacing w:after="150" w:before="300"/>
      </w:pPr>
      <w:r>
        <w:t xml:space="preserve">2.5 Example: Self-Approved Request (requester = approver)</w:t>
      </w:r>
    </w:p>
    <w:p>
      <w:pPr>
        <w:spacing w:after="150"/>
      </w:pPr>
      <w:r>
        <w:t xml:space="preserve">Below is a real completed Cash Advance where the requester was also the matrix’s only approver, so K-Net auto-approved it immediately after the K-Flow callback.</w:t>
      </w:r>
    </w:p>
    <w:p>
      <w:pPr>
        <w:spacing w:after="200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Clicking the history icon (top right) shows the full timeline: submission, payment advisory/release, and the auto-approval.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2.6 Example: Approved by a Different Person</w:t>
      </w:r>
    </w:p>
    <w:p>
      <w:pPr>
        <w:spacing w:after="150"/>
      </w:pPr>
      <w:r>
        <w:t xml:space="preserve">Here is a real Cash Advance filed by one employee and approved by a different person entirely — the more typical case where the K-Flow callback is followed by an actual reviewer decision rather than auto-approval.</w:t>
      </w:r>
    </w:p>
    <w:p>
      <w:pPr>
        <w:spacing w:after="200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2.7 Step 4 — Release and Liquidation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Once approved, Accounting advises and releases payment (status becomes For Release, then For Liquidation).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Cash Advance cannot go straight to Completed — it must be liquidated first (see Section 3).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Liquidation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Anyone who was released a Cash Advance and needs to report how it was actually spent.</w:t>
      </w:r>
    </w:p>
    <w:p>
      <w:pPr>
        <w:spacing w:after="150"/>
      </w:pPr>
      <w:r>
        <w:t xml:space="preserve">Liquidation is how an employee reports actual spend against a released Cash Advance: attach receipts, break the spend into expense-type line items, and let the system compute the variance (excess or shortage) against the original advance.</w:t>
      </w:r>
    </w:p>
    <w:p>
      <w:pPr>
        <w:spacing w:after="200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2A93B" w:sz="12" w:space="8"/>
        </w:pBdr>
        <w:spacing w:after="200"/>
        <w:ind w:left="200"/>
      </w:pPr>
      <w:r>
        <w:rPr>
          <w:i/>
          <w:iCs/>
          <w:color w:val="555555"/>
        </w:rPr>
        <w:t xml:space="preserve">Note: An excess becomes an Expense Reimbursement (Section 4); a shortage is returned.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Expense Reimbursement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Anyone claiming repayment for a personally-paid expense, or the overage from a Liquidation.</w:t>
      </w:r>
    </w:p>
    <w:p>
      <w:pPr>
        <w:spacing w:after="150"/>
      </w:pPr>
      <w:r>
        <w:t xml:space="preserve">Reimbursement requests go through the same kind of approval matrix as Cash Advance, then get paid out once approved.</w:t>
      </w:r>
    </w:p>
    <w:p>
      <w:pPr>
        <w:spacing w:after="200"/>
      </w:pPr>
      <w:r>
        <w:drawing>
          <wp:inline distT="0" distB="0" distL="0" distR="0">
            <wp:extent cx="5905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5. Approvals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Approvers, Supervisors, Accounting, and ICT — anyone with a decision to make on a request.</w:t>
      </w:r>
    </w:p>
    <w:p>
      <w:pPr>
        <w:spacing w:after="150"/>
      </w:pPr>
      <w:r>
        <w:t xml:space="preserve">This is the approver’s workbench, with three tabs.</w:t>
      </w:r>
    </w:p>
    <w:p>
      <w:pPr>
        <w:pStyle w:val="Heading2"/>
        <w:spacing w:after="150" w:before="300"/>
      </w:pPr>
      <w:r>
        <w:t xml:space="preserve">5.1 Pending Approvals</w:t>
      </w:r>
    </w:p>
    <w:p>
      <w:pPr>
        <w:spacing w:after="150"/>
      </w:pPr>
      <w:r>
        <w:t xml:space="preserve">Everything currently awaiting this user’s decision, across Cash Advance, Liquidation, and Reimbursement.</w:t>
      </w:r>
    </w:p>
    <w:p>
      <w:pPr>
        <w:spacing w:after="200"/>
      </w:pPr>
      <w:r>
        <w:drawing>
          <wp:inline distT="0" distB="0" distL="0" distR="0">
            <wp:extent cx="5905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5.2 Past Approvals</w:t>
      </w:r>
    </w:p>
    <w:p>
      <w:pPr>
        <w:spacing w:after="150"/>
      </w:pPr>
      <w:r>
        <w:t xml:space="preserve">A read-only log of everything this user has already decided on.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5.3 For Payment</w:t>
      </w:r>
    </w:p>
    <w:p>
      <w:pPr>
        <w:spacing w:after="150"/>
      </w:pPr>
      <w:r>
        <w:t xml:space="preserve">For users with payment capability: mark items as Payment Advised and/or Payment Released, individually or in a batch.</w:t>
      </w:r>
    </w:p>
    <w:p>
      <w:pPr>
        <w:spacing w:after="200"/>
      </w:pPr>
      <w:r>
        <w:drawing>
          <wp:inline distT="0" distB="0" distL="0" distR="0">
            <wp:extent cx="59055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6. Approval Matrix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Accounting, ICT, and system administrators — this configures who approves what for everyone else.</w:t>
      </w:r>
    </w:p>
    <w:p>
      <w:pPr>
        <w:spacing w:after="150"/>
      </w:pPr>
      <w:r>
        <w:t xml:space="preserve">Every approval rule that governs Cash Advance, Liquidation, and Reimbursement lives here: which department and amount range it applies to, and the ordered (or parallel) list of approvers.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6.1 Creating a New Rule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New Matrix.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the rule, pick the Transaction Type, Department, and Min/Max amount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one or more approvers, set their order and approval type (Sequential or Parallel), and any Payment Controls (Advisory, Release, or both).</w:t>
      </w:r>
    </w:p>
    <w:p>
      <w:pPr>
        <w:spacing w:after="200"/>
      </w:pPr>
      <w:r>
        <w:drawing>
          <wp:inline distT="0" distB="0" distL="0" distR="0">
            <wp:extent cx="5905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6.2 Editing an Existing Rule</w:t>
      </w:r>
    </w:p>
    <w:p>
      <w:pPr>
        <w:spacing w:after="200"/>
      </w:pPr>
      <w:r>
        <w:drawing>
          <wp:inline distT="0" distB="0" distL="0" distR="0">
            <wp:extent cx="5905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7. Expense Types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Accounting and ICT.</w:t>
      </w:r>
    </w:p>
    <w:p>
      <w:pPr>
        <w:spacing w:after="150"/>
      </w:pPr>
      <w:r>
        <w:t xml:space="preserve">The master list of expense categories/GL codes used on every Cash Advance, Liquidation, and Reimbursement line item.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8. Revolving Fund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Accounting, ICT, and Supervisors.</w:t>
      </w:r>
    </w:p>
    <w:p>
      <w:pPr>
        <w:spacing w:after="150"/>
      </w:pPr>
      <w:r>
        <w:t xml:space="preserve">Set up revolving funds, assign fund holders, and record fund movements (top-ups, adjustments, cash-ins).</w:t>
      </w:r>
    </w:p>
    <w:p>
      <w:pPr>
        <w:spacing w:after="200"/>
      </w:pPr>
      <w:r>
        <w:drawing>
          <wp:inline distT="0" distB="0" distL="0" distR="0">
            <wp:extent cx="5905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9. Notification Templates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Accounting and ICT.</w:t>
      </w:r>
    </w:p>
    <w:p>
      <w:pPr>
        <w:spacing w:after="150"/>
      </w:pPr>
      <w:r>
        <w:t xml:space="preserve">Manages the subject/body of system emails sent on workflow events, using {{placeholder}} merge tokens.</w:t>
      </w:r>
    </w:p>
    <w:p>
      <w:pPr>
        <w:spacing w:after="200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10. Reports</w:t>
      </w:r>
    </w:p>
    <w:p>
      <w:pPr>
        <w:spacing w:after="150"/>
      </w:pPr>
      <w:r>
        <w:t xml:space="preserve">Every transaction type has its own report for searching, filtering, and exporting to Excel. Several cross-cutting reports also roll data up for finance and management.</w:t>
      </w:r>
    </w:p>
    <w:p>
      <w:pPr>
        <w:pStyle w:val="Heading2"/>
        <w:spacing w:after="150" w:before="300"/>
      </w:pPr>
      <w:r>
        <w:t xml:space="preserve">10.1 Cash Advance Report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10.2 Liquidation Report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10.3 Expense Reimbursement Report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t xml:space="preserve">10.4 My Transaction History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Every user — a self-service view of your own transactions.</w:t>
      </w:r>
    </w:p>
    <w:p>
      <w:pPr>
        <w:spacing w:after="200"/>
      </w:pPr>
      <w:r>
        <w:drawing>
          <wp:inline distT="0" distB="0" distL="0" distR="0">
            <wp:extent cx="5905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10.5 Executive Dashboard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Approvers and system administrators — the company-wide "workflow health" view.</w:t>
      </w:r>
    </w:p>
    <w:p>
      <w:pPr>
        <w:spacing w:after="150"/>
      </w:pPr>
      <w:r>
        <w:t xml:space="preserve">KPI tiles, monthly spend trend, pending-approval aging (where the process is bottlenecking), and spend breakdowns by department and GL code, with a full exportable detail table.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t xml:space="preserve">10.6 GL Breakdown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10.7 Cost Center Utilization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t xml:space="preserve">10.8 Cash Advance vs Liquidation Variance Report</w:t>
      </w:r>
    </w:p>
    <w:p>
      <w:pPr>
        <w:spacing w:after="150"/>
      </w:pPr>
      <w:r>
        <w:t xml:space="preserve">Flags cash advances that are outstanding or mismatched against what was actually liquidated — the key report for chasing unresolved advances.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10.9 Payment Advisory &amp; Release Register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50" w:before="300"/>
      </w:pPr>
      <w:r>
        <w:t xml:space="preserve">10.10 Revolving Fund Ledger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11. Bank Account Masterlist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ICT and system administrators only.</w:t>
      </w:r>
    </w:p>
    <w:p>
      <w:pPr>
        <w:spacing w:after="150"/>
      </w:pPr>
      <w:r>
        <w:t xml:space="preserve">Employee bank account records used for payment disbursement. Account numbers are masked by default; a reveal icon shows the full number when needed.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2A93B" w:sz="12" w:space="8"/>
        </w:pBdr>
        <w:spacing w:after="200"/>
        <w:ind w:left="200"/>
      </w:pPr>
      <w:r>
        <w:rPr>
          <w:i/>
          <w:iCs/>
          <w:color w:val="555555"/>
        </w:rPr>
        <w:t xml:space="preserve">Note: Account numbers in this screenshot are masked as they would normally appear — the reveal action was intentionally not used here since it would expose real employee bank data.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Cost Center (Maintenance)</w:t>
      </w:r>
    </w:p>
    <w:p>
      <w:pPr>
        <w:spacing w:after="150"/>
      </w:pPr>
      <w:r>
        <w:rPr>
          <w:b/>
          <w:bCs/>
        </w:rPr>
        <w:t xml:space="preserve">Who uses this: </w:t>
      </w:r>
      <w:r>
        <w:t xml:space="preserve">ICT and system administrators only.</w:t>
      </w:r>
    </w:p>
    <w:p>
      <w:pPr>
        <w:spacing w:after="150"/>
      </w:pPr>
      <w:r>
        <w:t xml:space="preserve">Master list of cost centers (SD — Sales &amp; Distribution, or GA — General &amp; Administrative) used to tag transactions for departmental reporting.</w:t>
      </w:r>
    </w:p>
    <w:p>
      <w:pPr>
        <w:spacing w:after="20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6f1a1707b5c31df0dbf4716fd6695d28e58ea3.undefined"/><Relationship Id="rId8" Type="http://schemas.openxmlformats.org/officeDocument/2006/relationships/image" Target="media/2a88745d2ca7f86f1f5309dd68cd984a9ee03641.undefined"/><Relationship Id="rId9" Type="http://schemas.openxmlformats.org/officeDocument/2006/relationships/image" Target="media/5f864c0af7acde87a70179f91528b3e122fd8d52.undefined"/><Relationship Id="rId10" Type="http://schemas.openxmlformats.org/officeDocument/2006/relationships/image" Target="media/147a5b4be54b5dc00450612c6641b1d69112373c.undefined"/><Relationship Id="rId11" Type="http://schemas.openxmlformats.org/officeDocument/2006/relationships/image" Target="media/60cc15c5b6cf8a80da9d42a6b9fa5825ce492b39.undefined"/><Relationship Id="rId12" Type="http://schemas.openxmlformats.org/officeDocument/2006/relationships/image" Target="media/a4ffd500057afd0355b87dd59b8f399154ca2605.undefined"/><Relationship Id="rId13" Type="http://schemas.openxmlformats.org/officeDocument/2006/relationships/image" Target="media/63948dfd884a130344b371ae018e6cb12efc6de8.undefined"/><Relationship Id="rId14" Type="http://schemas.openxmlformats.org/officeDocument/2006/relationships/image" Target="media/c539dfb8f2f2fd5dcdb70583ccd89a4eb77f526e.undefined"/><Relationship Id="rId15" Type="http://schemas.openxmlformats.org/officeDocument/2006/relationships/image" Target="media/e9151091c1a0f3625be2c1f2ac6edc9e327b459e.undefined"/><Relationship Id="rId16" Type="http://schemas.openxmlformats.org/officeDocument/2006/relationships/image" Target="media/2bd12f870a5e1c3871db1f53f0c2e8cdffba82e6.undefined"/><Relationship Id="rId17" Type="http://schemas.openxmlformats.org/officeDocument/2006/relationships/image" Target="media/702ffa0c8007b74c2241db62de0615371cc2b1a7.undefined"/><Relationship Id="rId18" Type="http://schemas.openxmlformats.org/officeDocument/2006/relationships/image" Target="media/fbeef185be41fc58b02aad6a762fa5ddcce8e3f2.undefined"/><Relationship Id="rId19" Type="http://schemas.openxmlformats.org/officeDocument/2006/relationships/image" Target="media/9fd8b4dc0b3a8d6d275097d4147ffab97982032d.undefined"/><Relationship Id="rId20" Type="http://schemas.openxmlformats.org/officeDocument/2006/relationships/image" Target="media/16cb23c9442f65f9b3d42bb554176cb6f72b5e8c.undefined"/><Relationship Id="rId21" Type="http://schemas.openxmlformats.org/officeDocument/2006/relationships/image" Target="media/0a366678c4ee9494f0f87601a6cc64df1bd2661a.undefined"/><Relationship Id="rId22" Type="http://schemas.openxmlformats.org/officeDocument/2006/relationships/image" Target="media/6da7987b9663779c53dfa6a97fd42e668b28eec7.undefined"/><Relationship Id="rId23" Type="http://schemas.openxmlformats.org/officeDocument/2006/relationships/image" Target="media/b7eb424a3d7c4f5f05ad32149614df69e63e748b.undefined"/><Relationship Id="rId24" Type="http://schemas.openxmlformats.org/officeDocument/2006/relationships/image" Target="media/4a4810f3fa1738aa14c670f314c65e5863a024ac.undefined"/><Relationship Id="rId25" Type="http://schemas.openxmlformats.org/officeDocument/2006/relationships/image" Target="media/a39d1366069030ec684048bfedb5334811750325.undefined"/><Relationship Id="rId26" Type="http://schemas.openxmlformats.org/officeDocument/2006/relationships/image" Target="media/fe3f69c675b6bc08b807506053b25446078ddd93.undefined"/><Relationship Id="rId27" Type="http://schemas.openxmlformats.org/officeDocument/2006/relationships/image" Target="media/a8a5451c2c6d5c7d5aa654be4f2403bbc389ae5f.undefined"/><Relationship Id="rId28" Type="http://schemas.openxmlformats.org/officeDocument/2006/relationships/image" Target="media/3b5126e94ffc5bf949ec68b28a06d20c9aad233f.undefined"/><Relationship Id="rId29" Type="http://schemas.openxmlformats.org/officeDocument/2006/relationships/image" Target="media/d61e1b7808baecfce61769c63f27f781b2137b0f.undefined"/><Relationship Id="rId30" Type="http://schemas.openxmlformats.org/officeDocument/2006/relationships/image" Target="media/add6e06134da3e81ab22a8e3e6be80746dd86c58.undefined"/><Relationship Id="rId31" Type="http://schemas.openxmlformats.org/officeDocument/2006/relationships/image" Target="media/be205c4cd0c55171df27699f116615ce61efed85.undefined"/><Relationship Id="rId32" Type="http://schemas.openxmlformats.org/officeDocument/2006/relationships/image" Target="media/308c3d8c84d6a9ae46cef84fa7e390b5ec217054.undefined"/><Relationship Id="rId33" Type="http://schemas.openxmlformats.org/officeDocument/2006/relationships/image" Target="media/2ae919584c5278f7cba279f70a1ee12970ea22e2.undefined"/><Relationship Id="rId34" Type="http://schemas.openxmlformats.org/officeDocument/2006/relationships/image" Target="media/03d0e61c6005d7967d83337ef6d1323af666b6b9.undefined"/><Relationship Id="rId35" Type="http://schemas.openxmlformats.org/officeDocument/2006/relationships/image" Target="media/f7d3142be6fab74a5c5466290aa4177261a957ef.undefined"/><Relationship Id="rId36" Type="http://schemas.openxmlformats.org/officeDocument/2006/relationships/image" Target="media/f2ddce78e28652c9f65ad1bd2d5f3f11bd505d4a.undefined"/><Relationship Id="rId37" Type="http://schemas.openxmlformats.org/officeDocument/2006/relationships/image" Target="media/00d56197b9ea4c8c9852e30fea93bac800df2b28.undefined"/><Relationship Id="rId38" Type="http://schemas.openxmlformats.org/officeDocument/2006/relationships/image" Target="media/6cbe016d4afb583f60bd01cb3e0eeab7a569f3c5.undefined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2026-07-29T06:27:30.286Z</dcterms:created>
  <dcterms:modified xsi:type="dcterms:W3CDTF">2026-07-29T06:27:30.287Z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