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280"/>
        <w:jc w:val="center"/>
      </w:pPr>
      <w:r>
        <w:rPr>
          <w:rFonts w:ascii="Calibri" w:hAnsi="Calibri"/>
          <w:b/>
          <w:color w:val="2E74B5"/>
          <w:sz w:val="20"/>
        </w:rPr>
        <w:t>RESEARCH COMMUNICATION</w:t>
      </w:r>
    </w:p>
    <w:p>
      <w:pPr>
        <w:spacing w:after="160"/>
        <w:jc w:val="center"/>
      </w:pPr>
      <w:r>
        <w:rPr>
          <w:rFonts w:ascii="Calibri" w:hAnsi="Calibri"/>
          <w:b/>
          <w:color w:val="1F4D78"/>
          <w:sz w:val="58"/>
        </w:rPr>
        <w:t>Lab Website Research Stories</w:t>
      </w:r>
    </w:p>
    <w:p>
      <w:pPr>
        <w:spacing w:after="560"/>
        <w:jc w:val="center"/>
      </w:pPr>
      <w:r>
        <w:rPr>
          <w:rFonts w:ascii="Calibri" w:hAnsi="Calibri"/>
          <w:i/>
          <w:color w:val="555F6C"/>
          <w:sz w:val="26"/>
        </w:rPr>
        <w:t>Integrated, publication-grounded copy for four research narratives</w:t>
      </w:r>
    </w:p>
    <w:p>
      <w:pPr>
        <w:spacing w:before="360" w:after="200"/>
        <w:jc w:val="left"/>
      </w:pPr>
      <w:r>
        <w:rPr>
          <w:rFonts w:ascii="Calibri" w:hAnsi="Calibri"/>
          <w:b/>
          <w:color w:val="2E74B5"/>
          <w:sz w:val="26"/>
        </w:rPr>
        <w:t>Editorial approach</w:t>
      </w:r>
    </w:p>
    <w:p>
      <w:pPr>
        <w:keepLines/>
      </w:pPr>
      <w:r>
        <w:t>The six research articles supplied for this project have been shaped into four complete stories. Studies that continue the same scientific question are presented together, allowing website readers to follow the research from an initial observation to a sharper biological or translational conclusion.</w:t>
      </w:r>
    </w:p>
    <w:p>
      <w:pPr>
        <w:spacing w:before="200" w:after="80"/>
      </w:pPr>
      <w:r>
        <w:rPr>
          <w:rFonts w:ascii="Calibri" w:hAnsi="Calibri"/>
          <w:b/>
          <w:color w:val="1F4D78"/>
          <w:sz w:val="22"/>
        </w:rPr>
        <w:t>Story architecture</w:t>
      </w:r>
    </w:p>
    <w:p>
      <w:pPr>
        <w:spacing w:after="120"/>
        <w:ind w:left="288" w:hanging="288"/>
      </w:pPr>
      <w:r>
        <w:rPr>
          <w:rFonts w:ascii="Calibri" w:hAnsi="Calibri"/>
          <w:b/>
          <w:color w:val="222A35"/>
          <w:sz w:val="21"/>
        </w:rPr>
        <w:t xml:space="preserve">01  Cardamonin and colorectal cancer  </w:t>
      </w:r>
      <w:r>
        <w:rPr>
          <w:rFonts w:ascii="Calibri" w:hAnsi="Calibri"/>
          <w:color w:val="555F6C"/>
          <w:sz w:val="21"/>
        </w:rPr>
        <w:t>Two linked studies, spanning sporadic and inflammation-associated disease.</w:t>
      </w:r>
    </w:p>
    <w:p>
      <w:pPr>
        <w:spacing w:after="120"/>
        <w:ind w:left="288" w:hanging="288"/>
      </w:pPr>
      <w:r>
        <w:rPr>
          <w:rFonts w:ascii="Calibri" w:hAnsi="Calibri"/>
          <w:b/>
          <w:color w:val="222A35"/>
          <w:sz w:val="21"/>
        </w:rPr>
        <w:t xml:space="preserve">02  Sphingosine kinases in lupus  </w:t>
      </w:r>
      <w:r>
        <w:rPr>
          <w:rFonts w:ascii="Calibri" w:hAnsi="Calibri"/>
          <w:color w:val="555F6C"/>
          <w:sz w:val="21"/>
        </w:rPr>
        <w:t>A comparative SphK2/SphK1 story that identifies the more consequential target.</w:t>
      </w:r>
    </w:p>
    <w:p>
      <w:pPr>
        <w:spacing w:after="120"/>
        <w:ind w:left="288" w:hanging="288"/>
      </w:pPr>
      <w:r>
        <w:rPr>
          <w:rFonts w:ascii="Calibri" w:hAnsi="Calibri"/>
          <w:b/>
          <w:color w:val="222A35"/>
          <w:sz w:val="21"/>
        </w:rPr>
        <w:t xml:space="preserve">03  S1PR1/STAT3 in pancreatic cancer  </w:t>
      </w:r>
      <w:r>
        <w:rPr>
          <w:rFonts w:ascii="Calibri" w:hAnsi="Calibri"/>
          <w:color w:val="555F6C"/>
          <w:sz w:val="21"/>
        </w:rPr>
        <w:t>A drug-repurposing study focused on desmoplasia and gemcitabine response.</w:t>
      </w:r>
    </w:p>
    <w:p>
      <w:pPr>
        <w:spacing w:after="120"/>
        <w:ind w:left="288" w:hanging="288"/>
      </w:pPr>
      <w:r>
        <w:rPr>
          <w:rFonts w:ascii="Calibri" w:hAnsi="Calibri"/>
          <w:b/>
          <w:color w:val="222A35"/>
          <w:sz w:val="21"/>
        </w:rPr>
        <w:t xml:space="preserve">04  Acid ceramidase in colorectal cancer  </w:t>
      </w:r>
      <w:r>
        <w:rPr>
          <w:rFonts w:ascii="Calibri" w:hAnsi="Calibri"/>
          <w:color w:val="555F6C"/>
          <w:sz w:val="21"/>
        </w:rPr>
        <w:t>A metabolic-immunology strategy for improving checkpoint therapy.</w:t>
      </w:r>
    </w:p>
    <w:p>
      <w:pPr>
        <w:spacing w:before="320" w:after="0"/>
        <w:jc w:val="center"/>
      </w:pPr>
      <w:r>
        <w:rPr>
          <w:rFonts w:ascii="Calibri" w:hAnsi="Calibri"/>
          <w:color w:val="555F6C"/>
          <w:sz w:val="18"/>
        </w:rPr>
        <w:t>Prepared as editable website copy | August 2026</w:t>
      </w:r>
    </w:p>
    <w:p>
      <w:pPr>
        <w:pStyle w:val="StoryKicker"/>
        <w:spacing w:after="120"/>
        <w:keepNext/>
        <w:keepLines/>
        <w:pageBreakBefore/>
      </w:pPr>
      <w:r>
        <w:rPr>
          <w:rFonts w:ascii="Calibri" w:hAnsi="Calibri"/>
          <w:b/>
          <w:color w:val="2E74B5"/>
          <w:sz w:val="19"/>
        </w:rPr>
        <w:t>STORY 01 | NATURAL PRODUCTS AND COLORECTAL CANCER</w:t>
      </w:r>
    </w:p>
    <w:p>
      <w:pPr>
        <w:pStyle w:val="StoryTitle"/>
        <w:keepNext/>
        <w:keepLines/>
      </w:pPr>
      <w:r>
        <w:rPr>
          <w:rFonts w:ascii="Calibri" w:hAnsi="Calibri"/>
          <w:b/>
          <w:color w:val="1F4D78"/>
          <w:sz w:val="44"/>
        </w:rPr>
        <w:t>From a Spice-Derived Molecule to a Colorectal Cancer Research Program</w:t>
      </w:r>
    </w:p>
    <w:p>
      <w:pPr>
        <w:pStyle w:val="Standfirst"/>
        <w:keepNext/>
        <w:keepLines/>
      </w:pPr>
      <w:r>
        <w:rPr>
          <w:rFonts w:ascii="Calibri" w:hAnsi="Calibri"/>
          <w:i/>
          <w:color w:val="555F6C"/>
          <w:sz w:val="24"/>
        </w:rPr>
        <w:t>Across two preclinical studies, our team traced how cardamonin can interrupt both tumor formation and inflammation-driven colorectal cancer, in part by reshaping microRNA networks.</w:t>
      </w:r>
    </w:p>
    <w:p>
      <w:pPr>
        <w:keepLines/>
      </w:pPr>
      <w:r>
        <w:t>Colorectal cancer can emerge through more than one route. Some tumors develop as epithelial cells gradually acquire malignant features; others arise in the setting of long-standing intestinal inflammation. Our cardamonin research connected these routes through a single question: could a naturally occurring chalcone from the ginger family influence the molecular programs that allow colorectal tumors to form and progress?</w:t>
      </w:r>
    </w:p>
    <w:p>
      <w:pPr>
        <w:keepLines/>
      </w:pPr>
      <w:r>
        <w:t>In the first study, we tested cardamonin in an azoxymethane-induced mouse model of colorectal cancer. Treatment began either when carcinogen exposure started or after early lesions were expected to have formed. In both settings, cardamonin reduced tumor burden and was associated with lower cell proliferation, reduced beta-catenin and NF-kB signaling, and no apparent toxicity at the doses tested. Experiments in human colorectal cancer cell lines extended the finding: cardamonin slowed growth, promoted cell-cycle arrest and apoptosis, and altered cellular redox balance. Global profiling also showed coordinated changes in microRNAs, suggesting a mechanism broader than a single signaling target.</w:t>
      </w:r>
    </w:p>
    <w:p>
      <w:pPr>
        <w:keepLines/>
      </w:pPr>
      <w:r>
        <w:t>The follow-up study moved into the inflammation-cancer continuum. Cardamonin dampened inflammatory responses in activated macrophages, reducing nitric oxide, iNOS, TNF-alpha, IL-6, and NF-kB activity. It protected mice in a model of experimental colitis and reduced tumor formation in a model of colitis-associated colorectal cancer. Once again, microRNA analysis linked the response to networks that regulate inflammation and tumorigenesis. Together, the studies define a research arc from chemoprevention to inflammation-associated disease and position cardamonin as a preclinical lead for deeper mechanistic, pharmacologic, and safety evaluation - not yet as a clinical treatment or dietary recommendation.</w:t>
      </w:r>
    </w:p>
    <w:p>
      <w:pPr>
        <w:pStyle w:val="Takeaway"/>
        <w:shd w:fill="E8EEF5" w:val="clear"/>
        <w:pBdr>
          <w:left w:val="single" w:sz="18" w:space="10" w:color="2E74B5"/>
        </w:pBdr>
        <w:keepLines/>
      </w:pPr>
      <w:r>
        <w:rPr>
          <w:rFonts w:ascii="Calibri" w:hAnsi="Calibri"/>
          <w:b/>
          <w:color w:val="1F4D78"/>
          <w:sz w:val="19"/>
        </w:rPr>
        <w:t xml:space="preserve">WHY IT MATTERS  </w:t>
      </w:r>
      <w:r>
        <w:rPr>
          <w:rFonts w:ascii="Calibri" w:hAnsi="Calibri"/>
          <w:color w:val="222A35"/>
          <w:sz w:val="21"/>
        </w:rPr>
        <w:t>The work shows how a natural-product observation can become a mechanistic program: first demonstrating antitumor activity, then testing whether the same molecule can interrupt the chronic inflammation that helps drive colorectal cancer.</w:t>
      </w:r>
    </w:p>
    <w:p>
      <w:pPr>
        <w:pStyle w:val="Heading3"/>
        <w:keepNext/>
        <w:keepLines/>
      </w:pPr>
      <w:r>
        <w:t>Suggested website card excerpt</w:t>
      </w:r>
    </w:p>
    <w:p>
      <w:pPr>
        <w:pStyle w:val="CardExcerpt"/>
        <w:keepLines/>
      </w:pPr>
      <w:r>
        <w:rPr>
          <w:rFonts w:ascii="Calibri" w:hAnsi="Calibri"/>
          <w:i/>
          <w:color w:val="222A35"/>
          <w:sz w:val="21"/>
        </w:rPr>
        <w:t>Two linked studies reveal how cardamonin, a spice-derived chalcone, suppresses tumor-promoting and inflammatory pathways in preclinical colorectal cancer models. By connecting NF-kB signaling, redox stress, and microRNA regulation, the work advances cardamonin as a lead for further translational study.</w:t>
      </w:r>
    </w:p>
    <w:p>
      <w:pPr>
        <w:pStyle w:val="Heading3"/>
        <w:keepNext/>
        <w:keepLines/>
      </w:pPr>
      <w:r>
        <w:t>Publication trail</w:t>
      </w:r>
    </w:p>
    <w:p>
      <w:pPr>
        <w:pStyle w:val="Source"/>
        <w:keepNext/>
        <w:keepLines/>
      </w:pPr>
      <w:r>
        <w:rPr>
          <w:rFonts w:ascii="Calibri" w:hAnsi="Calibri"/>
          <w:color w:val="555F6C"/>
          <w:sz w:val="18"/>
        </w:rPr>
        <w:t>James S, et al. Cardamonin inhibits colonic neoplasia through modulation of MicroRNA expression. Scientific Reports 7, 13945 (2017). doi:10.1038/s41598-017-14253-8.</w:t>
      </w:r>
    </w:p>
    <w:p>
      <w:pPr>
        <w:pStyle w:val="Source"/>
        <w:keepLines/>
      </w:pPr>
      <w:r>
        <w:rPr>
          <w:rFonts w:ascii="Calibri" w:hAnsi="Calibri"/>
          <w:color w:val="555F6C"/>
          <w:sz w:val="18"/>
        </w:rPr>
        <w:t>James S, et al. Cardamonin Attenuates Experimental Colitis and Associated Colorectal Cancer. Biomolecules 11, 661 (2021). doi:10.3390/biom11050661.</w:t>
      </w:r>
    </w:p>
    <w:p>
      <w:pPr>
        <w:pStyle w:val="StoryKicker"/>
        <w:spacing w:after="120"/>
        <w:keepNext/>
        <w:keepLines/>
        <w:pageBreakBefore/>
      </w:pPr>
      <w:r>
        <w:rPr>
          <w:rFonts w:ascii="Calibri" w:hAnsi="Calibri"/>
          <w:b/>
          <w:color w:val="2E74B5"/>
          <w:sz w:val="19"/>
        </w:rPr>
        <w:t>STORY 02 | AUTOIMMUNITY AND LIPID SIGNALING</w:t>
      </w:r>
    </w:p>
    <w:p>
      <w:pPr>
        <w:pStyle w:val="StoryTitle"/>
        <w:keepNext/>
        <w:keepLines/>
      </w:pPr>
      <w:r>
        <w:rPr>
          <w:rFonts w:ascii="Calibri" w:hAnsi="Calibri"/>
          <w:b/>
          <w:color w:val="1F4D78"/>
          <w:sz w:val="44"/>
        </w:rPr>
        <w:t>Two Kinases, Two Outcomes: Pinpointing SphK1 in Lupus</w:t>
      </w:r>
    </w:p>
    <w:p>
      <w:pPr>
        <w:pStyle w:val="Standfirst"/>
        <w:keepNext/>
        <w:keepLines/>
      </w:pPr>
      <w:r>
        <w:rPr>
          <w:rFonts w:ascii="Calibri" w:hAnsi="Calibri"/>
          <w:i/>
          <w:color w:val="555F6C"/>
          <w:sz w:val="24"/>
        </w:rPr>
        <w:t>A paired investigation of SphK2 and SphK1 showed that closely related enzymes can play very different roles in interferon-driven autoimmunity - an important distinction for therapeutic target selection.</w:t>
      </w:r>
    </w:p>
    <w:p>
      <w:pPr>
        <w:keepLines/>
      </w:pPr>
      <w:r>
        <w:t>Systemic lupus erythematosus is marked by an overactive type I interferon response that can damage multiple organs. Plasmacytoid dendritic cells are central to this process because they produce large amounts of interferon after endosomal Toll-like receptors 7 and 9 detect nucleic acids. Our studies asked whether the two sphingosine kinases that generate the signaling lipid sphingosine-1-phosphate - SphK1 and SphK2 - influence this pathway in the same way.</w:t>
      </w:r>
    </w:p>
    <w:p>
      <w:pPr>
        <w:keepLines/>
      </w:pPr>
      <w:r>
        <w:t>The SphK2 study produced a useful negative result. Loss of SphK2 increased markers of plasmacytoid dendritic cells, enhanced their differentiation, and raised expression of TLR7 and TLR9. Yet SphK2 deficiency did not alter the initiation or progression of pristane-induced lupus in mice. Although the frequency of these cells increased, their activation state changed little, and SphK2 expression was not altered in patients with lupus. The findings suggested a role in dendritic-cell development but argued against SphK2 inhibition as a likely lupus therapy.</w:t>
      </w:r>
    </w:p>
    <w:p>
      <w:pPr>
        <w:keepLines/>
      </w:pPr>
      <w:r>
        <w:t>SphK1 told a different story. Its loss did not prevent plasmacytoid dendritic-cell development, but it sharply impaired cell activation and the production of type I interferon and pro-inflammatory cytokines after TLR7/9 stimulation. Genetic deletion or pharmacologic inhibition reduced uptake of TLR9 ligands and, in the pristane model, lowered the interferon signature, plasmacytoid dendritic-cell activation, and glomerulonephritis. SphK1 expression and sphingosine-1-phosphate levels were also elevated in patients with lupus. Read together, the studies narrow the therapeutic hypothesis from a broad enzyme family to a specific SphK1-dependent checkpoint, while remaining preclinical.</w:t>
      </w:r>
    </w:p>
    <w:p>
      <w:pPr>
        <w:pStyle w:val="Takeaway"/>
        <w:shd w:fill="E8EEF5" w:val="clear"/>
        <w:pBdr>
          <w:left w:val="single" w:sz="18" w:space="10" w:color="2E74B5"/>
        </w:pBdr>
        <w:keepLines/>
      </w:pPr>
      <w:r>
        <w:rPr>
          <w:rFonts w:ascii="Calibri" w:hAnsi="Calibri"/>
          <w:b/>
          <w:color w:val="1F4D78"/>
          <w:sz w:val="19"/>
        </w:rPr>
        <w:t xml:space="preserve">WHY IT MATTERS  </w:t>
      </w:r>
      <w:r>
        <w:rPr>
          <w:rFonts w:ascii="Calibri" w:hAnsi="Calibri"/>
          <w:color w:val="222A35"/>
          <w:sz w:val="21"/>
        </w:rPr>
        <w:t>Comparing related enzymes prevented a misleading class-wide conclusion. SphK2 influenced cell development without changing disease, whereas SphK1 controlled the pathogenic activation program that drives interferon-linked autoimmunity.</w:t>
      </w:r>
    </w:p>
    <w:p>
      <w:pPr>
        <w:pStyle w:val="Heading3"/>
        <w:keepNext/>
        <w:keepLines/>
      </w:pPr>
      <w:r>
        <w:t>Suggested website card excerpt</w:t>
      </w:r>
    </w:p>
    <w:p>
      <w:pPr>
        <w:pStyle w:val="CardExcerpt"/>
        <w:keepLines/>
      </w:pPr>
      <w:r>
        <w:rPr>
          <w:rFonts w:ascii="Calibri" w:hAnsi="Calibri"/>
          <w:i/>
          <w:color w:val="222A35"/>
          <w:sz w:val="21"/>
        </w:rPr>
        <w:t>Side-by-side studies of SphK2 and SphK1 separated dendritic-cell development from disease-driving activation in lupus. The contrast identified SphK1 - not SphK2 - as the enzyme linked to interferon production, kidney inflammation, and a potential therapeutic strategy.</w:t>
      </w:r>
    </w:p>
    <w:p>
      <w:pPr>
        <w:pStyle w:val="Heading3"/>
        <w:keepNext/>
        <w:keepLines/>
      </w:pPr>
      <w:r>
        <w:t>Publication trail</w:t>
      </w:r>
    </w:p>
    <w:p>
      <w:pPr>
        <w:pStyle w:val="Source"/>
        <w:keepNext/>
        <w:keepLines/>
      </w:pPr>
      <w:r>
        <w:rPr>
          <w:rFonts w:ascii="Calibri" w:hAnsi="Calibri"/>
          <w:color w:val="555F6C"/>
          <w:sz w:val="18"/>
        </w:rPr>
        <w:t>Mohammed S, et al. Examination of the role of sphingosine kinase 2 in a murine model of systemic lupus erythematosus. The FASEB Journal 33, 7061-7071 (2019).</w:t>
      </w:r>
    </w:p>
    <w:p>
      <w:pPr>
        <w:pStyle w:val="Source"/>
        <w:keepLines/>
      </w:pPr>
      <w:r>
        <w:rPr>
          <w:rFonts w:ascii="Calibri" w:hAnsi="Calibri"/>
          <w:color w:val="555F6C"/>
          <w:sz w:val="18"/>
        </w:rPr>
        <w:t>Mohammed S, et al. Regulatory role of SphK1 in TLR7/9-dependent type I interferon response and autoimmunity. The FASEB Journal 34, 4329-4347 (2020). doi:10.1096/fj.201902847R.</w:t>
      </w:r>
    </w:p>
    <w:p>
      <w:pPr>
        <w:pStyle w:val="StoryKicker"/>
        <w:spacing w:after="120"/>
        <w:keepNext/>
        <w:keepLines/>
        <w:pageBreakBefore/>
      </w:pPr>
      <w:r>
        <w:rPr>
          <w:rFonts w:ascii="Calibri" w:hAnsi="Calibri"/>
          <w:b/>
          <w:color w:val="2E74B5"/>
          <w:sz w:val="19"/>
        </w:rPr>
        <w:t>STORY 03 | PANCREATIC CANCER AND THE TUMOR MICROENVIRONMENT</w:t>
      </w:r>
    </w:p>
    <w:p>
      <w:pPr>
        <w:pStyle w:val="StoryTitle"/>
        <w:keepNext/>
        <w:keepLines/>
      </w:pPr>
      <w:r>
        <w:rPr>
          <w:rFonts w:ascii="Calibri" w:hAnsi="Calibri"/>
          <w:b/>
          <w:color w:val="1F4D78"/>
          <w:sz w:val="44"/>
        </w:rPr>
        <w:t>Breaking the Stromal Barrier to Pancreatic Cancer Treatment</w:t>
      </w:r>
    </w:p>
    <w:p>
      <w:pPr>
        <w:pStyle w:val="Standfirst"/>
        <w:keepNext/>
        <w:keepLines/>
      </w:pPr>
      <w:r>
        <w:rPr>
          <w:rFonts w:ascii="Calibri" w:hAnsi="Calibri"/>
          <w:i/>
          <w:color w:val="555F6C"/>
          <w:sz w:val="24"/>
        </w:rPr>
        <w:t>By disrupting the S1PR1/STAT3 signaling loop, the multiple-sclerosis drug FTY720 made pancreatic tumors more responsive to gemcitabine in preclinical models and weakened the fibrotic microenvironment that protects them.</w:t>
      </w:r>
    </w:p>
    <w:p>
      <w:pPr>
        <w:keepLines/>
      </w:pPr>
      <w:r>
        <w:t>Pancreatic cancer is difficult to treat not only because of the cancer cells themselves, but also because tumors are surrounded by a dense, fibrotic stroma known as desmoplasia. This tissue barrier supports persistent oncogenic signaling, restricts drug response, and contributes to resistance to gemcitabine. Our study focused on a reinforcing loop between sphingosine-1-phosphate receptor 1 (S1PR1) and the transcription factor STAT3, two signals that connect tumor growth with the surrounding microenvironment.</w:t>
      </w:r>
    </w:p>
    <w:p>
      <w:pPr>
        <w:keepLines/>
      </w:pPr>
      <w:r>
        <w:t>We tested FTY720, or fingolimod, an approved treatment for multiple sclerosis that can act as a functional antagonist of S1PR1. In human and mouse pancreatic cancer cells, FTY720 inhibited growth, increased apoptosis, induced cell-cycle arrest, and enhanced the effects of gemcitabine. The combination disrupted mitochondrial membrane potential, weakened the S1PR1/STAT3 loop, and inhibited the epithelial-to-mesenchymal transition associated with aggressive disease.</w:t>
      </w:r>
    </w:p>
    <w:p>
      <w:pPr>
        <w:keepLines/>
      </w:pPr>
      <w:r>
        <w:t>In mouse models, the combination reduced tumor size and increased tumor-cell death while suppressing NF-kB, S1PR1/STAT3, and Sonic Hedgehog signaling. It also reduced extracellular-matrix deposition and activation of pancreatic stellate cells, key features of desmoplasia; altered proteins involved in gemcitabine transport and metabolism; and restored activity of the tumor suppressor PP2A. The result is a proof-of-principle for drug repurposing: targeting a lipid-signaling circuit may both attack pancreatic cancer cells and loosen the stromal defenses that make chemotherapy less effective. Clinical translation would still require dedicated evaluation of dosing, safety, and immune effects in cancer patients.</w:t>
      </w:r>
    </w:p>
    <w:p>
      <w:pPr>
        <w:pStyle w:val="Takeaway"/>
        <w:shd w:fill="E8EEF5" w:val="clear"/>
        <w:pBdr>
          <w:left w:val="single" w:sz="18" w:space="10" w:color="2E74B5"/>
        </w:pBdr>
        <w:keepLines/>
      </w:pPr>
      <w:r>
        <w:rPr>
          <w:rFonts w:ascii="Calibri" w:hAnsi="Calibri"/>
          <w:b/>
          <w:color w:val="1F4D78"/>
          <w:sz w:val="19"/>
        </w:rPr>
        <w:t xml:space="preserve">WHY IT MATTERS  </w:t>
      </w:r>
      <w:r>
        <w:rPr>
          <w:rFonts w:ascii="Calibri" w:hAnsi="Calibri"/>
          <w:color w:val="222A35"/>
          <w:sz w:val="21"/>
        </w:rPr>
        <w:t>This strategy treats the tumor and its protective niche as one therapeutic problem, using S1PR1/STAT3 blockade to weaken desmoplasia and improve chemotherapy response at the same time.</w:t>
      </w:r>
    </w:p>
    <w:p>
      <w:pPr>
        <w:pStyle w:val="Heading3"/>
        <w:keepNext/>
        <w:keepLines/>
      </w:pPr>
      <w:r>
        <w:t>Suggested website card excerpt</w:t>
      </w:r>
    </w:p>
    <w:p>
      <w:pPr>
        <w:pStyle w:val="CardExcerpt"/>
        <w:keepLines/>
      </w:pPr>
      <w:r>
        <w:rPr>
          <w:rFonts w:ascii="Calibri" w:hAnsi="Calibri"/>
          <w:i/>
          <w:color w:val="222A35"/>
          <w:sz w:val="21"/>
        </w:rPr>
        <w:t>FTY720 disrupted an S1PR1/STAT3 signaling loop that supports pancreatic tumor growth, desmoplasia, and drug resistance. In preclinical models, combining it with gemcitabine reduced tumors and weakened the fibrotic microenvironment, providing a rationale for carefully evaluated drug repurposing.</w:t>
      </w:r>
    </w:p>
    <w:p>
      <w:pPr>
        <w:pStyle w:val="Heading3"/>
        <w:keepNext/>
        <w:keepLines/>
      </w:pPr>
      <w:r>
        <w:t>Source publication</w:t>
      </w:r>
    </w:p>
    <w:p>
      <w:pPr>
        <w:pStyle w:val="Source"/>
        <w:keepLines/>
      </w:pPr>
      <w:r>
        <w:rPr>
          <w:rFonts w:ascii="Calibri" w:hAnsi="Calibri"/>
          <w:color w:val="555F6C"/>
          <w:sz w:val="18"/>
        </w:rPr>
        <w:t>Lankadasari MB, et al. Targeting S1PR1/STAT3 loop abrogates desmoplasia and chemosensitizes pancreatic cancer to gemcitabine. Theranostics 8(14), 3824-3840 (2018). doi:10.7150/thno.25308.</w:t>
      </w:r>
    </w:p>
    <w:p>
      <w:pPr>
        <w:pStyle w:val="StoryKicker"/>
        <w:spacing w:after="120"/>
        <w:keepNext/>
        <w:keepLines/>
        <w:pageBreakBefore/>
      </w:pPr>
      <w:r>
        <w:rPr>
          <w:rFonts w:ascii="Calibri" w:hAnsi="Calibri"/>
          <w:b/>
          <w:color w:val="2E74B5"/>
          <w:sz w:val="19"/>
        </w:rPr>
        <w:t>STORY 04 | CANCER METABOLISM AND IMMUNOTHERAPY</w:t>
      </w:r>
    </w:p>
    <w:p>
      <w:pPr>
        <w:pStyle w:val="StoryTitle"/>
        <w:keepNext/>
        <w:keepLines/>
      </w:pPr>
      <w:r>
        <w:rPr>
          <w:rFonts w:ascii="Calibri" w:hAnsi="Calibri"/>
          <w:b/>
          <w:color w:val="1F4D78"/>
          <w:sz w:val="44"/>
        </w:rPr>
        <w:t>Turning Immune-Cold Colorectal Tumors Hot by Targeting Acid Ceramidase</w:t>
      </w:r>
    </w:p>
    <w:p>
      <w:pPr>
        <w:pStyle w:val="Standfirst"/>
        <w:keepNext/>
        <w:keepLines/>
      </w:pPr>
      <w:r>
        <w:rPr>
          <w:rFonts w:ascii="Calibri" w:hAnsi="Calibri"/>
          <w:i/>
          <w:color w:val="555F6C"/>
          <w:sz w:val="24"/>
        </w:rPr>
        <w:t>Blocking acid ceramidase reshaped tumor-cell metabolism, triggered immunogenic cell death, and strengthened anti-PD-1 responses in preclinical colorectal cancer models.</w:t>
      </w:r>
    </w:p>
    <w:p>
      <w:pPr>
        <w:keepLines/>
      </w:pPr>
      <w:r>
        <w:t>Checkpoint immunotherapy depends on an active antitumor immune response, yet many colorectal tumors remain immunologically cold: they contain too few effective cytotoxic T cells and are surrounded by signals that suppress immunity. We investigated whether sphingolipid metabolism helps maintain this resistant state, focusing on acid ceramidase (ASAH1), the enzyme that converts ceramide into sphingosine.</w:t>
      </w:r>
    </w:p>
    <w:p>
      <w:pPr>
        <w:keepLines/>
      </w:pPr>
      <w:r>
        <w:t>The study found that ASAH1 was overexpressed in human colorectal cancer samples and in mouse tumors. Genetic silencing or pharmacologic inhibition with LCL-521 pushed cancer cells toward immunogenic cell death - a form of death that alerts the immune system rather than remaining invisible to it. ASAH1 blockade also disrupted the glutathione antioxidant system, increased reactive oxygen species, and produced mitochondrial stress, linking a metabolic vulnerability inside tumor cells to the signals that recruit and activate immunity.</w:t>
      </w:r>
    </w:p>
    <w:p>
      <w:pPr>
        <w:keepLines/>
      </w:pPr>
      <w:r>
        <w:t>In an immune-competent colorectal cancer model, LCL-521 reduced tumor growth as a single agent and enhanced the effect of anti-PD-1 treatment. The response included type I and type II interferon signaling, activation of M1-like macrophages and T cells, greater infiltration of cytotoxic CD8-positive T cells, and suppression of myeloid-derived suppressor cells and regulatory T cells. In effect, ASAH1 inhibition helped convert a cold tumor microenvironment into a more immune-reactive one. These preclinical findings establish acid ceramidase as a druggable metabolic target and support further development of ASAH1 inhibitors in combination with checkpoint therapy.</w:t>
      </w:r>
    </w:p>
    <w:p>
      <w:pPr>
        <w:pStyle w:val="Takeaway"/>
        <w:shd w:fill="E8EEF5" w:val="clear"/>
        <w:pBdr>
          <w:left w:val="single" w:sz="18" w:space="10" w:color="2E74B5"/>
        </w:pBdr>
        <w:keepLines/>
      </w:pPr>
      <w:r>
        <w:rPr>
          <w:rFonts w:ascii="Calibri" w:hAnsi="Calibri"/>
          <w:b/>
          <w:color w:val="1F4D78"/>
          <w:sz w:val="19"/>
        </w:rPr>
        <w:t xml:space="preserve">WHY IT MATTERS  </w:t>
      </w:r>
      <w:r>
        <w:rPr>
          <w:rFonts w:ascii="Calibri" w:hAnsi="Calibri"/>
          <w:color w:val="222A35"/>
          <w:sz w:val="21"/>
        </w:rPr>
        <w:t>The work connects sphingolipid metabolism to immune escape and offers a two-part strategy: stress the tumor cell from within while making the surrounding microenvironment more responsive to immunotherapy.</w:t>
      </w:r>
    </w:p>
    <w:p>
      <w:pPr>
        <w:pStyle w:val="Heading3"/>
        <w:keepNext/>
        <w:keepLines/>
      </w:pPr>
      <w:r>
        <w:t>Suggested website card excerpt</w:t>
      </w:r>
    </w:p>
    <w:p>
      <w:pPr>
        <w:pStyle w:val="CardExcerpt"/>
        <w:keepLines/>
      </w:pPr>
      <w:r>
        <w:rPr>
          <w:rFonts w:ascii="Calibri" w:hAnsi="Calibri"/>
          <w:i/>
          <w:color w:val="222A35"/>
          <w:sz w:val="21"/>
        </w:rPr>
        <w:t>Targeting acid ceramidase exposed a metabolic weakness in colorectal cancer and made tumors more visible to the immune system. Combined with anti-PD-1 therapy, ASAH1 inhibition increased interferon signaling and cytotoxic T-cell infiltration in preclinical models.</w:t>
      </w:r>
    </w:p>
    <w:p>
      <w:pPr>
        <w:pStyle w:val="Heading3"/>
        <w:keepNext/>
        <w:keepLines/>
      </w:pPr>
      <w:r>
        <w:t>Source publication</w:t>
      </w:r>
    </w:p>
    <w:p>
      <w:pPr>
        <w:pStyle w:val="Source"/>
        <w:keepLines/>
      </w:pPr>
      <w:r>
        <w:rPr>
          <w:rFonts w:ascii="Calibri" w:hAnsi="Calibri"/>
          <w:color w:val="555F6C"/>
          <w:sz w:val="18"/>
        </w:rPr>
        <w:t>Vijayan Y, et al. Targeting acid ceramidase enhances antitumor immune response in colorectal cancer. Journal of Advanced Research 65, 73-87 (2024). doi:10.1016/j.jare.2023.12.013.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555F6C"/>
        <w:sz w:val="18"/>
      </w:rPr>
      <w:t xml:space="preserve">Page </w:t>
    </w:r>
    <w:fldSimple w:instr="PAGE">
      <w:r>
        <w:rPr>
          <w:color w:val="555F6C"/>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555F6C"/>
        <w:sz w:val="17"/>
      </w:rPr>
      <w:t>LAB WEBSITE COPY  |  RESEARCH STORIES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color w:val="22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Kicker">
    <w:name w:val="Story Kicker"/>
    <w:basedOn w:val="Normal"/>
    <w:pPr>
      <w:widowControl/>
      <w:spacing w:before="0" w:after="120" w:line="240" w:lineRule="auto"/>
    </w:pPr>
    <w:rPr>
      <w:rFonts w:ascii="Calibri" w:hAnsi="Calibri"/>
      <w:b/>
      <w:i w:val="0"/>
      <w:color w:val="2E74B5"/>
      <w:sz w:val="19"/>
    </w:rPr>
  </w:style>
  <w:style w:type="paragraph" w:customStyle="1" w:styleId="StoryTitle">
    <w:name w:val="Story Title"/>
    <w:basedOn w:val="Normal"/>
    <w:pPr>
      <w:widowControl/>
      <w:spacing w:before="0" w:after="120" w:line="240" w:lineRule="auto"/>
    </w:pPr>
    <w:rPr>
      <w:rFonts w:ascii="Calibri" w:hAnsi="Calibri"/>
      <w:b/>
      <w:i w:val="0"/>
      <w:color w:val="1F4D78"/>
      <w:sz w:val="44"/>
    </w:rPr>
  </w:style>
  <w:style w:type="paragraph" w:customStyle="1" w:styleId="Standfirst">
    <w:name w:val="Standfirst"/>
    <w:basedOn w:val="Normal"/>
    <w:pPr>
      <w:widowControl/>
      <w:spacing w:before="0" w:after="280" w:line="276" w:lineRule="auto"/>
    </w:pPr>
    <w:rPr>
      <w:rFonts w:ascii="Calibri" w:hAnsi="Calibri"/>
      <w:b w:val="0"/>
      <w:i/>
      <w:color w:val="555F6C"/>
      <w:sz w:val="24"/>
    </w:rPr>
  </w:style>
  <w:style w:type="paragraph" w:customStyle="1" w:styleId="Takeaway">
    <w:name w:val="Takeaway"/>
    <w:basedOn w:val="Normal"/>
    <w:pPr>
      <w:widowControl/>
      <w:spacing w:before="160" w:after="200" w:line="264" w:lineRule="auto"/>
      <w:ind w:left="173" w:right="173" w:firstLine="0"/>
    </w:pPr>
    <w:rPr>
      <w:rFonts w:ascii="Calibri" w:hAnsi="Calibri"/>
      <w:b w:val="0"/>
      <w:i w:val="0"/>
      <w:color w:val="222A35"/>
      <w:sz w:val="21"/>
    </w:rPr>
  </w:style>
  <w:style w:type="paragraph" w:customStyle="1" w:styleId="CardExcerpt">
    <w:name w:val="Card Excerpt"/>
    <w:basedOn w:val="Normal"/>
    <w:pPr>
      <w:widowControl/>
      <w:spacing w:before="0" w:after="160" w:line="264" w:lineRule="auto"/>
    </w:pPr>
    <w:rPr>
      <w:rFonts w:ascii="Calibri" w:hAnsi="Calibri"/>
      <w:b w:val="0"/>
      <w:i/>
      <w:color w:val="222A35"/>
      <w:sz w:val="21"/>
    </w:rPr>
  </w:style>
  <w:style w:type="paragraph" w:customStyle="1" w:styleId="Source">
    <w:name w:val="Source"/>
    <w:basedOn w:val="Normal"/>
    <w:pPr>
      <w:widowControl/>
      <w:spacing w:before="0" w:after="60" w:line="240" w:lineRule="auto"/>
    </w:pPr>
    <w:rPr>
      <w:rFonts w:ascii="Calibri" w:hAnsi="Calibri"/>
      <w:b w:val="0"/>
      <w:i w:val="0"/>
      <w:color w:val="555F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Website Research Stories</dc:title>
  <dc:subject>Integrated website copy based on six research articles</dc:subject>
  <dc:creator>K. B. Harikumar Laboratory</dc:creator>
  <cp:keywords>research stories, lab website, colorectal cancer, lupus, pancreatic cancer, sphingolipids</cp:keywords>
  <dc:description>generated by python-docx</dc:description>
  <cp:lastModifiedBy/>
  <cp:revision>1</cp:revision>
  <dcterms:created xsi:type="dcterms:W3CDTF">2013-12-23T23:15:00Z</dcterms:created>
  <dcterms:modified xsi:type="dcterms:W3CDTF">2013-12-23T23:15:00Z</dcterms:modified>
  <cp:category/>
</cp:coreProperties>
</file>