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E66B" w14:textId="77777777" w:rsidR="00025E04" w:rsidRDefault="00025E04" w:rsidP="00025E04">
      <w:pPr>
        <w:pStyle w:val="Title"/>
      </w:pPr>
      <w:r>
        <w:t>GDPR: A Comprehensive Guide for Legal Professionals</w:t>
      </w:r>
    </w:p>
    <w:p w14:paraId="240262E4" w14:textId="77777777" w:rsidR="00025E04" w:rsidRDefault="00025E04" w:rsidP="00025E04">
      <w:pPr>
        <w:pStyle w:val="Subtitle"/>
      </w:pPr>
      <w:r>
        <w:t>Understanding, Implementing, and Advising on the General Data Protection Regulation</w:t>
      </w:r>
    </w:p>
    <w:p w14:paraId="539011F3" w14:textId="77777777" w:rsidR="00025E04" w:rsidRDefault="00025E04" w:rsidP="00025E04">
      <w:pPr>
        <w:pStyle w:val="Heading1"/>
      </w:pPr>
      <w:r>
        <w:t>Introduction</w:t>
      </w:r>
    </w:p>
    <w:p w14:paraId="08929306" w14:textId="77777777" w:rsidR="00025E04" w:rsidRDefault="00025E04" w:rsidP="00025E04">
      <w:r w:rsidRPr="00025E04">
        <w:t>The General Data Protection Regulation (GDPR), implemented in May 2018, represents a watershed moment in data protection law, profoundly influencing the way personal data is handled across the European Union and beyond. For legal professionals, GDPR is more than just compliance—it is a complex framework that demands rigorous understanding, strategic implementation, and continuous advisory work. This presentation aims to offer an in-depth exploration of the GDPR, focusing on its legal foundations, practical implications, and the evolving role of legal counsel in the age of data protection.</w:t>
      </w:r>
    </w:p>
    <w:p w14:paraId="64D8A871" w14:textId="77777777" w:rsidR="00025E04" w:rsidRDefault="00025E04" w:rsidP="00025E04">
      <w:pPr>
        <w:pStyle w:val="Heading1"/>
      </w:pPr>
      <w:r>
        <w:t>Historical Context and Legal Foundation</w:t>
      </w:r>
    </w:p>
    <w:p w14:paraId="38E7B812" w14:textId="77777777" w:rsidR="00025E04" w:rsidRDefault="00025E04" w:rsidP="00025E04">
      <w:r w:rsidRPr="00025E04">
        <w:t>The GDPR emerged in response to mounting concerns about privacy, technological innovation, and the proliferation of personal data in the digital era. Superseding the 1995 Data Protection Directive, GDPR was designed to harmonize data protection laws across the EU, strengthen individuals’ rights, and impose robust obligations on organizations that process personal data.</w:t>
      </w:r>
    </w:p>
    <w:p w14:paraId="58EA753D" w14:textId="77777777" w:rsidR="00025E04" w:rsidRDefault="00025E04" w:rsidP="00025E04">
      <w:pPr>
        <w:pStyle w:val="Heading2"/>
      </w:pPr>
      <w:r>
        <w:t>Key Legal Principles</w:t>
      </w:r>
    </w:p>
    <w:p w14:paraId="060E7F78" w14:textId="77777777" w:rsidR="00025E04" w:rsidRDefault="00025E04" w:rsidP="00025E04">
      <w:pPr>
        <w:pStyle w:val="ListParagraph"/>
        <w:numPr>
          <w:ilvl w:val="0"/>
          <w:numId w:val="1"/>
        </w:numPr>
      </w:pPr>
      <w:r w:rsidRPr="00025E04">
        <w:t>Lawfulness, Fairness, and Transparency: Personal data must be processed lawfully, fairly, and transparently.</w:t>
      </w:r>
    </w:p>
    <w:p w14:paraId="1A6B69DC" w14:textId="77777777" w:rsidR="00025E04" w:rsidRDefault="00025E04" w:rsidP="00025E04">
      <w:pPr>
        <w:pStyle w:val="ListParagraph"/>
        <w:numPr>
          <w:ilvl w:val="0"/>
          <w:numId w:val="1"/>
        </w:numPr>
      </w:pPr>
      <w:r w:rsidRPr="00025E04">
        <w:t>Purpose Limitation: Data must be collected for specified, explicit, and legitimate purposes.</w:t>
      </w:r>
    </w:p>
    <w:p w14:paraId="5232DA37" w14:textId="77777777" w:rsidR="00025E04" w:rsidRDefault="00025E04" w:rsidP="00025E04">
      <w:pPr>
        <w:pStyle w:val="ListParagraph"/>
        <w:numPr>
          <w:ilvl w:val="0"/>
          <w:numId w:val="1"/>
        </w:numPr>
      </w:pPr>
      <w:r w:rsidRPr="00025E04">
        <w:t>Data Minimization: Only data necessary for the intended purpose should be collected and processed.</w:t>
      </w:r>
    </w:p>
    <w:p w14:paraId="34B7A29C" w14:textId="77777777" w:rsidR="00025E04" w:rsidRDefault="00025E04" w:rsidP="00025E04">
      <w:pPr>
        <w:pStyle w:val="ListParagraph"/>
        <w:numPr>
          <w:ilvl w:val="0"/>
          <w:numId w:val="1"/>
        </w:numPr>
      </w:pPr>
      <w:r w:rsidRPr="00025E04">
        <w:t xml:space="preserve">Accuracy: Organizations must ensure that data is accurate and </w:t>
      </w:r>
      <w:proofErr w:type="gramStart"/>
      <w:r w:rsidRPr="00025E04">
        <w:t>up-to-date</w:t>
      </w:r>
      <w:proofErr w:type="gramEnd"/>
      <w:r w:rsidRPr="00025E04">
        <w:t>.</w:t>
      </w:r>
    </w:p>
    <w:p w14:paraId="75A4EF96" w14:textId="77777777" w:rsidR="00025E04" w:rsidRDefault="00025E04" w:rsidP="00025E04">
      <w:pPr>
        <w:pStyle w:val="ListParagraph"/>
        <w:numPr>
          <w:ilvl w:val="0"/>
          <w:numId w:val="1"/>
        </w:numPr>
      </w:pPr>
      <w:r w:rsidRPr="00025E04">
        <w:t>Storage Limitation: Data should not be kept longer than necessary.</w:t>
      </w:r>
    </w:p>
    <w:p w14:paraId="2AC8609F" w14:textId="77777777" w:rsidR="00025E04" w:rsidRDefault="00025E04" w:rsidP="00025E04">
      <w:pPr>
        <w:pStyle w:val="ListParagraph"/>
        <w:numPr>
          <w:ilvl w:val="0"/>
          <w:numId w:val="1"/>
        </w:numPr>
      </w:pPr>
      <w:r w:rsidRPr="00025E04">
        <w:t>Integrity and Confidentiality: Data must be processed securely to prevent unauthorized access, loss, or destruction.</w:t>
      </w:r>
    </w:p>
    <w:p w14:paraId="526E693F" w14:textId="77777777" w:rsidR="00025E04" w:rsidRDefault="00025E04" w:rsidP="00025E04">
      <w:pPr>
        <w:pStyle w:val="ListParagraph"/>
        <w:numPr>
          <w:ilvl w:val="0"/>
          <w:numId w:val="1"/>
        </w:numPr>
      </w:pPr>
      <w:r w:rsidRPr="00025E04">
        <w:lastRenderedPageBreak/>
        <w:t>Accountability: Data controllers are responsible for demonstrating compliance with the GDPR’s principles.</w:t>
      </w:r>
    </w:p>
    <w:p w14:paraId="17D18A66" w14:textId="77777777" w:rsidR="00025E04" w:rsidRDefault="00025E04" w:rsidP="00025E04">
      <w:pPr>
        <w:pStyle w:val="Heading1"/>
      </w:pPr>
      <w:r>
        <w:t>Scope of the GDPR</w:t>
      </w:r>
    </w:p>
    <w:p w14:paraId="01A82453" w14:textId="77777777" w:rsidR="00025E04" w:rsidRDefault="00025E04" w:rsidP="00025E04">
      <w:r w:rsidRPr="00025E04">
        <w:t>GDPR applies to:</w:t>
      </w:r>
    </w:p>
    <w:p w14:paraId="329E2369" w14:textId="77777777" w:rsidR="00025E04" w:rsidRDefault="00025E04" w:rsidP="00025E04">
      <w:pPr>
        <w:pStyle w:val="ListParagraph"/>
        <w:numPr>
          <w:ilvl w:val="0"/>
          <w:numId w:val="2"/>
        </w:numPr>
      </w:pPr>
      <w:r w:rsidRPr="00025E04">
        <w:t>Organizations established in the EU processing personal data, regardless of where the data processing takes place.</w:t>
      </w:r>
    </w:p>
    <w:p w14:paraId="64AA7761" w14:textId="77777777" w:rsidR="00025E04" w:rsidRDefault="00025E04" w:rsidP="00025E04">
      <w:pPr>
        <w:pStyle w:val="ListParagraph"/>
        <w:numPr>
          <w:ilvl w:val="0"/>
          <w:numId w:val="2"/>
        </w:numPr>
      </w:pPr>
      <w:r w:rsidRPr="00025E04">
        <w:t>Organizations outside the EU that offer goods or services to EU residents or monitor their behavior.</w:t>
      </w:r>
    </w:p>
    <w:p w14:paraId="47B415D5" w14:textId="77777777" w:rsidR="00025E04" w:rsidRDefault="00025E04" w:rsidP="00025E04">
      <w:r w:rsidRPr="00025E04">
        <w:t>Its extraterritorial reach means legal professionals must consider its impact on global operations, cross-border data flows, and international contracts.</w:t>
      </w:r>
    </w:p>
    <w:p w14:paraId="5B77F45A" w14:textId="77777777" w:rsidR="00025E04" w:rsidRDefault="00025E04" w:rsidP="00025E04">
      <w:pPr>
        <w:pStyle w:val="Heading1"/>
      </w:pPr>
      <w:r>
        <w:t>Personal Data and Special Categories</w:t>
      </w:r>
    </w:p>
    <w:p w14:paraId="42B34052" w14:textId="77777777" w:rsidR="00025E04" w:rsidRDefault="00025E04" w:rsidP="00025E04">
      <w:pPr>
        <w:pStyle w:val="ListParagraph"/>
        <w:numPr>
          <w:ilvl w:val="0"/>
          <w:numId w:val="3"/>
        </w:numPr>
      </w:pPr>
      <w:r w:rsidRPr="00025E04">
        <w:t>Personal Data: Any information relating to an identified or identifiable natural person (data subject).</w:t>
      </w:r>
    </w:p>
    <w:p w14:paraId="2BCE3A00" w14:textId="77777777" w:rsidR="00025E04" w:rsidRDefault="00025E04" w:rsidP="00025E04">
      <w:pPr>
        <w:pStyle w:val="ListParagraph"/>
        <w:numPr>
          <w:ilvl w:val="0"/>
          <w:numId w:val="3"/>
        </w:numPr>
      </w:pPr>
      <w:r w:rsidRPr="00025E04">
        <w:t>Special Categories: Includes sensitive data such as racial or ethnic origin, political opinions, religious beliefs, genetic data, biometric data, health data, and sexual orientation. Processing such data is subject to stricter conditions.</w:t>
      </w:r>
    </w:p>
    <w:p w14:paraId="62256673" w14:textId="77777777" w:rsidR="00025E04" w:rsidRDefault="00025E04" w:rsidP="00025E04">
      <w:pPr>
        <w:pStyle w:val="Heading1"/>
      </w:pPr>
      <w:r>
        <w:t>Legal Bases for Processing</w:t>
      </w:r>
    </w:p>
    <w:p w14:paraId="6D8650F6" w14:textId="77777777" w:rsidR="00025E04" w:rsidRDefault="00025E04" w:rsidP="00025E04">
      <w:r w:rsidRPr="00025E04">
        <w:t xml:space="preserve">Processing must be grounded </w:t>
      </w:r>
      <w:proofErr w:type="gramStart"/>
      <w:r w:rsidRPr="00025E04">
        <w:t>in</w:t>
      </w:r>
      <w:proofErr w:type="gramEnd"/>
      <w:r w:rsidRPr="00025E04">
        <w:t xml:space="preserve"> at least one legal basis:</w:t>
      </w:r>
    </w:p>
    <w:p w14:paraId="0BE022A7" w14:textId="77777777" w:rsidR="00025E04" w:rsidRDefault="00025E04" w:rsidP="00025E04">
      <w:pPr>
        <w:pStyle w:val="ListParagraph"/>
        <w:numPr>
          <w:ilvl w:val="0"/>
          <w:numId w:val="4"/>
        </w:numPr>
      </w:pPr>
      <w:r w:rsidRPr="00025E04">
        <w:t>Consent</w:t>
      </w:r>
    </w:p>
    <w:p w14:paraId="058CC4CB" w14:textId="77777777" w:rsidR="00025E04" w:rsidRDefault="00025E04" w:rsidP="00025E04">
      <w:pPr>
        <w:pStyle w:val="ListParagraph"/>
        <w:numPr>
          <w:ilvl w:val="0"/>
          <w:numId w:val="4"/>
        </w:numPr>
      </w:pPr>
      <w:r w:rsidRPr="00025E04">
        <w:t>Contractual necessity</w:t>
      </w:r>
    </w:p>
    <w:p w14:paraId="48EC4D64" w14:textId="77777777" w:rsidR="00025E04" w:rsidRDefault="00025E04" w:rsidP="00025E04">
      <w:pPr>
        <w:pStyle w:val="ListParagraph"/>
        <w:numPr>
          <w:ilvl w:val="0"/>
          <w:numId w:val="4"/>
        </w:numPr>
      </w:pPr>
      <w:r w:rsidRPr="00025E04">
        <w:t>Legal obligation</w:t>
      </w:r>
    </w:p>
    <w:p w14:paraId="5E1BF432" w14:textId="77777777" w:rsidR="00025E04" w:rsidRDefault="00025E04" w:rsidP="00025E04">
      <w:pPr>
        <w:pStyle w:val="ListParagraph"/>
        <w:numPr>
          <w:ilvl w:val="0"/>
          <w:numId w:val="4"/>
        </w:numPr>
      </w:pPr>
      <w:r w:rsidRPr="00025E04">
        <w:t>Vital interests</w:t>
      </w:r>
    </w:p>
    <w:p w14:paraId="57168A55" w14:textId="77777777" w:rsidR="00025E04" w:rsidRDefault="00025E04" w:rsidP="00025E04">
      <w:pPr>
        <w:pStyle w:val="ListParagraph"/>
        <w:numPr>
          <w:ilvl w:val="0"/>
          <w:numId w:val="4"/>
        </w:numPr>
      </w:pPr>
      <w:r w:rsidRPr="00025E04">
        <w:t>Public task</w:t>
      </w:r>
    </w:p>
    <w:p w14:paraId="4F7C1295" w14:textId="77777777" w:rsidR="00025E04" w:rsidRDefault="00025E04" w:rsidP="00025E04">
      <w:pPr>
        <w:pStyle w:val="ListParagraph"/>
        <w:numPr>
          <w:ilvl w:val="0"/>
          <w:numId w:val="4"/>
        </w:numPr>
      </w:pPr>
      <w:r w:rsidRPr="00025E04">
        <w:t>Legitimate interests</w:t>
      </w:r>
    </w:p>
    <w:p w14:paraId="567B00C9" w14:textId="77777777" w:rsidR="00025E04" w:rsidRDefault="00025E04" w:rsidP="00025E04">
      <w:r w:rsidRPr="00025E04">
        <w:t xml:space="preserve">Legal professionals should assess and document the appropriate basis for each processing activity. Consent must be informed, </w:t>
      </w:r>
      <w:proofErr w:type="gramStart"/>
      <w:r w:rsidRPr="00025E04">
        <w:t>specific</w:t>
      </w:r>
      <w:proofErr w:type="gramEnd"/>
      <w:r w:rsidRPr="00025E04">
        <w:t>, and freely given, with clear mechanisms for withdrawal.</w:t>
      </w:r>
    </w:p>
    <w:p w14:paraId="3134F676" w14:textId="77777777" w:rsidR="00025E04" w:rsidRDefault="00025E04" w:rsidP="00025E04">
      <w:pPr>
        <w:pStyle w:val="Heading1"/>
      </w:pPr>
      <w:r>
        <w:lastRenderedPageBreak/>
        <w:t>Data Subject Rights</w:t>
      </w:r>
    </w:p>
    <w:p w14:paraId="178DC57B" w14:textId="77777777" w:rsidR="00025E04" w:rsidRDefault="00025E04" w:rsidP="00025E04">
      <w:r w:rsidRPr="00025E04">
        <w:t>GDPR empowers individuals with a suite of rights:</w:t>
      </w:r>
    </w:p>
    <w:p w14:paraId="3B71E69E" w14:textId="77777777" w:rsidR="00025E04" w:rsidRDefault="00025E04" w:rsidP="00025E04">
      <w:pPr>
        <w:pStyle w:val="ListParagraph"/>
        <w:numPr>
          <w:ilvl w:val="0"/>
          <w:numId w:val="5"/>
        </w:numPr>
      </w:pPr>
      <w:r w:rsidRPr="00025E04">
        <w:t>Right to be Informed: Transparency over how data is used.</w:t>
      </w:r>
    </w:p>
    <w:p w14:paraId="1B9DBDA9" w14:textId="77777777" w:rsidR="00025E04" w:rsidRDefault="00025E04" w:rsidP="00025E04">
      <w:pPr>
        <w:pStyle w:val="ListParagraph"/>
        <w:numPr>
          <w:ilvl w:val="0"/>
          <w:numId w:val="5"/>
        </w:numPr>
      </w:pPr>
      <w:r w:rsidRPr="00025E04">
        <w:t>Right of Access: Individuals can request information about their data.</w:t>
      </w:r>
    </w:p>
    <w:p w14:paraId="40503383" w14:textId="77777777" w:rsidR="00025E04" w:rsidRDefault="00025E04" w:rsidP="00025E04">
      <w:pPr>
        <w:pStyle w:val="ListParagraph"/>
        <w:numPr>
          <w:ilvl w:val="0"/>
          <w:numId w:val="5"/>
        </w:numPr>
      </w:pPr>
      <w:r w:rsidRPr="00025E04">
        <w:t>Right to Rectification: Correction of inaccurate data.</w:t>
      </w:r>
    </w:p>
    <w:p w14:paraId="1C7967A5" w14:textId="77777777" w:rsidR="00025E04" w:rsidRDefault="00025E04" w:rsidP="00025E04">
      <w:pPr>
        <w:pStyle w:val="ListParagraph"/>
        <w:numPr>
          <w:ilvl w:val="0"/>
          <w:numId w:val="5"/>
        </w:numPr>
      </w:pPr>
      <w:r w:rsidRPr="00025E04">
        <w:t>Right to Erasure ("Right to be Forgotten"): Data deletion under certain circumstances.</w:t>
      </w:r>
    </w:p>
    <w:p w14:paraId="3E8D01F4" w14:textId="77777777" w:rsidR="00025E04" w:rsidRDefault="00025E04" w:rsidP="00025E04">
      <w:pPr>
        <w:pStyle w:val="ListParagraph"/>
        <w:numPr>
          <w:ilvl w:val="0"/>
          <w:numId w:val="5"/>
        </w:numPr>
      </w:pPr>
      <w:r w:rsidRPr="00025E04">
        <w:t>Right to Restrict Processing: Limiting use of personal data.</w:t>
      </w:r>
    </w:p>
    <w:p w14:paraId="16E5D156" w14:textId="77777777" w:rsidR="00025E04" w:rsidRDefault="00025E04" w:rsidP="00025E04">
      <w:pPr>
        <w:pStyle w:val="ListParagraph"/>
        <w:numPr>
          <w:ilvl w:val="0"/>
          <w:numId w:val="5"/>
        </w:numPr>
      </w:pPr>
      <w:r w:rsidRPr="00025E04">
        <w:t>Right to Data Portability: Transfer of data between organizations.</w:t>
      </w:r>
    </w:p>
    <w:p w14:paraId="3130C7C4" w14:textId="77777777" w:rsidR="00025E04" w:rsidRDefault="00025E04" w:rsidP="00025E04">
      <w:pPr>
        <w:pStyle w:val="ListParagraph"/>
        <w:numPr>
          <w:ilvl w:val="0"/>
          <w:numId w:val="5"/>
        </w:numPr>
      </w:pPr>
      <w:r w:rsidRPr="00025E04">
        <w:t>Right to Object: Objection to processing based on legitimate interests or direct marketing.</w:t>
      </w:r>
    </w:p>
    <w:p w14:paraId="3543C40C" w14:textId="77777777" w:rsidR="00025E04" w:rsidRDefault="00025E04" w:rsidP="00025E04">
      <w:pPr>
        <w:pStyle w:val="ListParagraph"/>
        <w:numPr>
          <w:ilvl w:val="0"/>
          <w:numId w:val="5"/>
        </w:numPr>
      </w:pPr>
      <w:r w:rsidRPr="00025E04">
        <w:t>Rights in relation to automated decision making and profiling: Safeguards against decisions made solely by automated processes.</w:t>
      </w:r>
    </w:p>
    <w:p w14:paraId="3F19ABC0" w14:textId="77777777" w:rsidR="00025E04" w:rsidRDefault="00025E04" w:rsidP="00025E04">
      <w:r w:rsidRPr="00025E04">
        <w:t>Legal professionals must ensure procedures are in place to facilitate these rights efficiently and within statutory timeframes.</w:t>
      </w:r>
    </w:p>
    <w:p w14:paraId="66DCE9C5" w14:textId="77777777" w:rsidR="00025E04" w:rsidRDefault="00025E04" w:rsidP="00025E04">
      <w:pPr>
        <w:pStyle w:val="Heading1"/>
      </w:pPr>
      <w:r>
        <w:t>Obligations of Data Controllers and Data Processors</w:t>
      </w:r>
    </w:p>
    <w:p w14:paraId="53663706" w14:textId="77777777" w:rsidR="00025E04" w:rsidRDefault="00025E04" w:rsidP="00025E04">
      <w:pPr>
        <w:pStyle w:val="ListParagraph"/>
        <w:numPr>
          <w:ilvl w:val="0"/>
          <w:numId w:val="6"/>
        </w:numPr>
      </w:pPr>
      <w:r w:rsidRPr="00025E04">
        <w:t>Data Controller: Determines the purposes and means of processing personal data.</w:t>
      </w:r>
    </w:p>
    <w:p w14:paraId="645AB8B9" w14:textId="77777777" w:rsidR="00025E04" w:rsidRDefault="00025E04" w:rsidP="00025E04">
      <w:pPr>
        <w:pStyle w:val="ListParagraph"/>
        <w:numPr>
          <w:ilvl w:val="0"/>
          <w:numId w:val="6"/>
        </w:numPr>
      </w:pPr>
      <w:r w:rsidRPr="00025E04">
        <w:t>Data Processor: Processes data on behalf of the controller.</w:t>
      </w:r>
    </w:p>
    <w:p w14:paraId="343295F8" w14:textId="77777777" w:rsidR="00025E04" w:rsidRDefault="00025E04" w:rsidP="00025E04">
      <w:r w:rsidRPr="00025E04">
        <w:t>Both parties have specific and sometimes overlapping responsibilities, including:</w:t>
      </w:r>
    </w:p>
    <w:p w14:paraId="770C5794" w14:textId="77777777" w:rsidR="00025E04" w:rsidRDefault="00025E04" w:rsidP="00025E04">
      <w:pPr>
        <w:pStyle w:val="ListParagraph"/>
        <w:numPr>
          <w:ilvl w:val="0"/>
          <w:numId w:val="7"/>
        </w:numPr>
      </w:pPr>
      <w:r w:rsidRPr="00025E04">
        <w:t>Implementing appropriate technical and organizational measures (e.g., encryption, anonymization).</w:t>
      </w:r>
    </w:p>
    <w:p w14:paraId="78845D22" w14:textId="77777777" w:rsidR="00025E04" w:rsidRDefault="00025E04" w:rsidP="00025E04">
      <w:pPr>
        <w:pStyle w:val="ListParagraph"/>
        <w:numPr>
          <w:ilvl w:val="0"/>
          <w:numId w:val="7"/>
        </w:numPr>
      </w:pPr>
      <w:r w:rsidRPr="00025E04">
        <w:t>Maintaining records of processing activities.</w:t>
      </w:r>
    </w:p>
    <w:p w14:paraId="34330406" w14:textId="77777777" w:rsidR="00025E04" w:rsidRDefault="00025E04" w:rsidP="00025E04">
      <w:pPr>
        <w:pStyle w:val="ListParagraph"/>
        <w:numPr>
          <w:ilvl w:val="0"/>
          <w:numId w:val="7"/>
        </w:numPr>
      </w:pPr>
      <w:r w:rsidRPr="00025E04">
        <w:t>Conducting Data Protection Impact Assessments (DPIAs) for high-risk processing.</w:t>
      </w:r>
    </w:p>
    <w:p w14:paraId="7FE7E6AC" w14:textId="77777777" w:rsidR="00025E04" w:rsidRDefault="00025E04" w:rsidP="00025E04">
      <w:pPr>
        <w:pStyle w:val="ListParagraph"/>
        <w:numPr>
          <w:ilvl w:val="0"/>
          <w:numId w:val="7"/>
        </w:numPr>
      </w:pPr>
      <w:r w:rsidRPr="00025E04">
        <w:t>Notifying authorities and data subjects of data breaches within 72 hours.</w:t>
      </w:r>
    </w:p>
    <w:p w14:paraId="770BD340" w14:textId="77777777" w:rsidR="00025E04" w:rsidRDefault="00025E04" w:rsidP="00025E04">
      <w:pPr>
        <w:pStyle w:val="Heading1"/>
      </w:pPr>
      <w:r>
        <w:t>Accountability and Governance</w:t>
      </w:r>
    </w:p>
    <w:p w14:paraId="136F5608" w14:textId="77777777" w:rsidR="00025E04" w:rsidRDefault="00025E04" w:rsidP="00025E04">
      <w:r w:rsidRPr="00025E04">
        <w:t>Legal counsel plays a crucial role in establishing accountability frameworks:</w:t>
      </w:r>
    </w:p>
    <w:p w14:paraId="0433BF49" w14:textId="77777777" w:rsidR="00025E04" w:rsidRDefault="00025E04" w:rsidP="00025E04">
      <w:pPr>
        <w:pStyle w:val="ListParagraph"/>
        <w:numPr>
          <w:ilvl w:val="0"/>
          <w:numId w:val="8"/>
        </w:numPr>
      </w:pPr>
      <w:r w:rsidRPr="00025E04">
        <w:t>Drafting and reviewing data protection policies.</w:t>
      </w:r>
    </w:p>
    <w:p w14:paraId="0FDE6980" w14:textId="77777777" w:rsidR="00025E04" w:rsidRDefault="00025E04" w:rsidP="00025E04">
      <w:pPr>
        <w:pStyle w:val="ListParagraph"/>
        <w:numPr>
          <w:ilvl w:val="0"/>
          <w:numId w:val="8"/>
        </w:numPr>
      </w:pPr>
      <w:r w:rsidRPr="00025E04">
        <w:t>Appointing a Data Protection Officer (DPO) when required.</w:t>
      </w:r>
    </w:p>
    <w:p w14:paraId="5A7A54CD" w14:textId="77777777" w:rsidR="00025E04" w:rsidRDefault="00025E04" w:rsidP="00025E04">
      <w:pPr>
        <w:pStyle w:val="ListParagraph"/>
        <w:numPr>
          <w:ilvl w:val="0"/>
          <w:numId w:val="8"/>
        </w:numPr>
      </w:pPr>
      <w:r w:rsidRPr="00025E04">
        <w:t>Training staff and stakeholders.</w:t>
      </w:r>
    </w:p>
    <w:p w14:paraId="6B843CE7" w14:textId="77777777" w:rsidR="00025E04" w:rsidRDefault="00025E04" w:rsidP="00025E04">
      <w:pPr>
        <w:pStyle w:val="ListParagraph"/>
        <w:numPr>
          <w:ilvl w:val="0"/>
          <w:numId w:val="8"/>
        </w:numPr>
      </w:pPr>
      <w:r w:rsidRPr="00025E04">
        <w:t>Monitoring compliance and risk.</w:t>
      </w:r>
    </w:p>
    <w:p w14:paraId="32ADA533" w14:textId="77777777" w:rsidR="00025E04" w:rsidRDefault="00025E04" w:rsidP="00025E04">
      <w:pPr>
        <w:pStyle w:val="ListParagraph"/>
        <w:numPr>
          <w:ilvl w:val="0"/>
          <w:numId w:val="8"/>
        </w:numPr>
      </w:pPr>
      <w:r w:rsidRPr="00025E04">
        <w:lastRenderedPageBreak/>
        <w:t>Engaging with regulators and responding to investigations.</w:t>
      </w:r>
    </w:p>
    <w:p w14:paraId="25A881AB" w14:textId="77777777" w:rsidR="00025E04" w:rsidRDefault="00025E04" w:rsidP="00025E04">
      <w:pPr>
        <w:pStyle w:val="Heading1"/>
      </w:pPr>
      <w:r>
        <w:t>International Data Transfers</w:t>
      </w:r>
    </w:p>
    <w:p w14:paraId="419574CC" w14:textId="77777777" w:rsidR="00025E04" w:rsidRDefault="00025E04" w:rsidP="00025E04">
      <w:r w:rsidRPr="00025E04">
        <w:t>Transferring personal data outside the EU is subject to strict requirements:</w:t>
      </w:r>
    </w:p>
    <w:p w14:paraId="3DC7225F" w14:textId="77777777" w:rsidR="00025E04" w:rsidRDefault="00025E04" w:rsidP="00025E04">
      <w:pPr>
        <w:pStyle w:val="ListParagraph"/>
        <w:numPr>
          <w:ilvl w:val="0"/>
          <w:numId w:val="9"/>
        </w:numPr>
      </w:pPr>
      <w:r w:rsidRPr="00025E04">
        <w:t>Transfers permitted only to countries with adequate data protection laws or via mechanisms like Standard Contractual Clauses (SCCs), Binding Corporate Rules (BCRs), or explicit consent.</w:t>
      </w:r>
    </w:p>
    <w:p w14:paraId="51DA7E08" w14:textId="77777777" w:rsidR="00025E04" w:rsidRDefault="00025E04" w:rsidP="00025E04">
      <w:pPr>
        <w:pStyle w:val="ListParagraph"/>
        <w:numPr>
          <w:ilvl w:val="0"/>
          <w:numId w:val="9"/>
        </w:numPr>
      </w:pPr>
      <w:r w:rsidRPr="00025E04">
        <w:t>Recent decisions, like Schrems II, affect the legality of transfers to certain jurisdictions (e.g., the United States), requiring ongoing legal vigilance.</w:t>
      </w:r>
    </w:p>
    <w:p w14:paraId="5BD8B023" w14:textId="77777777" w:rsidR="00025E04" w:rsidRDefault="00025E04" w:rsidP="00025E04">
      <w:r w:rsidRPr="00025E04">
        <w:t>Legal professionals should assess transfer mechanisms, review contracts, and advise on evolving risks and requirements.</w:t>
      </w:r>
    </w:p>
    <w:p w14:paraId="75C9018C" w14:textId="77777777" w:rsidR="00025E04" w:rsidRDefault="00025E04" w:rsidP="00025E04">
      <w:pPr>
        <w:pStyle w:val="Heading1"/>
      </w:pPr>
      <w:r>
        <w:t>Enforcement and Penalties</w:t>
      </w:r>
    </w:p>
    <w:p w14:paraId="3088160F" w14:textId="77777777" w:rsidR="00025E04" w:rsidRDefault="00025E04" w:rsidP="00025E04">
      <w:r w:rsidRPr="00025E04">
        <w:t>GDPR enforcement is robust and far-reaching:</w:t>
      </w:r>
    </w:p>
    <w:p w14:paraId="4EE0C3E9" w14:textId="77777777" w:rsidR="00025E04" w:rsidRDefault="00025E04" w:rsidP="00025E04">
      <w:pPr>
        <w:pStyle w:val="ListParagraph"/>
        <w:numPr>
          <w:ilvl w:val="0"/>
          <w:numId w:val="10"/>
        </w:numPr>
      </w:pPr>
      <w:r w:rsidRPr="00025E04">
        <w:t>Supervisory authorities in each member state oversee compliance, investigate breaches, and issue penalties.</w:t>
      </w:r>
    </w:p>
    <w:p w14:paraId="30CC565A" w14:textId="77777777" w:rsidR="00025E04" w:rsidRDefault="00025E04" w:rsidP="00025E04">
      <w:pPr>
        <w:pStyle w:val="ListParagraph"/>
        <w:numPr>
          <w:ilvl w:val="0"/>
          <w:numId w:val="10"/>
        </w:numPr>
      </w:pPr>
      <w:r w:rsidRPr="00025E04">
        <w:t>Fines can reach up to €20 million or 4% of global annual turnover, whichever is higher.</w:t>
      </w:r>
    </w:p>
    <w:p w14:paraId="3F498515" w14:textId="77777777" w:rsidR="00025E04" w:rsidRDefault="00025E04" w:rsidP="00025E04">
      <w:pPr>
        <w:pStyle w:val="ListParagraph"/>
        <w:numPr>
          <w:ilvl w:val="0"/>
          <w:numId w:val="10"/>
        </w:numPr>
      </w:pPr>
      <w:r w:rsidRPr="00025E04">
        <w:t>Non-compliance risks reputational damage, litigation, and operational disruption.</w:t>
      </w:r>
    </w:p>
    <w:p w14:paraId="57FD37F7" w14:textId="77777777" w:rsidR="00025E04" w:rsidRDefault="00025E04" w:rsidP="00025E04">
      <w:r w:rsidRPr="00025E04">
        <w:t>Legal professionals should be proactive in risk assessment, compliance audits, and breach response planning.</w:t>
      </w:r>
    </w:p>
    <w:p w14:paraId="1B4DD7B5" w14:textId="77777777" w:rsidR="00025E04" w:rsidRDefault="00025E04" w:rsidP="00025E04">
      <w:pPr>
        <w:pStyle w:val="Heading1"/>
      </w:pPr>
      <w:r>
        <w:t>GDPR in Practice: Key Challenges for Legal Professionals</w:t>
      </w:r>
    </w:p>
    <w:p w14:paraId="665267C1" w14:textId="77777777" w:rsidR="00025E04" w:rsidRDefault="00025E04" w:rsidP="00025E04">
      <w:pPr>
        <w:pStyle w:val="ListParagraph"/>
        <w:numPr>
          <w:ilvl w:val="0"/>
          <w:numId w:val="11"/>
        </w:numPr>
      </w:pPr>
      <w:r w:rsidRPr="00025E04">
        <w:t>Interpreting Ambiguities: GDPR’s open-textured language (e.g., “legitimate interests,” “appropriate measures”) requires careful legal analysis and ongoing monitoring of regulatory guidance and case law.</w:t>
      </w:r>
    </w:p>
    <w:p w14:paraId="755485E2" w14:textId="77777777" w:rsidR="00025E04" w:rsidRDefault="00025E04" w:rsidP="00025E04">
      <w:pPr>
        <w:pStyle w:val="ListParagraph"/>
        <w:numPr>
          <w:ilvl w:val="0"/>
          <w:numId w:val="11"/>
        </w:numPr>
      </w:pPr>
      <w:proofErr w:type="gramStart"/>
      <w:r w:rsidRPr="00025E04">
        <w:t>Advising on</w:t>
      </w:r>
      <w:proofErr w:type="gramEnd"/>
      <w:r w:rsidRPr="00025E04">
        <w:t xml:space="preserve"> Technology: Legal teams must understand data analytics, artificial intelligence, and new business models to advise clients effectively.</w:t>
      </w:r>
    </w:p>
    <w:p w14:paraId="7351F6B8" w14:textId="77777777" w:rsidR="00025E04" w:rsidRDefault="00025E04" w:rsidP="00025E04">
      <w:pPr>
        <w:pStyle w:val="ListParagraph"/>
        <w:numPr>
          <w:ilvl w:val="0"/>
          <w:numId w:val="11"/>
        </w:numPr>
      </w:pPr>
      <w:r w:rsidRPr="00025E04">
        <w:t>Cross-border Complexity: Multinational organizations face layered compliance challenges across jurisdictions.</w:t>
      </w:r>
    </w:p>
    <w:p w14:paraId="3EDEC9A7" w14:textId="77777777" w:rsidR="00025E04" w:rsidRDefault="00025E04" w:rsidP="00025E04">
      <w:pPr>
        <w:pStyle w:val="ListParagraph"/>
        <w:numPr>
          <w:ilvl w:val="0"/>
          <w:numId w:val="11"/>
        </w:numPr>
      </w:pPr>
      <w:r w:rsidRPr="00025E04">
        <w:t>Contractual Risk: Reviewing and drafting data processing agreements, supplier contracts, and third-party arrangements is essential to minimize liability.</w:t>
      </w:r>
    </w:p>
    <w:p w14:paraId="11B81D5D" w14:textId="77777777" w:rsidR="00025E04" w:rsidRDefault="00025E04" w:rsidP="00025E04">
      <w:pPr>
        <w:pStyle w:val="ListParagraph"/>
        <w:numPr>
          <w:ilvl w:val="0"/>
          <w:numId w:val="11"/>
        </w:numPr>
      </w:pPr>
      <w:r w:rsidRPr="00025E04">
        <w:lastRenderedPageBreak/>
        <w:t>Incident Response: Legal professionals should help design and test breach notification and crisis communication plans.</w:t>
      </w:r>
    </w:p>
    <w:p w14:paraId="660FEAF0" w14:textId="77777777" w:rsidR="00025E04" w:rsidRDefault="00025E04" w:rsidP="00025E04">
      <w:pPr>
        <w:pStyle w:val="Heading1"/>
      </w:pPr>
      <w:r>
        <w:t>Best Practices for Legal Advisers</w:t>
      </w:r>
    </w:p>
    <w:p w14:paraId="6C99D05D" w14:textId="77777777" w:rsidR="00025E04" w:rsidRDefault="00025E04" w:rsidP="00025E04">
      <w:pPr>
        <w:pStyle w:val="ListParagraph"/>
        <w:numPr>
          <w:ilvl w:val="0"/>
          <w:numId w:val="12"/>
        </w:numPr>
      </w:pPr>
      <w:r w:rsidRPr="00025E04">
        <w:t>Stay abreast of regulatory developments and case law.</w:t>
      </w:r>
    </w:p>
    <w:p w14:paraId="2D6633DD" w14:textId="77777777" w:rsidR="00025E04" w:rsidRDefault="00025E04" w:rsidP="00025E04">
      <w:pPr>
        <w:pStyle w:val="ListParagraph"/>
        <w:numPr>
          <w:ilvl w:val="0"/>
          <w:numId w:val="12"/>
        </w:numPr>
      </w:pPr>
      <w:r w:rsidRPr="00025E04">
        <w:t>Foster collaboration between legal, IT, HR, and compliance teams.</w:t>
      </w:r>
    </w:p>
    <w:p w14:paraId="756C458A" w14:textId="77777777" w:rsidR="00025E04" w:rsidRDefault="00025E04" w:rsidP="00025E04">
      <w:pPr>
        <w:pStyle w:val="ListParagraph"/>
        <w:numPr>
          <w:ilvl w:val="0"/>
          <w:numId w:val="12"/>
        </w:numPr>
      </w:pPr>
      <w:r w:rsidRPr="00025E04">
        <w:t>Promote a culture of privacy across the organization.</w:t>
      </w:r>
    </w:p>
    <w:p w14:paraId="58083D2C" w14:textId="77777777" w:rsidR="00025E04" w:rsidRDefault="00025E04" w:rsidP="00025E04">
      <w:pPr>
        <w:pStyle w:val="ListParagraph"/>
        <w:numPr>
          <w:ilvl w:val="0"/>
          <w:numId w:val="12"/>
        </w:numPr>
      </w:pPr>
      <w:r w:rsidRPr="00025E04">
        <w:t>Develop standardized templates for data processing agreements and DPIAs.</w:t>
      </w:r>
    </w:p>
    <w:p w14:paraId="63C0D5F4" w14:textId="77777777" w:rsidR="00025E04" w:rsidRDefault="00025E04" w:rsidP="00025E04">
      <w:pPr>
        <w:pStyle w:val="ListParagraph"/>
        <w:numPr>
          <w:ilvl w:val="0"/>
          <w:numId w:val="12"/>
        </w:numPr>
      </w:pPr>
      <w:r w:rsidRPr="00025E04">
        <w:t>Provide ongoing training and awareness programs for staff.</w:t>
      </w:r>
    </w:p>
    <w:p w14:paraId="6E532581" w14:textId="77777777" w:rsidR="00025E04" w:rsidRDefault="00025E04" w:rsidP="00025E04">
      <w:pPr>
        <w:pStyle w:val="ListParagraph"/>
        <w:numPr>
          <w:ilvl w:val="0"/>
          <w:numId w:val="12"/>
        </w:numPr>
      </w:pPr>
      <w:r w:rsidRPr="00025E04">
        <w:t>Regularly audit data flows and processing activities.</w:t>
      </w:r>
    </w:p>
    <w:p w14:paraId="65E5AFD0" w14:textId="77777777" w:rsidR="00025E04" w:rsidRDefault="00025E04" w:rsidP="00025E04">
      <w:pPr>
        <w:pStyle w:val="ListParagraph"/>
        <w:numPr>
          <w:ilvl w:val="0"/>
          <w:numId w:val="12"/>
        </w:numPr>
      </w:pPr>
      <w:r w:rsidRPr="00025E04">
        <w:t>Maintain clear, documented policies and procedures.</w:t>
      </w:r>
    </w:p>
    <w:p w14:paraId="5E4E1B50" w14:textId="77777777" w:rsidR="00025E04" w:rsidRDefault="00025E04" w:rsidP="00025E04">
      <w:pPr>
        <w:pStyle w:val="Heading1"/>
      </w:pPr>
      <w:r>
        <w:t>Conclusion</w:t>
      </w:r>
    </w:p>
    <w:p w14:paraId="2D8CA20F" w14:textId="2371C2E2" w:rsidR="00025E04" w:rsidRPr="00025E04" w:rsidRDefault="00025E04" w:rsidP="00025E04">
      <w:r w:rsidRPr="00025E04">
        <w:t xml:space="preserve">GDPR is a dynamic and challenging regime that redefines privacy and data protection for </w:t>
      </w:r>
      <w:proofErr w:type="gramStart"/>
      <w:r w:rsidRPr="00025E04">
        <w:t>a digital</w:t>
      </w:r>
      <w:proofErr w:type="gramEnd"/>
      <w:r w:rsidRPr="00025E04">
        <w:t xml:space="preserve"> world. For legal professionals, it requires not only technical expertise but also strategic vision and ethical commitment. By mastering the GDPR’s legal intricacies, fostering compliance, and championing the rights of individuals, legal advisers can empower their clients to thrive in an era where data is both an asset and a liability.</w:t>
      </w:r>
    </w:p>
    <w:p w14:paraId="5A86AE91" w14:textId="04E703E2" w:rsidR="006767AA" w:rsidRPr="00025E04" w:rsidRDefault="006767AA" w:rsidP="00025E04"/>
    <w:sectPr w:rsidR="006767AA" w:rsidRPr="0002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93A"/>
    <w:multiLevelType w:val="hybridMultilevel"/>
    <w:tmpl w:val="153E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B80"/>
    <w:multiLevelType w:val="hybridMultilevel"/>
    <w:tmpl w:val="7EF0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926C8"/>
    <w:multiLevelType w:val="hybridMultilevel"/>
    <w:tmpl w:val="188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C2E2F"/>
    <w:multiLevelType w:val="hybridMultilevel"/>
    <w:tmpl w:val="1D76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449F4"/>
    <w:multiLevelType w:val="hybridMultilevel"/>
    <w:tmpl w:val="B3C8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46F2E"/>
    <w:multiLevelType w:val="hybridMultilevel"/>
    <w:tmpl w:val="265A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5842"/>
    <w:multiLevelType w:val="hybridMultilevel"/>
    <w:tmpl w:val="5CCA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41CD9"/>
    <w:multiLevelType w:val="hybridMultilevel"/>
    <w:tmpl w:val="D9E2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47999"/>
    <w:multiLevelType w:val="hybridMultilevel"/>
    <w:tmpl w:val="687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4CAA"/>
    <w:multiLevelType w:val="hybridMultilevel"/>
    <w:tmpl w:val="A902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725D1"/>
    <w:multiLevelType w:val="hybridMultilevel"/>
    <w:tmpl w:val="08E0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D16A3"/>
    <w:multiLevelType w:val="hybridMultilevel"/>
    <w:tmpl w:val="548C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705729">
    <w:abstractNumId w:val="11"/>
  </w:num>
  <w:num w:numId="2" w16cid:durableId="620918493">
    <w:abstractNumId w:val="6"/>
  </w:num>
  <w:num w:numId="3" w16cid:durableId="1653213253">
    <w:abstractNumId w:val="8"/>
  </w:num>
  <w:num w:numId="4" w16cid:durableId="2065982044">
    <w:abstractNumId w:val="1"/>
  </w:num>
  <w:num w:numId="5" w16cid:durableId="1116099610">
    <w:abstractNumId w:val="4"/>
  </w:num>
  <w:num w:numId="6" w16cid:durableId="2126659180">
    <w:abstractNumId w:val="10"/>
  </w:num>
  <w:num w:numId="7" w16cid:durableId="1882783951">
    <w:abstractNumId w:val="5"/>
  </w:num>
  <w:num w:numId="8" w16cid:durableId="1121071724">
    <w:abstractNumId w:val="2"/>
  </w:num>
  <w:num w:numId="9" w16cid:durableId="1068923939">
    <w:abstractNumId w:val="3"/>
  </w:num>
  <w:num w:numId="10" w16cid:durableId="1507404220">
    <w:abstractNumId w:val="7"/>
  </w:num>
  <w:num w:numId="11" w16cid:durableId="847789876">
    <w:abstractNumId w:val="0"/>
  </w:num>
  <w:num w:numId="12" w16cid:durableId="532116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04"/>
    <w:rsid w:val="00025E04"/>
    <w:rsid w:val="000D0159"/>
    <w:rsid w:val="000F22F7"/>
    <w:rsid w:val="004D5EB8"/>
    <w:rsid w:val="006767AA"/>
    <w:rsid w:val="00BB71A9"/>
    <w:rsid w:val="00BF7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C948"/>
  <w15:chartTrackingRefBased/>
  <w15:docId w15:val="{3B2BAF8C-7F90-4CC8-A63B-BF3C0CA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04"/>
    <w:rPr>
      <w:rFonts w:eastAsiaTheme="majorEastAsia" w:cstheme="majorBidi"/>
      <w:color w:val="272727" w:themeColor="text1" w:themeTint="D8"/>
    </w:rPr>
  </w:style>
  <w:style w:type="paragraph" w:styleId="Title">
    <w:name w:val="Title"/>
    <w:basedOn w:val="Normal"/>
    <w:next w:val="Normal"/>
    <w:link w:val="TitleChar"/>
    <w:uiPriority w:val="10"/>
    <w:qFormat/>
    <w:rsid w:val="00025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04"/>
    <w:pPr>
      <w:spacing w:before="160"/>
      <w:jc w:val="center"/>
    </w:pPr>
    <w:rPr>
      <w:i/>
      <w:iCs/>
      <w:color w:val="404040" w:themeColor="text1" w:themeTint="BF"/>
    </w:rPr>
  </w:style>
  <w:style w:type="character" w:customStyle="1" w:styleId="QuoteChar">
    <w:name w:val="Quote Char"/>
    <w:basedOn w:val="DefaultParagraphFont"/>
    <w:link w:val="Quote"/>
    <w:uiPriority w:val="29"/>
    <w:rsid w:val="00025E04"/>
    <w:rPr>
      <w:i/>
      <w:iCs/>
      <w:color w:val="404040" w:themeColor="text1" w:themeTint="BF"/>
    </w:rPr>
  </w:style>
  <w:style w:type="paragraph" w:styleId="ListParagraph">
    <w:name w:val="List Paragraph"/>
    <w:basedOn w:val="Normal"/>
    <w:uiPriority w:val="34"/>
    <w:qFormat/>
    <w:rsid w:val="00025E04"/>
    <w:pPr>
      <w:ind w:left="720"/>
      <w:contextualSpacing/>
    </w:pPr>
  </w:style>
  <w:style w:type="character" w:styleId="IntenseEmphasis">
    <w:name w:val="Intense Emphasis"/>
    <w:basedOn w:val="DefaultParagraphFont"/>
    <w:uiPriority w:val="21"/>
    <w:qFormat/>
    <w:rsid w:val="00025E04"/>
    <w:rPr>
      <w:i/>
      <w:iCs/>
      <w:color w:val="0F4761" w:themeColor="accent1" w:themeShade="BF"/>
    </w:rPr>
  </w:style>
  <w:style w:type="paragraph" w:styleId="IntenseQuote">
    <w:name w:val="Intense Quote"/>
    <w:basedOn w:val="Normal"/>
    <w:next w:val="Normal"/>
    <w:link w:val="IntenseQuoteChar"/>
    <w:uiPriority w:val="30"/>
    <w:qFormat/>
    <w:rsid w:val="0002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E04"/>
    <w:rPr>
      <w:i/>
      <w:iCs/>
      <w:color w:val="0F4761" w:themeColor="accent1" w:themeShade="BF"/>
    </w:rPr>
  </w:style>
  <w:style w:type="character" w:styleId="IntenseReference">
    <w:name w:val="Intense Reference"/>
    <w:basedOn w:val="DefaultParagraphFont"/>
    <w:uiPriority w:val="32"/>
    <w:qFormat/>
    <w:rsid w:val="00025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2025-09-02T09:42:00Z</dcterms:created>
  <dcterms:modified xsi:type="dcterms:W3CDTF">2025-09-02T09:44:00Z</dcterms:modified>
</cp:coreProperties>
</file>