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F6609" w14:textId="77777777" w:rsidR="0092675B" w:rsidRDefault="0092675B" w:rsidP="0092675B">
      <w:pPr>
        <w:pStyle w:val="Title"/>
      </w:pPr>
      <w:r>
        <w:t>The Latest Developments in K-12 Pedagogy</w:t>
      </w:r>
    </w:p>
    <w:p w14:paraId="31C473D3" w14:textId="77777777" w:rsidR="0092675B" w:rsidRDefault="0092675B" w:rsidP="0092675B">
      <w:pPr>
        <w:pStyle w:val="Subtitle"/>
      </w:pPr>
      <w:r>
        <w:t>Trends, Innovations, and the Path Forward in Modern Education</w:t>
      </w:r>
    </w:p>
    <w:p w14:paraId="3CBBBD92" w14:textId="77777777" w:rsidR="0092675B" w:rsidRDefault="0092675B" w:rsidP="0092675B">
      <w:r w:rsidRPr="0092675B">
        <w:t xml:space="preserve">K-12 education stands at a crossroads, shaped by rapid technological advancement, shifting social dynamics, and new understanding of cognitive science. As the world becomes more interconnected and complex, educators and policymakers are reimagining how young learners are taught, the skills they need to thrive, and </w:t>
      </w:r>
      <w:proofErr w:type="gramStart"/>
      <w:r w:rsidRPr="0092675B">
        <w:t>the means by which</w:t>
      </w:r>
      <w:proofErr w:type="gramEnd"/>
      <w:r w:rsidRPr="0092675B">
        <w:t xml:space="preserve"> to assess their progress. This essay explores the most significant recent developments in K-12 pedagogy, highlighting emerging trends, innovative practices, and the challenges yet to be overcome.</w:t>
      </w:r>
    </w:p>
    <w:p w14:paraId="1B914C59" w14:textId="77777777" w:rsidR="0092675B" w:rsidRDefault="0092675B" w:rsidP="0092675B">
      <w:pPr>
        <w:pStyle w:val="Heading1"/>
      </w:pPr>
      <w:r>
        <w:t>Introduction</w:t>
      </w:r>
    </w:p>
    <w:p w14:paraId="0E63FC0E" w14:textId="77777777" w:rsidR="0092675B" w:rsidRDefault="0092675B" w:rsidP="0092675B">
      <w:r w:rsidRPr="0092675B">
        <w:t>Education for students from kindergarten through 12th grade has always evolved to reflect societal needs and priorities. In recent years, however, the pace of change has accelerated, and the very concept of “school” is being transformed. Factors such as the COVID-19 pandemic, advances in educational technology, research on learning sciences, and heightened awareness of equity and inclusion are all driving forces behind the latest pedagogical shifts.</w:t>
      </w:r>
    </w:p>
    <w:p w14:paraId="6AB89D81" w14:textId="77777777" w:rsidR="0092675B" w:rsidRDefault="0092675B" w:rsidP="0092675B">
      <w:pPr>
        <w:pStyle w:val="Heading1"/>
      </w:pPr>
      <w:r>
        <w:t>Personalized and Competency-Based Learning</w:t>
      </w:r>
    </w:p>
    <w:p w14:paraId="7DFE3550" w14:textId="77777777" w:rsidR="0092675B" w:rsidRDefault="0092675B" w:rsidP="0092675B">
      <w:r w:rsidRPr="0092675B">
        <w:t xml:space="preserve">One of the most profound shifts in K-12 pedagogy is the move toward personalized and competency-based learning. Unlike traditional models, where all students advance at the same pace, personalized learning </w:t>
      </w:r>
      <w:proofErr w:type="gramStart"/>
      <w:r w:rsidRPr="0092675B">
        <w:t>tailors</w:t>
      </w:r>
      <w:proofErr w:type="gramEnd"/>
      <w:r w:rsidRPr="0092675B">
        <w:t xml:space="preserve"> instruction to each student’s strengths, needs, and interests. Competency-based education (CBE) goes a step further, allowing students to progress upon demonstrating mastery of specific skills or knowledge, regardless of time spent on a subject.</w:t>
      </w:r>
    </w:p>
    <w:p w14:paraId="0A37980C" w14:textId="77777777" w:rsidR="0092675B" w:rsidRDefault="0092675B" w:rsidP="0092675B">
      <w:r w:rsidRPr="0092675B">
        <w:t>Digital tools and platforms have made personalization more feasible. Teachers can now access real-time data to adjust lessons, provide targeted interventions, and offer enrichment opportunities. Adaptive learning technologies, powered by artificial intelligence, assess student progress and deliver customized content, ensuring that learners remain challenged but not overwhelmed.</w:t>
      </w:r>
    </w:p>
    <w:p w14:paraId="44CC9B41" w14:textId="77777777" w:rsidR="0092675B" w:rsidRDefault="0092675B" w:rsidP="0092675B">
      <w:pPr>
        <w:pStyle w:val="Heading1"/>
      </w:pPr>
      <w:r>
        <w:lastRenderedPageBreak/>
        <w:t>Integration of Technology and Artificial Intelligence</w:t>
      </w:r>
    </w:p>
    <w:p w14:paraId="646ADB85" w14:textId="77777777" w:rsidR="0092675B" w:rsidRDefault="0092675B" w:rsidP="0092675B">
      <w:r w:rsidRPr="0092675B">
        <w:t>Technology’s role in K-12 pedagogy has expanded dramatically. During the pandemic, educators pivoted quickly to online and blended learning. Even as students return to physical classrooms, many schools now use hybrid models that combine in-person and digital instruction.</w:t>
      </w:r>
    </w:p>
    <w:p w14:paraId="27BE188F" w14:textId="77777777" w:rsidR="0092675B" w:rsidRDefault="0092675B" w:rsidP="0092675B">
      <w:r w:rsidRPr="0092675B">
        <w:t>Artificial intelligence (AI) is increasingly present in educational contexts. AI-driven tutoring systems can offer immediate feedback, supplementing classroom instruction. Tools like intelligent writing assistants, math problem solvers, and language learning platforms adapt to the learner’s level, providing scaffolding or acceleration as needed. Technology also supports formative assessment through interactive quizzes, games, and simulations, giving teachers actionable insights.</w:t>
      </w:r>
    </w:p>
    <w:p w14:paraId="4D1275E7" w14:textId="77777777" w:rsidR="0092675B" w:rsidRDefault="0092675B" w:rsidP="0092675B">
      <w:r w:rsidRPr="0092675B">
        <w:t>However, these advances come with challenges, such as ensuring equitable access and protecting student data privacy. Closing the digital divide remains a key concern, as students without reliable internet or devices are at risk of falling behind.</w:t>
      </w:r>
    </w:p>
    <w:p w14:paraId="7E7BFD35" w14:textId="77777777" w:rsidR="0092675B" w:rsidRDefault="0092675B" w:rsidP="0092675B">
      <w:pPr>
        <w:pStyle w:val="Heading1"/>
      </w:pPr>
      <w:r>
        <w:t>Social and Emotional Learning (SEL)</w:t>
      </w:r>
    </w:p>
    <w:p w14:paraId="6A1FD408" w14:textId="77777777" w:rsidR="0092675B" w:rsidRDefault="0092675B" w:rsidP="0092675B">
      <w:r w:rsidRPr="0092675B">
        <w:t>Modern pedagogy recognizes that academic achievement is inseparable from social and emotional development. Social and Emotional Learning (SEL) programs are now integrated into curricula across the globe. SEL focuses on skills like self-awareness, self-management, relationship-building, and responsible decision-making.</w:t>
      </w:r>
    </w:p>
    <w:p w14:paraId="0D453695" w14:textId="77777777" w:rsidR="0092675B" w:rsidRDefault="0092675B" w:rsidP="0092675B">
      <w:r w:rsidRPr="0092675B">
        <w:t>Recent developments in SEL include embedding strategies into daily classroom routines rather than treating them as add-ons. Mindfulness practices, peer mediation, and restorative justice approaches are gaining traction as ways to foster positive school climates. Teachers receive training to recognize and address trauma, build trust, and cultivate resilience, especially important given the widespread mental health impacts of the pandemic.</w:t>
      </w:r>
    </w:p>
    <w:p w14:paraId="1DAAFDBC" w14:textId="77777777" w:rsidR="0092675B" w:rsidRDefault="0092675B" w:rsidP="0092675B">
      <w:pPr>
        <w:pStyle w:val="Heading1"/>
      </w:pPr>
      <w:r>
        <w:t>Inquiry-Based and Project-Based Learning</w:t>
      </w:r>
    </w:p>
    <w:p w14:paraId="13F27609" w14:textId="77777777" w:rsidR="0092675B" w:rsidRDefault="0092675B" w:rsidP="0092675B">
      <w:r w:rsidRPr="0092675B">
        <w:t>A growing number of schools are embracing inquiry-based and project-based learning (PBL) approaches. These pedagogies shift the focus from passive absorption of facts to active exploration, critical thinking, and collaboration. Students engage in hands-on projects that require research, problem-solving, and creativity, often connected to real-world issues.</w:t>
      </w:r>
    </w:p>
    <w:p w14:paraId="7AF9E36F" w14:textId="77777777" w:rsidR="0092675B" w:rsidRDefault="0092675B" w:rsidP="0092675B">
      <w:r w:rsidRPr="0092675B">
        <w:lastRenderedPageBreak/>
        <w:t>Inquiry-based learning encourages students to ask questions, seek evidence, and construct understanding. PBL units might involve designing solutions to local environmental problems, creating multimedia presentations, or collaborating with community partners. These methods foster engagement, deepen learning, and help students develop the “soft skills” valued by employers.</w:t>
      </w:r>
    </w:p>
    <w:p w14:paraId="4FBFFC87" w14:textId="77777777" w:rsidR="0092675B" w:rsidRDefault="0092675B" w:rsidP="0092675B">
      <w:pPr>
        <w:pStyle w:val="Heading1"/>
      </w:pPr>
      <w:r>
        <w:t>Focus on Equity, Diversity, and Inclusion</w:t>
      </w:r>
    </w:p>
    <w:p w14:paraId="618C5FCE" w14:textId="77777777" w:rsidR="0092675B" w:rsidRDefault="0092675B" w:rsidP="0092675B">
      <w:r w:rsidRPr="0092675B">
        <w:t xml:space="preserve">Equity has become central to conversations about K-12 pedagogy. Schools are re-examining curricula, disciplinary practices, and assessment methods to better serve all students, particularly those from historically marginalized groups. Culturally responsive teaching aims to connect instruction to </w:t>
      </w:r>
      <w:proofErr w:type="gramStart"/>
      <w:r w:rsidRPr="0092675B">
        <w:t>students’</w:t>
      </w:r>
      <w:proofErr w:type="gramEnd"/>
      <w:r w:rsidRPr="0092675B">
        <w:t xml:space="preserve"> lived experiences, </w:t>
      </w:r>
      <w:proofErr w:type="gramStart"/>
      <w:r w:rsidRPr="0092675B">
        <w:t>validate</w:t>
      </w:r>
      <w:proofErr w:type="gramEnd"/>
      <w:r w:rsidRPr="0092675B">
        <w:t xml:space="preserve"> diverse identities, and broaden perspectives.</w:t>
      </w:r>
    </w:p>
    <w:p w14:paraId="005ACAB7" w14:textId="77777777" w:rsidR="0092675B" w:rsidRDefault="0092675B" w:rsidP="0092675B">
      <w:r w:rsidRPr="0092675B">
        <w:t>Efforts to address opportunity gaps include universal design for learning (UDL), multilingual education, and differentiated instruction. Professional development in anti-bias education and trauma-informed practices is now widespread. The goal is to ensure that every student has access to high-quality learning opportunities and support systems.</w:t>
      </w:r>
    </w:p>
    <w:p w14:paraId="59049AD0" w14:textId="77777777" w:rsidR="0092675B" w:rsidRDefault="0092675B" w:rsidP="0092675B">
      <w:pPr>
        <w:pStyle w:val="Heading1"/>
      </w:pPr>
      <w:r>
        <w:t>Assessment and Feedback</w:t>
      </w:r>
    </w:p>
    <w:p w14:paraId="6A71BBCA" w14:textId="77777777" w:rsidR="0092675B" w:rsidRDefault="0092675B" w:rsidP="0092675B">
      <w:r w:rsidRPr="0092675B">
        <w:t>Traditional standardized testing is being re-evaluated. Many educators and policymakers now advocate for multiple measures of student learning, including portfolios, performance assessments, and formative feedback. The movement toward “assessment for learning” emphasizes ongoing feedback that guides student growth, rather than simply assigning grades.</w:t>
      </w:r>
    </w:p>
    <w:p w14:paraId="6728288F" w14:textId="77777777" w:rsidR="0092675B" w:rsidRDefault="0092675B" w:rsidP="0092675B">
      <w:r w:rsidRPr="0092675B">
        <w:t xml:space="preserve">Digital portfolios allow students to collect and reflect on their work </w:t>
      </w:r>
      <w:proofErr w:type="gramStart"/>
      <w:r w:rsidRPr="0092675B">
        <w:t>over time</w:t>
      </w:r>
      <w:proofErr w:type="gramEnd"/>
      <w:r w:rsidRPr="0092675B">
        <w:t>. Peer and self-assessment encourage metacognition and responsibility for learning. New assessment models also seek to measure creativity, collaboration, and other complex skills not captured by conventional tests.</w:t>
      </w:r>
    </w:p>
    <w:p w14:paraId="615166B7" w14:textId="77777777" w:rsidR="0092675B" w:rsidRDefault="0092675B" w:rsidP="0092675B">
      <w:pPr>
        <w:pStyle w:val="Heading1"/>
      </w:pPr>
      <w:r>
        <w:t>Interdisciplinary and STEAM Education</w:t>
      </w:r>
    </w:p>
    <w:p w14:paraId="73731E98" w14:textId="77777777" w:rsidR="0092675B" w:rsidRDefault="0092675B" w:rsidP="0092675B">
      <w:r w:rsidRPr="0092675B">
        <w:t>Education is becoming more interdisciplinary, reflecting the interconnectedness of knowledge in the 21st century. STEAM education (Science, Technology, Engineering, Arts, Mathematics) integrates the arts into traditional STEM fields, promoting creativity, innovation, and holistic problem-solving.</w:t>
      </w:r>
    </w:p>
    <w:p w14:paraId="2AC688E7" w14:textId="77777777" w:rsidR="0092675B" w:rsidRDefault="0092675B" w:rsidP="0092675B">
      <w:r w:rsidRPr="0092675B">
        <w:lastRenderedPageBreak/>
        <w:t>Recent developments include maker spaces, robotics clubs, coding initiatives, and art-infused science projects. These experiences help students connect concepts across subjects and apply their learning in authentic contexts. The integration of arts supports multiple modes of expression and appeals to a wider range of learners.</w:t>
      </w:r>
    </w:p>
    <w:p w14:paraId="52FC134C" w14:textId="77777777" w:rsidR="0092675B" w:rsidRDefault="0092675B" w:rsidP="0092675B">
      <w:pPr>
        <w:pStyle w:val="Heading1"/>
      </w:pPr>
      <w:r>
        <w:t>Ongoing Professional Development and Teacher Collaboration</w:t>
      </w:r>
    </w:p>
    <w:p w14:paraId="2D25EDCD" w14:textId="77777777" w:rsidR="0092675B" w:rsidRDefault="0092675B" w:rsidP="0092675B">
      <w:r w:rsidRPr="0092675B">
        <w:t>Effective pedagogy depends on well-prepared and continuously supported teachers. Professional learning communities (PLCs) are now common, enabling educators to collaborate, share best practices, and analyze student data together. Ongoing professional development focuses on new pedagogical approaches, technology integration, culturally responsive instruction, and SEL.</w:t>
      </w:r>
    </w:p>
    <w:p w14:paraId="235FDB43" w14:textId="77777777" w:rsidR="0092675B" w:rsidRDefault="0092675B" w:rsidP="0092675B">
      <w:r w:rsidRPr="0092675B">
        <w:t>Coaching models and mentorship programs provide individualized support for teachers at all career stages. Increasingly, professional development is personalized, reflecting the same principles being applied to student learning.</w:t>
      </w:r>
    </w:p>
    <w:p w14:paraId="555681DE" w14:textId="77777777" w:rsidR="0092675B" w:rsidRDefault="0092675B" w:rsidP="0092675B">
      <w:pPr>
        <w:pStyle w:val="Heading1"/>
      </w:pPr>
      <w:r>
        <w:t>Family and Community Engagement</w:t>
      </w:r>
    </w:p>
    <w:p w14:paraId="1FEAE9F9" w14:textId="77777777" w:rsidR="0092675B" w:rsidRDefault="0092675B" w:rsidP="0092675B">
      <w:r w:rsidRPr="0092675B">
        <w:t>Strong partnerships between schools, families, and communities are recognized as essential for student success. Recent initiatives aim to engage families as active partners in the learning process, leveraging their knowledge and resources. Community-based projects, service learning, and internships connect classroom work to the world beyond school walls.</w:t>
      </w:r>
    </w:p>
    <w:p w14:paraId="6234DF2C" w14:textId="77777777" w:rsidR="0092675B" w:rsidRDefault="0092675B" w:rsidP="0092675B">
      <w:pPr>
        <w:pStyle w:val="Heading1"/>
      </w:pPr>
      <w:r>
        <w:t>Challenges and the Road Ahead</w:t>
      </w:r>
    </w:p>
    <w:p w14:paraId="4B27C225" w14:textId="77777777" w:rsidR="0092675B" w:rsidRDefault="0092675B" w:rsidP="0092675B">
      <w:r w:rsidRPr="0092675B">
        <w:t>Despite these advances, significant challenges remain. Ensuring equitable access to high-quality education, addressing teacher shortages, and integrating technology in meaningful ways are ongoing issues. The need for robust research to evaluate new practices and support evidence-based policy is also critical.</w:t>
      </w:r>
    </w:p>
    <w:p w14:paraId="337BFE82" w14:textId="77777777" w:rsidR="0092675B" w:rsidRDefault="0092675B" w:rsidP="0092675B">
      <w:r w:rsidRPr="0092675B">
        <w:t>As K-12 pedagogy continues to evolve, the most successful approaches are likely to be those that balance innovation with inclusivity, and technology with humanity.</w:t>
      </w:r>
    </w:p>
    <w:p w14:paraId="480B803E" w14:textId="77777777" w:rsidR="0092675B" w:rsidRDefault="0092675B" w:rsidP="0092675B">
      <w:pPr>
        <w:pStyle w:val="Heading1"/>
      </w:pPr>
      <w:r>
        <w:lastRenderedPageBreak/>
        <w:t>References</w:t>
      </w:r>
    </w:p>
    <w:p w14:paraId="33F2487C" w14:textId="77777777" w:rsidR="0092675B" w:rsidRDefault="0092675B" w:rsidP="0092675B">
      <w:pPr>
        <w:pStyle w:val="ListParagraph"/>
        <w:numPr>
          <w:ilvl w:val="0"/>
          <w:numId w:val="26"/>
        </w:numPr>
      </w:pPr>
      <w:r w:rsidRPr="0092675B">
        <w:t>Darling-Hammond, L., Flook, L., Cook-Harvey, C., Barron, B., &amp; Osher, D. (2020). Implications for educational practice of the science of learning and development. Applied Developmental Science, 24(2), 97–140.</w:t>
      </w:r>
    </w:p>
    <w:p w14:paraId="0451B911" w14:textId="77777777" w:rsidR="0092675B" w:rsidRDefault="0092675B" w:rsidP="0092675B">
      <w:pPr>
        <w:pStyle w:val="ListParagraph"/>
        <w:numPr>
          <w:ilvl w:val="0"/>
          <w:numId w:val="26"/>
        </w:numPr>
      </w:pPr>
      <w:r w:rsidRPr="0092675B">
        <w:t>Pane, J. F., Steiner, E. D., Baird, M. D., &amp; Hamilton, L. S. (2017). Continued Progress: Promising Evidence on Personalized Learning. RAND Corporation.</w:t>
      </w:r>
    </w:p>
    <w:p w14:paraId="0AC2251F" w14:textId="77777777" w:rsidR="0092675B" w:rsidRDefault="0092675B" w:rsidP="0092675B">
      <w:pPr>
        <w:pStyle w:val="ListParagraph"/>
        <w:numPr>
          <w:ilvl w:val="0"/>
          <w:numId w:val="26"/>
        </w:numPr>
      </w:pPr>
      <w:proofErr w:type="gramStart"/>
      <w:r w:rsidRPr="0092675B">
        <w:t>Means,</w:t>
      </w:r>
      <w:proofErr w:type="gramEnd"/>
      <w:r w:rsidRPr="0092675B">
        <w:t xml:space="preserve"> B., Neisler, J., &amp; Langer Research Associates. (2020). Suddenly Online: A National Survey of Undergraduates during the COVID-19 Pandemic. Digital Promise.</w:t>
      </w:r>
    </w:p>
    <w:p w14:paraId="584D00B8" w14:textId="77777777" w:rsidR="0092675B" w:rsidRDefault="0092675B" w:rsidP="0092675B">
      <w:pPr>
        <w:pStyle w:val="ListParagraph"/>
        <w:numPr>
          <w:ilvl w:val="0"/>
          <w:numId w:val="26"/>
        </w:numPr>
      </w:pPr>
      <w:r w:rsidRPr="0092675B">
        <w:t xml:space="preserve">Jones, S. M., &amp; Kahn, J. (2017). The evidence </w:t>
      </w:r>
      <w:proofErr w:type="gramStart"/>
      <w:r w:rsidRPr="0092675B">
        <w:t>base</w:t>
      </w:r>
      <w:proofErr w:type="gramEnd"/>
      <w:r w:rsidRPr="0092675B">
        <w:t xml:space="preserve"> for how we learn: Supporting students’ social, emotional, and academic development. The Aspen Institute.</w:t>
      </w:r>
    </w:p>
    <w:p w14:paraId="7994FD42" w14:textId="77777777" w:rsidR="0092675B" w:rsidRDefault="0092675B" w:rsidP="0092675B">
      <w:pPr>
        <w:pStyle w:val="ListParagraph"/>
        <w:numPr>
          <w:ilvl w:val="0"/>
          <w:numId w:val="26"/>
        </w:numPr>
      </w:pPr>
      <w:r w:rsidRPr="0092675B">
        <w:t>Tomlinson, C. A. (2014). The differentiated classroom: Responding to the needs of all learners. ASCD.</w:t>
      </w:r>
    </w:p>
    <w:p w14:paraId="2D5839EF" w14:textId="77777777" w:rsidR="0092675B" w:rsidRDefault="0092675B" w:rsidP="0092675B">
      <w:pPr>
        <w:pStyle w:val="ListParagraph"/>
        <w:numPr>
          <w:ilvl w:val="0"/>
          <w:numId w:val="26"/>
        </w:numPr>
      </w:pPr>
      <w:r w:rsidRPr="0092675B">
        <w:t>Wiggins, G., &amp; McTighe, J. (2005). Understanding by Design. ASCD.</w:t>
      </w:r>
    </w:p>
    <w:p w14:paraId="67E69E71" w14:textId="77777777" w:rsidR="0092675B" w:rsidRDefault="0092675B" w:rsidP="0092675B">
      <w:pPr>
        <w:pStyle w:val="ListParagraph"/>
        <w:numPr>
          <w:ilvl w:val="0"/>
          <w:numId w:val="26"/>
        </w:numPr>
      </w:pPr>
      <w:r w:rsidRPr="0092675B">
        <w:t>National Academies of Sciences, Engineering, and Medicine. (2018). How People Learn II: Learners, Contexts, and Cultures. The National Academies Press.</w:t>
      </w:r>
    </w:p>
    <w:p w14:paraId="584A98CF" w14:textId="77777777" w:rsidR="0092675B" w:rsidRDefault="0092675B" w:rsidP="0092675B">
      <w:pPr>
        <w:pStyle w:val="ListParagraph"/>
        <w:numPr>
          <w:ilvl w:val="0"/>
          <w:numId w:val="26"/>
        </w:numPr>
      </w:pPr>
      <w:proofErr w:type="spellStart"/>
      <w:r w:rsidRPr="0092675B">
        <w:t>Organisation</w:t>
      </w:r>
      <w:proofErr w:type="spellEnd"/>
      <w:r w:rsidRPr="0092675B">
        <w:t xml:space="preserve"> for Economic Co-operation and Development (OECD). (2020). The Impact of COVID-19 on Education: Insights from Education </w:t>
      </w:r>
      <w:proofErr w:type="gramStart"/>
      <w:r w:rsidRPr="0092675B">
        <w:t>at a Glance</w:t>
      </w:r>
      <w:proofErr w:type="gramEnd"/>
      <w:r w:rsidRPr="0092675B">
        <w:t xml:space="preserve"> 2020.</w:t>
      </w:r>
    </w:p>
    <w:p w14:paraId="31D8F3EF" w14:textId="77777777" w:rsidR="0092675B" w:rsidRDefault="0092675B" w:rsidP="0092675B">
      <w:pPr>
        <w:pStyle w:val="ListParagraph"/>
        <w:numPr>
          <w:ilvl w:val="0"/>
          <w:numId w:val="26"/>
        </w:numPr>
      </w:pPr>
      <w:r w:rsidRPr="0092675B">
        <w:t>CAST. (2018). Universal Design for Learning Guidelines version 2.2.</w:t>
      </w:r>
    </w:p>
    <w:p w14:paraId="112DB94B" w14:textId="77777777" w:rsidR="0092675B" w:rsidRDefault="0092675B" w:rsidP="0092675B">
      <w:pPr>
        <w:pStyle w:val="ListParagraph"/>
        <w:numPr>
          <w:ilvl w:val="0"/>
          <w:numId w:val="26"/>
        </w:numPr>
      </w:pPr>
      <w:r w:rsidRPr="0092675B">
        <w:t>Partnership for 21st Century Skills. (2019). Framework for 21st Century Learning.</w:t>
      </w:r>
    </w:p>
    <w:p w14:paraId="359BEDD7" w14:textId="77777777" w:rsidR="0092675B" w:rsidRDefault="0092675B" w:rsidP="0092675B">
      <w:pPr>
        <w:pStyle w:val="ListParagraph"/>
        <w:numPr>
          <w:ilvl w:val="0"/>
          <w:numId w:val="26"/>
        </w:numPr>
      </w:pPr>
      <w:r w:rsidRPr="0092675B">
        <w:t>Rothstein, R., Jacobsen, R., &amp; Wilder, T. (2008). Grading Education: Getting Accountability Right. Teachers College Press.</w:t>
      </w:r>
    </w:p>
    <w:p w14:paraId="4D733C8B" w14:textId="3007C84D" w:rsidR="0092675B" w:rsidRPr="0092675B" w:rsidRDefault="0092675B" w:rsidP="0092675B">
      <w:pPr>
        <w:pStyle w:val="ListParagraph"/>
        <w:numPr>
          <w:ilvl w:val="0"/>
          <w:numId w:val="26"/>
        </w:numPr>
      </w:pPr>
      <w:r w:rsidRPr="0092675B">
        <w:t>Education Trust. (2021). Educational Equity in Pandemic Recovery: Policy Priorities.</w:t>
      </w:r>
    </w:p>
    <w:p w14:paraId="1D29149A" w14:textId="7BC19B64" w:rsidR="006767AA" w:rsidRPr="0092675B" w:rsidRDefault="006767AA" w:rsidP="0092675B"/>
    <w:sectPr w:rsidR="006767AA" w:rsidRPr="00926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1931"/>
    <w:multiLevelType w:val="hybridMultilevel"/>
    <w:tmpl w:val="46A4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636F8"/>
    <w:multiLevelType w:val="hybridMultilevel"/>
    <w:tmpl w:val="FDE6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459FC"/>
    <w:multiLevelType w:val="hybridMultilevel"/>
    <w:tmpl w:val="CEE8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D3264"/>
    <w:multiLevelType w:val="hybridMultilevel"/>
    <w:tmpl w:val="CD64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75F17"/>
    <w:multiLevelType w:val="hybridMultilevel"/>
    <w:tmpl w:val="6652E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310C7"/>
    <w:multiLevelType w:val="hybridMultilevel"/>
    <w:tmpl w:val="9E6A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D7E4D"/>
    <w:multiLevelType w:val="hybridMultilevel"/>
    <w:tmpl w:val="6D92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86968"/>
    <w:multiLevelType w:val="hybridMultilevel"/>
    <w:tmpl w:val="EC46B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A4365"/>
    <w:multiLevelType w:val="hybridMultilevel"/>
    <w:tmpl w:val="5760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F4209"/>
    <w:multiLevelType w:val="hybridMultilevel"/>
    <w:tmpl w:val="189C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16BA1"/>
    <w:multiLevelType w:val="hybridMultilevel"/>
    <w:tmpl w:val="8796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D85AE6"/>
    <w:multiLevelType w:val="hybridMultilevel"/>
    <w:tmpl w:val="03D2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C6371"/>
    <w:multiLevelType w:val="hybridMultilevel"/>
    <w:tmpl w:val="7DE4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8D350D"/>
    <w:multiLevelType w:val="hybridMultilevel"/>
    <w:tmpl w:val="FD845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D56542"/>
    <w:multiLevelType w:val="hybridMultilevel"/>
    <w:tmpl w:val="AAB6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C6A98"/>
    <w:multiLevelType w:val="hybridMultilevel"/>
    <w:tmpl w:val="25F6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3E1AC6"/>
    <w:multiLevelType w:val="hybridMultilevel"/>
    <w:tmpl w:val="911E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0A10FA"/>
    <w:multiLevelType w:val="hybridMultilevel"/>
    <w:tmpl w:val="E2EE7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D43962"/>
    <w:multiLevelType w:val="hybridMultilevel"/>
    <w:tmpl w:val="3380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0E2868"/>
    <w:multiLevelType w:val="hybridMultilevel"/>
    <w:tmpl w:val="B81C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2522AB"/>
    <w:multiLevelType w:val="hybridMultilevel"/>
    <w:tmpl w:val="70CE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812204"/>
    <w:multiLevelType w:val="hybridMultilevel"/>
    <w:tmpl w:val="78BC5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BB1B2B"/>
    <w:multiLevelType w:val="hybridMultilevel"/>
    <w:tmpl w:val="029C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5E7626"/>
    <w:multiLevelType w:val="hybridMultilevel"/>
    <w:tmpl w:val="E414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7B4116"/>
    <w:multiLevelType w:val="hybridMultilevel"/>
    <w:tmpl w:val="3F6EC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046A6"/>
    <w:multiLevelType w:val="hybridMultilevel"/>
    <w:tmpl w:val="034A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749480">
    <w:abstractNumId w:val="2"/>
  </w:num>
  <w:num w:numId="2" w16cid:durableId="305084243">
    <w:abstractNumId w:val="5"/>
  </w:num>
  <w:num w:numId="3" w16cid:durableId="1308894142">
    <w:abstractNumId w:val="24"/>
  </w:num>
  <w:num w:numId="4" w16cid:durableId="1520270263">
    <w:abstractNumId w:val="16"/>
  </w:num>
  <w:num w:numId="5" w16cid:durableId="770857784">
    <w:abstractNumId w:val="4"/>
  </w:num>
  <w:num w:numId="6" w16cid:durableId="1782996188">
    <w:abstractNumId w:val="9"/>
  </w:num>
  <w:num w:numId="7" w16cid:durableId="1393692100">
    <w:abstractNumId w:val="12"/>
  </w:num>
  <w:num w:numId="8" w16cid:durableId="13505025">
    <w:abstractNumId w:val="19"/>
  </w:num>
  <w:num w:numId="9" w16cid:durableId="77677544">
    <w:abstractNumId w:val="21"/>
  </w:num>
  <w:num w:numId="10" w16cid:durableId="1622151774">
    <w:abstractNumId w:val="15"/>
  </w:num>
  <w:num w:numId="11" w16cid:durableId="1191144227">
    <w:abstractNumId w:val="20"/>
  </w:num>
  <w:num w:numId="12" w16cid:durableId="735319860">
    <w:abstractNumId w:val="17"/>
  </w:num>
  <w:num w:numId="13" w16cid:durableId="1341850948">
    <w:abstractNumId w:val="6"/>
  </w:num>
  <w:num w:numId="14" w16cid:durableId="1228802085">
    <w:abstractNumId w:val="3"/>
  </w:num>
  <w:num w:numId="15" w16cid:durableId="683215811">
    <w:abstractNumId w:val="22"/>
  </w:num>
  <w:num w:numId="16" w16cid:durableId="1779982622">
    <w:abstractNumId w:val="1"/>
  </w:num>
  <w:num w:numId="17" w16cid:durableId="1827473170">
    <w:abstractNumId w:val="18"/>
  </w:num>
  <w:num w:numId="18" w16cid:durableId="1018853925">
    <w:abstractNumId w:val="7"/>
  </w:num>
  <w:num w:numId="19" w16cid:durableId="152795130">
    <w:abstractNumId w:val="25"/>
  </w:num>
  <w:num w:numId="20" w16cid:durableId="1507745088">
    <w:abstractNumId w:val="8"/>
  </w:num>
  <w:num w:numId="21" w16cid:durableId="2104951866">
    <w:abstractNumId w:val="13"/>
  </w:num>
  <w:num w:numId="22" w16cid:durableId="1406687551">
    <w:abstractNumId w:val="0"/>
  </w:num>
  <w:num w:numId="23" w16cid:durableId="2037150029">
    <w:abstractNumId w:val="23"/>
  </w:num>
  <w:num w:numId="24" w16cid:durableId="448934299">
    <w:abstractNumId w:val="11"/>
  </w:num>
  <w:num w:numId="25" w16cid:durableId="574632727">
    <w:abstractNumId w:val="10"/>
  </w:num>
  <w:num w:numId="26" w16cid:durableId="13068191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5B"/>
    <w:rsid w:val="000D0159"/>
    <w:rsid w:val="000F22F7"/>
    <w:rsid w:val="004D5EB8"/>
    <w:rsid w:val="00517AEC"/>
    <w:rsid w:val="006767AA"/>
    <w:rsid w:val="0092675B"/>
    <w:rsid w:val="00BB71A9"/>
    <w:rsid w:val="00C26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37A0"/>
  <w15:chartTrackingRefBased/>
  <w15:docId w15:val="{CE72ABB1-FA51-4355-AE29-DD93E876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6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7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7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7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7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67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7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7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7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75B"/>
    <w:rPr>
      <w:rFonts w:eastAsiaTheme="majorEastAsia" w:cstheme="majorBidi"/>
      <w:color w:val="272727" w:themeColor="text1" w:themeTint="D8"/>
    </w:rPr>
  </w:style>
  <w:style w:type="paragraph" w:styleId="Title">
    <w:name w:val="Title"/>
    <w:basedOn w:val="Normal"/>
    <w:next w:val="Normal"/>
    <w:link w:val="TitleChar"/>
    <w:uiPriority w:val="10"/>
    <w:qFormat/>
    <w:rsid w:val="00926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75B"/>
    <w:pPr>
      <w:spacing w:before="160"/>
      <w:jc w:val="center"/>
    </w:pPr>
    <w:rPr>
      <w:i/>
      <w:iCs/>
      <w:color w:val="404040" w:themeColor="text1" w:themeTint="BF"/>
    </w:rPr>
  </w:style>
  <w:style w:type="character" w:customStyle="1" w:styleId="QuoteChar">
    <w:name w:val="Quote Char"/>
    <w:basedOn w:val="DefaultParagraphFont"/>
    <w:link w:val="Quote"/>
    <w:uiPriority w:val="29"/>
    <w:rsid w:val="0092675B"/>
    <w:rPr>
      <w:i/>
      <w:iCs/>
      <w:color w:val="404040" w:themeColor="text1" w:themeTint="BF"/>
    </w:rPr>
  </w:style>
  <w:style w:type="paragraph" w:styleId="ListParagraph">
    <w:name w:val="List Paragraph"/>
    <w:basedOn w:val="Normal"/>
    <w:uiPriority w:val="34"/>
    <w:qFormat/>
    <w:rsid w:val="0092675B"/>
    <w:pPr>
      <w:ind w:left="720"/>
      <w:contextualSpacing/>
    </w:pPr>
  </w:style>
  <w:style w:type="character" w:styleId="IntenseEmphasis">
    <w:name w:val="Intense Emphasis"/>
    <w:basedOn w:val="DefaultParagraphFont"/>
    <w:uiPriority w:val="21"/>
    <w:qFormat/>
    <w:rsid w:val="0092675B"/>
    <w:rPr>
      <w:i/>
      <w:iCs/>
      <w:color w:val="0F4761" w:themeColor="accent1" w:themeShade="BF"/>
    </w:rPr>
  </w:style>
  <w:style w:type="paragraph" w:styleId="IntenseQuote">
    <w:name w:val="Intense Quote"/>
    <w:basedOn w:val="Normal"/>
    <w:next w:val="Normal"/>
    <w:link w:val="IntenseQuoteChar"/>
    <w:uiPriority w:val="30"/>
    <w:qFormat/>
    <w:rsid w:val="00926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75B"/>
    <w:rPr>
      <w:i/>
      <w:iCs/>
      <w:color w:val="0F4761" w:themeColor="accent1" w:themeShade="BF"/>
    </w:rPr>
  </w:style>
  <w:style w:type="character" w:styleId="IntenseReference">
    <w:name w:val="Intense Reference"/>
    <w:basedOn w:val="DefaultParagraphFont"/>
    <w:uiPriority w:val="32"/>
    <w:qFormat/>
    <w:rsid w:val="009267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1461</Words>
  <Characters>8330</Characters>
  <Application>Microsoft Office Word</Application>
  <DocSecurity>0</DocSecurity>
  <Lines>69</Lines>
  <Paragraphs>19</Paragraphs>
  <ScaleCrop>false</ScaleCrop>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Khalaf Haddad</dc:creator>
  <cp:keywords/>
  <dc:description/>
  <cp:lastModifiedBy>Khalaf Haddad</cp:lastModifiedBy>
  <cp:revision>2</cp:revision>
  <dcterms:created xsi:type="dcterms:W3CDTF">2025-09-01T20:16:00Z</dcterms:created>
  <dcterms:modified xsi:type="dcterms:W3CDTF">2025-09-01T22:54:00Z</dcterms:modified>
</cp:coreProperties>
</file>