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47C0" w14:textId="77777777" w:rsidR="00113352" w:rsidRDefault="00000000" w:rsidP="00C6010C">
      <w:pPr>
        <w:pStyle w:val="Title"/>
        <w:jc w:val="both"/>
      </w:pPr>
      <w:r>
        <w:t>Mutual Fund Analytics Capstone Project - Final Report</w:t>
      </w:r>
    </w:p>
    <w:p w14:paraId="4D79047A" w14:textId="77777777" w:rsidR="00C6010C" w:rsidRPr="00291736" w:rsidRDefault="00000000" w:rsidP="00291736">
      <w:pPr>
        <w:spacing w:before="480"/>
        <w:rPr>
          <w:sz w:val="28"/>
          <w:szCs w:val="28"/>
        </w:rPr>
      </w:pPr>
      <w:r w:rsidRPr="00291736">
        <w:rPr>
          <w:b/>
          <w:sz w:val="28"/>
          <w:szCs w:val="28"/>
        </w:rPr>
        <w:t>Bluestock Internship Project</w:t>
      </w:r>
      <w:r w:rsidRPr="00291736">
        <w:rPr>
          <w:b/>
          <w:sz w:val="28"/>
          <w:szCs w:val="28"/>
        </w:rPr>
        <w:br/>
      </w:r>
      <w:r w:rsidRPr="00291736">
        <w:rPr>
          <w:sz w:val="28"/>
          <w:szCs w:val="28"/>
        </w:rPr>
        <w:t>Prepared by: Siddhi Kumbhar</w:t>
      </w:r>
    </w:p>
    <w:p w14:paraId="48AC80FF" w14:textId="6F68CA25" w:rsidR="00113352" w:rsidRDefault="00C6010C" w:rsidP="00C6010C">
      <w:proofErr w:type="gramStart"/>
      <w:r w:rsidRPr="00291736">
        <w:rPr>
          <w:sz w:val="28"/>
          <w:szCs w:val="28"/>
        </w:rPr>
        <w:t>Date :</w:t>
      </w:r>
      <w:proofErr w:type="gramEnd"/>
      <w:r w:rsidRPr="00291736">
        <w:rPr>
          <w:sz w:val="28"/>
          <w:szCs w:val="28"/>
        </w:rPr>
        <w:t xml:space="preserve"> 11</w:t>
      </w:r>
      <w:r w:rsidRPr="00291736">
        <w:rPr>
          <w:sz w:val="28"/>
          <w:szCs w:val="28"/>
          <w:vertAlign w:val="superscript"/>
        </w:rPr>
        <w:t>th</w:t>
      </w:r>
      <w:r w:rsidRPr="00291736">
        <w:rPr>
          <w:sz w:val="28"/>
          <w:szCs w:val="28"/>
        </w:rPr>
        <w:t xml:space="preserve"> June, 2026</w:t>
      </w:r>
      <w:r w:rsidR="00000000">
        <w:br/>
      </w:r>
    </w:p>
    <w:p w14:paraId="1CDD84DD" w14:textId="77777777" w:rsidR="00113352" w:rsidRDefault="00000000" w:rsidP="00C6010C">
      <w:pPr>
        <w:pStyle w:val="Heading1"/>
        <w:jc w:val="both"/>
      </w:pPr>
      <w:r>
        <w:t>Executive Summary</w:t>
      </w:r>
    </w:p>
    <w:p w14:paraId="793EDE09" w14:textId="77777777" w:rsidR="00113352" w:rsidRDefault="00000000" w:rsidP="00C6010C">
      <w:pPr>
        <w:jc w:val="both"/>
      </w:pPr>
      <w:r>
        <w:t>This project focuses on analyzing mutual fund industry data using Python, SQL, SQLite, and Power BI. The objective was to build an end-to-end analytics solution covering data ingestion, cleaning, exploratory analysis, performance evaluation, risk assessment, and dashboard reporting. The project demonstrates practical data analytics workflows and provides insights into fund performance, investor behavior, SIP trends, and portfolio risk.</w:t>
      </w:r>
    </w:p>
    <w:p w14:paraId="7BD8F19B" w14:textId="77777777" w:rsidR="00113352" w:rsidRDefault="00000000" w:rsidP="00C6010C">
      <w:pPr>
        <w:jc w:val="both"/>
      </w:pPr>
      <w:r>
        <w:t>This project focuses on analyzing mutual fund industry data using Python, SQL, SQLite, and Power BI. The objective was to build an end-to-end analytics solution covering data ingestion, cleaning, exploratory analysis, performance evaluation, risk assessment, and dashboard reporting. The project demonstrates practical data analytics workflows and provides insights into fund performance, investor behavior, SIP trends, and portfolio risk.</w:t>
      </w:r>
    </w:p>
    <w:p w14:paraId="4CB9CEB4" w14:textId="77777777" w:rsidR="00113352" w:rsidRDefault="00000000" w:rsidP="00C6010C">
      <w:pPr>
        <w:jc w:val="both"/>
      </w:pPr>
      <w:r>
        <w:t>This project focuses on analyzing mutual fund industry data using Python, SQL, SQLite, and Power BI. The objective was to build an end-to-end analytics solution covering data ingestion, cleaning, exploratory analysis, performance evaluation, risk assessment, and dashboard reporting. The project demonstrates practical data analytics workflows and provides insights into fund performance, investor behavior, SIP trends, and portfolio risk.</w:t>
      </w:r>
    </w:p>
    <w:p w14:paraId="0F3BB1ED" w14:textId="77777777" w:rsidR="00113352" w:rsidRDefault="00000000" w:rsidP="00C6010C">
      <w:pPr>
        <w:jc w:val="both"/>
      </w:pPr>
      <w:r>
        <w:t>This project focuses on analyzing mutual fund industry data using Python, SQL, SQLite, and Power BI. The objective was to build an end-to-end analytics solution covering data ingestion, cleaning, exploratory analysis, performance evaluation, risk assessment, and dashboard reporting. The project demonstrates practical data analytics workflows and provides insights into fund performance, investor behavior, SIP trends, and portfolio risk.</w:t>
      </w:r>
    </w:p>
    <w:p w14:paraId="00257F1C" w14:textId="77777777" w:rsidR="00113352" w:rsidRDefault="00000000" w:rsidP="00C6010C">
      <w:pPr>
        <w:pStyle w:val="Heading1"/>
        <w:jc w:val="both"/>
      </w:pPr>
      <w:r>
        <w:t>Project Objectives</w:t>
      </w:r>
    </w:p>
    <w:p w14:paraId="3989F684" w14:textId="77777777" w:rsidR="00113352" w:rsidRDefault="00000000" w:rsidP="00C6010C">
      <w:pPr>
        <w:jc w:val="both"/>
      </w:pPr>
      <w:r>
        <w:t>The objectives were to create a data pipeline, clean and validate datasets, build a database schema, perform EDA, calculate performance metrics such as CAGR and Sharpe Ratio, develop advanced risk metrics including VaR and CVaR, and create an interactive Power BI dashboard.</w:t>
      </w:r>
    </w:p>
    <w:p w14:paraId="7CC2F945" w14:textId="77777777" w:rsidR="00113352" w:rsidRDefault="00000000" w:rsidP="00C6010C">
      <w:pPr>
        <w:jc w:val="both"/>
      </w:pPr>
      <w:r>
        <w:lastRenderedPageBreak/>
        <w:t>The objectives were to create a data pipeline, clean and validate datasets, build a database schema, perform EDA, calculate performance metrics such as CAGR and Sharpe Ratio, develop advanced risk metrics including VaR and CVaR, and create an interactive Power BI dashboard.</w:t>
      </w:r>
    </w:p>
    <w:p w14:paraId="5EE1DA0E" w14:textId="77777777" w:rsidR="00113352" w:rsidRDefault="00000000" w:rsidP="00C6010C">
      <w:pPr>
        <w:jc w:val="both"/>
      </w:pPr>
      <w:r>
        <w:t>The objectives were to create a data pipeline, clean and validate datasets, build a database schema, perform EDA, calculate performance metrics such as CAGR and Sharpe Ratio, develop advanced risk metrics including VaR and CVaR, and create an interactive Power BI dashboard.</w:t>
      </w:r>
    </w:p>
    <w:p w14:paraId="19772D05" w14:textId="77777777" w:rsidR="00113352" w:rsidRDefault="00000000" w:rsidP="00C6010C">
      <w:pPr>
        <w:jc w:val="both"/>
      </w:pPr>
      <w:r>
        <w:t>The objectives were to create a data pipeline, clean and validate datasets, build a database schema, perform EDA, calculate performance metrics such as CAGR and Sharpe Ratio, develop advanced risk metrics including VaR and CVaR, and create an interactive Power BI dashboard.</w:t>
      </w:r>
    </w:p>
    <w:p w14:paraId="0C06DBCE" w14:textId="77777777" w:rsidR="00113352" w:rsidRDefault="00000000" w:rsidP="00C6010C">
      <w:pPr>
        <w:pStyle w:val="Heading1"/>
        <w:jc w:val="both"/>
      </w:pPr>
      <w:r>
        <w:t>Data Sources</w:t>
      </w:r>
    </w:p>
    <w:p w14:paraId="7E2B3025" w14:textId="77777777" w:rsidR="00113352" w:rsidRDefault="00000000" w:rsidP="00C6010C">
      <w:pPr>
        <w:jc w:val="both"/>
      </w:pPr>
      <w:r>
        <w:t>The project used datasets including NAV history, investor transactions, scheme performance, AUM by fund house, SIP inflows, category inflows, folio counts, benchmark indices, and portfolio holdings. These datasets represent key aspects of the mutual fund ecosystem.</w:t>
      </w:r>
    </w:p>
    <w:p w14:paraId="59E2F220" w14:textId="77777777" w:rsidR="00113352" w:rsidRDefault="00000000" w:rsidP="00C6010C">
      <w:pPr>
        <w:jc w:val="both"/>
      </w:pPr>
      <w:r>
        <w:t>The project used datasets including NAV history, investor transactions, scheme performance, AUM by fund house, SIP inflows, category inflows, folio counts, benchmark indices, and portfolio holdings. These datasets represent key aspects of the mutual fund ecosystem.</w:t>
      </w:r>
    </w:p>
    <w:p w14:paraId="726FAB09" w14:textId="77777777" w:rsidR="00113352" w:rsidRDefault="00000000" w:rsidP="00C6010C">
      <w:pPr>
        <w:jc w:val="both"/>
      </w:pPr>
      <w:r>
        <w:t>The project used datasets including NAV history, investor transactions, scheme performance, AUM by fund house, SIP inflows, category inflows, folio counts, benchmark indices, and portfolio holdings. These datasets represent key aspects of the mutual fund ecosystem.</w:t>
      </w:r>
    </w:p>
    <w:p w14:paraId="3B1E0505" w14:textId="37EB0F23" w:rsidR="00C6010C" w:rsidRDefault="00000000" w:rsidP="00C6010C">
      <w:pPr>
        <w:jc w:val="both"/>
      </w:pPr>
      <w:r>
        <w:t>The project used datasets including NAV history, investor transactions, scheme performance, AUM by fund house, SIP inflows, category inflows, folio counts, benchmark indices, and portfolio holdings. These datasets represent key aspects of the mutual fund ecosystem.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5"/>
        <w:gridCol w:w="2268"/>
      </w:tblGrid>
      <w:tr w:rsidR="00C6010C" w:rsidRPr="00C6010C" w14:paraId="3C5E129A" w14:textId="77777777" w:rsidTr="00C6010C">
        <w:trPr>
          <w:tblHeader/>
          <w:tblCellSpacing w:w="15" w:type="dxa"/>
        </w:trPr>
        <w:tc>
          <w:tcPr>
            <w:tcW w:w="2420" w:type="dxa"/>
            <w:vAlign w:val="center"/>
            <w:hideMark/>
          </w:tcPr>
          <w:p w14:paraId="6FE594B7" w14:textId="77777777" w:rsidR="00C6010C" w:rsidRPr="00C6010C" w:rsidRDefault="00C6010C" w:rsidP="00C6010C">
            <w:pPr>
              <w:spacing w:after="0"/>
              <w:jc w:val="both"/>
              <w:rPr>
                <w:b/>
                <w:bCs/>
                <w:lang w:val="en-IN"/>
              </w:rPr>
            </w:pPr>
            <w:r w:rsidRPr="00C6010C">
              <w:rPr>
                <w:b/>
                <w:bCs/>
                <w:lang w:val="en-IN"/>
              </w:rPr>
              <w:t>Dataset</w:t>
            </w:r>
          </w:p>
        </w:tc>
        <w:tc>
          <w:tcPr>
            <w:tcW w:w="2223" w:type="dxa"/>
            <w:vAlign w:val="center"/>
            <w:hideMark/>
          </w:tcPr>
          <w:p w14:paraId="55872332" w14:textId="77777777" w:rsidR="00C6010C" w:rsidRPr="00C6010C" w:rsidRDefault="00C6010C" w:rsidP="00C6010C">
            <w:pPr>
              <w:spacing w:after="0"/>
              <w:jc w:val="both"/>
              <w:rPr>
                <w:b/>
                <w:bCs/>
                <w:lang w:val="en-IN"/>
              </w:rPr>
            </w:pPr>
            <w:r w:rsidRPr="00C6010C">
              <w:rPr>
                <w:b/>
                <w:bCs/>
                <w:lang w:val="en-IN"/>
              </w:rPr>
              <w:t>Description</w:t>
            </w:r>
          </w:p>
        </w:tc>
      </w:tr>
      <w:tr w:rsidR="00C6010C" w:rsidRPr="00C6010C" w14:paraId="07DE586E" w14:textId="77777777" w:rsidTr="00C6010C">
        <w:trPr>
          <w:tblCellSpacing w:w="15" w:type="dxa"/>
        </w:trPr>
        <w:tc>
          <w:tcPr>
            <w:tcW w:w="2420" w:type="dxa"/>
            <w:vAlign w:val="center"/>
            <w:hideMark/>
          </w:tcPr>
          <w:p w14:paraId="7FFC64D3" w14:textId="77777777" w:rsidR="00C6010C" w:rsidRPr="00C6010C" w:rsidRDefault="00C6010C" w:rsidP="00C6010C">
            <w:pPr>
              <w:spacing w:after="0"/>
              <w:jc w:val="both"/>
              <w:rPr>
                <w:lang w:val="en-IN"/>
              </w:rPr>
            </w:pPr>
            <w:r w:rsidRPr="00C6010C">
              <w:rPr>
                <w:lang w:val="en-IN"/>
              </w:rPr>
              <w:t>nav_history</w:t>
            </w:r>
          </w:p>
        </w:tc>
        <w:tc>
          <w:tcPr>
            <w:tcW w:w="2223" w:type="dxa"/>
            <w:vAlign w:val="center"/>
            <w:hideMark/>
          </w:tcPr>
          <w:p w14:paraId="10B4EC6A" w14:textId="77777777" w:rsidR="00C6010C" w:rsidRPr="00C6010C" w:rsidRDefault="00C6010C" w:rsidP="00C6010C">
            <w:pPr>
              <w:spacing w:after="0"/>
              <w:jc w:val="both"/>
              <w:rPr>
                <w:lang w:val="en-IN"/>
              </w:rPr>
            </w:pPr>
            <w:r w:rsidRPr="00C6010C">
              <w:rPr>
                <w:lang w:val="en-IN"/>
              </w:rPr>
              <w:t>Daily NAV</w:t>
            </w:r>
          </w:p>
        </w:tc>
      </w:tr>
      <w:tr w:rsidR="00C6010C" w:rsidRPr="00C6010C" w14:paraId="2BE8A709" w14:textId="77777777" w:rsidTr="00C6010C">
        <w:trPr>
          <w:tblCellSpacing w:w="15" w:type="dxa"/>
        </w:trPr>
        <w:tc>
          <w:tcPr>
            <w:tcW w:w="2420" w:type="dxa"/>
            <w:vAlign w:val="center"/>
            <w:hideMark/>
          </w:tcPr>
          <w:p w14:paraId="77F33718" w14:textId="77777777" w:rsidR="00C6010C" w:rsidRPr="00C6010C" w:rsidRDefault="00C6010C" w:rsidP="00C6010C">
            <w:pPr>
              <w:spacing w:after="0"/>
              <w:jc w:val="both"/>
              <w:rPr>
                <w:lang w:val="en-IN"/>
              </w:rPr>
            </w:pPr>
            <w:r w:rsidRPr="00C6010C">
              <w:rPr>
                <w:lang w:val="en-IN"/>
              </w:rPr>
              <w:t>investor_transactions</w:t>
            </w:r>
          </w:p>
        </w:tc>
        <w:tc>
          <w:tcPr>
            <w:tcW w:w="2223" w:type="dxa"/>
            <w:vAlign w:val="center"/>
            <w:hideMark/>
          </w:tcPr>
          <w:p w14:paraId="48958A54" w14:textId="77777777" w:rsidR="00C6010C" w:rsidRPr="00C6010C" w:rsidRDefault="00C6010C" w:rsidP="00C6010C">
            <w:pPr>
              <w:spacing w:after="0"/>
              <w:jc w:val="both"/>
              <w:rPr>
                <w:lang w:val="en-IN"/>
              </w:rPr>
            </w:pPr>
            <w:r w:rsidRPr="00C6010C">
              <w:rPr>
                <w:lang w:val="en-IN"/>
              </w:rPr>
              <w:t>Investor activity</w:t>
            </w:r>
          </w:p>
        </w:tc>
      </w:tr>
      <w:tr w:rsidR="00C6010C" w:rsidRPr="00C6010C" w14:paraId="5756A757" w14:textId="77777777" w:rsidTr="00C6010C">
        <w:trPr>
          <w:tblCellSpacing w:w="15" w:type="dxa"/>
        </w:trPr>
        <w:tc>
          <w:tcPr>
            <w:tcW w:w="2420" w:type="dxa"/>
            <w:vAlign w:val="center"/>
            <w:hideMark/>
          </w:tcPr>
          <w:p w14:paraId="175CDB0A" w14:textId="77777777" w:rsidR="00C6010C" w:rsidRPr="00C6010C" w:rsidRDefault="00C6010C" w:rsidP="00C6010C">
            <w:pPr>
              <w:spacing w:after="0"/>
              <w:jc w:val="both"/>
              <w:rPr>
                <w:lang w:val="en-IN"/>
              </w:rPr>
            </w:pPr>
            <w:r w:rsidRPr="00C6010C">
              <w:rPr>
                <w:lang w:val="en-IN"/>
              </w:rPr>
              <w:t>scheme_performance</w:t>
            </w:r>
          </w:p>
        </w:tc>
        <w:tc>
          <w:tcPr>
            <w:tcW w:w="2223" w:type="dxa"/>
            <w:vAlign w:val="center"/>
            <w:hideMark/>
          </w:tcPr>
          <w:p w14:paraId="604BCF25" w14:textId="77777777" w:rsidR="00C6010C" w:rsidRPr="00C6010C" w:rsidRDefault="00C6010C" w:rsidP="00C6010C">
            <w:pPr>
              <w:spacing w:after="0"/>
              <w:jc w:val="both"/>
              <w:rPr>
                <w:lang w:val="en-IN"/>
              </w:rPr>
            </w:pPr>
            <w:r w:rsidRPr="00C6010C">
              <w:rPr>
                <w:lang w:val="en-IN"/>
              </w:rPr>
              <w:t>Fund metrics</w:t>
            </w:r>
          </w:p>
        </w:tc>
      </w:tr>
      <w:tr w:rsidR="00C6010C" w:rsidRPr="00C6010C" w14:paraId="2C196DC4" w14:textId="77777777" w:rsidTr="00C6010C">
        <w:trPr>
          <w:tblCellSpacing w:w="15" w:type="dxa"/>
        </w:trPr>
        <w:tc>
          <w:tcPr>
            <w:tcW w:w="2420" w:type="dxa"/>
            <w:vAlign w:val="center"/>
            <w:hideMark/>
          </w:tcPr>
          <w:p w14:paraId="325E99D6" w14:textId="77777777" w:rsidR="00C6010C" w:rsidRPr="00C6010C" w:rsidRDefault="00C6010C" w:rsidP="00C6010C">
            <w:pPr>
              <w:spacing w:after="0"/>
              <w:jc w:val="both"/>
              <w:rPr>
                <w:lang w:val="en-IN"/>
              </w:rPr>
            </w:pPr>
            <w:r w:rsidRPr="00C6010C">
              <w:rPr>
                <w:lang w:val="en-IN"/>
              </w:rPr>
              <w:t>portfolio_holdings</w:t>
            </w:r>
          </w:p>
        </w:tc>
        <w:tc>
          <w:tcPr>
            <w:tcW w:w="2223" w:type="dxa"/>
            <w:vAlign w:val="center"/>
            <w:hideMark/>
          </w:tcPr>
          <w:p w14:paraId="7240696D" w14:textId="77777777" w:rsidR="00C6010C" w:rsidRPr="00C6010C" w:rsidRDefault="00C6010C" w:rsidP="00C6010C">
            <w:pPr>
              <w:spacing w:after="0"/>
              <w:jc w:val="both"/>
              <w:rPr>
                <w:lang w:val="en-IN"/>
              </w:rPr>
            </w:pPr>
            <w:r w:rsidRPr="00C6010C">
              <w:rPr>
                <w:lang w:val="en-IN"/>
              </w:rPr>
              <w:t>Sector allocation</w:t>
            </w:r>
          </w:p>
        </w:tc>
      </w:tr>
      <w:tr w:rsidR="00C6010C" w:rsidRPr="00C6010C" w14:paraId="1DFBB037" w14:textId="77777777" w:rsidTr="00C6010C">
        <w:trPr>
          <w:tblCellSpacing w:w="15" w:type="dxa"/>
        </w:trPr>
        <w:tc>
          <w:tcPr>
            <w:tcW w:w="2420" w:type="dxa"/>
            <w:vAlign w:val="center"/>
            <w:hideMark/>
          </w:tcPr>
          <w:p w14:paraId="6694B2B8" w14:textId="77777777" w:rsidR="00C6010C" w:rsidRPr="00C6010C" w:rsidRDefault="00C6010C" w:rsidP="00C6010C">
            <w:pPr>
              <w:spacing w:after="0"/>
              <w:jc w:val="both"/>
              <w:rPr>
                <w:lang w:val="en-IN"/>
              </w:rPr>
            </w:pPr>
            <w:r w:rsidRPr="00C6010C">
              <w:rPr>
                <w:lang w:val="en-IN"/>
              </w:rPr>
              <w:t>monthly_sip_inflows</w:t>
            </w:r>
          </w:p>
        </w:tc>
        <w:tc>
          <w:tcPr>
            <w:tcW w:w="2223" w:type="dxa"/>
            <w:vAlign w:val="center"/>
            <w:hideMark/>
          </w:tcPr>
          <w:p w14:paraId="719937B9" w14:textId="77777777" w:rsidR="00C6010C" w:rsidRPr="00C6010C" w:rsidRDefault="00C6010C" w:rsidP="00C6010C">
            <w:pPr>
              <w:spacing w:after="0"/>
              <w:jc w:val="both"/>
              <w:rPr>
                <w:lang w:val="en-IN"/>
              </w:rPr>
            </w:pPr>
            <w:r w:rsidRPr="00C6010C">
              <w:rPr>
                <w:lang w:val="en-IN"/>
              </w:rPr>
              <w:t>SIP trends</w:t>
            </w:r>
          </w:p>
        </w:tc>
      </w:tr>
    </w:tbl>
    <w:p w14:paraId="4334DF06" w14:textId="77777777" w:rsidR="00C6010C" w:rsidRDefault="00C6010C" w:rsidP="00C6010C">
      <w:pPr>
        <w:jc w:val="both"/>
      </w:pPr>
    </w:p>
    <w:p w14:paraId="6E584438" w14:textId="77777777" w:rsidR="00113352" w:rsidRDefault="00000000" w:rsidP="00C6010C">
      <w:pPr>
        <w:pStyle w:val="Heading1"/>
        <w:jc w:val="both"/>
      </w:pPr>
      <w:r>
        <w:lastRenderedPageBreak/>
        <w:t>ETL Design</w:t>
      </w:r>
    </w:p>
    <w:p w14:paraId="4B3E0B49" w14:textId="77777777" w:rsidR="00113352" w:rsidRDefault="00000000" w:rsidP="00C6010C">
      <w:pPr>
        <w:jc w:val="both"/>
      </w:pPr>
      <w:r>
        <w:t>The ETL process involved extracting CSV data, transforming it through cleaning and validation steps, and loading it into SQLite. Data quality checks included handling missing values, validating numeric fields, standardizing transaction types, and removing duplicates.</w:t>
      </w:r>
    </w:p>
    <w:p w14:paraId="2643BB93" w14:textId="77777777" w:rsidR="00113352" w:rsidRDefault="00000000" w:rsidP="00C6010C">
      <w:pPr>
        <w:jc w:val="both"/>
      </w:pPr>
      <w:r>
        <w:t>The ETL process involved extracting CSV data, transforming it through cleaning and validation steps, and loading it into SQLite. Data quality checks included handling missing values, validating numeric fields, standardizing transaction types, and removing duplicates.</w:t>
      </w:r>
    </w:p>
    <w:p w14:paraId="0F7FB7E5" w14:textId="77777777" w:rsidR="00113352" w:rsidRDefault="00000000" w:rsidP="00C6010C">
      <w:pPr>
        <w:jc w:val="both"/>
      </w:pPr>
      <w:r>
        <w:t>The ETL process involved extracting CSV data, transforming it through cleaning and validation steps, and loading it into SQLite. Data quality checks included handling missing values, validating numeric fields, standardizing transaction types, and removing duplicates.</w:t>
      </w:r>
    </w:p>
    <w:p w14:paraId="31BE763A" w14:textId="77777777" w:rsidR="00113352" w:rsidRDefault="00000000" w:rsidP="00C6010C">
      <w:pPr>
        <w:jc w:val="both"/>
      </w:pPr>
      <w:r>
        <w:t>The ETL process involved extracting CSV data, transforming it through cleaning and validation steps, and loading it into SQLite. Data quality checks included handling missing values, validating numeric fields, standardizing transaction types, and removing duplicates.</w:t>
      </w:r>
    </w:p>
    <w:p w14:paraId="3F8BF00E" w14:textId="77777777" w:rsidR="00C6010C" w:rsidRDefault="00C6010C" w:rsidP="00C6010C">
      <w:pPr>
        <w:spacing w:after="0"/>
        <w:jc w:val="center"/>
      </w:pPr>
      <w:r>
        <w:t>Raw CSV</w:t>
      </w:r>
    </w:p>
    <w:p w14:paraId="7685179C" w14:textId="77777777" w:rsidR="00C6010C" w:rsidRDefault="00C6010C" w:rsidP="00C6010C">
      <w:pPr>
        <w:spacing w:after="0"/>
        <w:jc w:val="center"/>
        <w:rPr>
          <w:rFonts w:hint="eastAsia"/>
        </w:rPr>
      </w:pPr>
      <w:r>
        <w:rPr>
          <w:rFonts w:hint="eastAsia"/>
        </w:rPr>
        <w:t>↓</w:t>
      </w:r>
    </w:p>
    <w:p w14:paraId="6AE7A34C" w14:textId="77777777" w:rsidR="00C6010C" w:rsidRDefault="00C6010C" w:rsidP="00C6010C">
      <w:pPr>
        <w:spacing w:after="0"/>
        <w:jc w:val="center"/>
      </w:pPr>
      <w:r>
        <w:t>Data Cleaning</w:t>
      </w:r>
    </w:p>
    <w:p w14:paraId="53707C8A" w14:textId="77777777" w:rsidR="00C6010C" w:rsidRDefault="00C6010C" w:rsidP="00C6010C">
      <w:pPr>
        <w:spacing w:after="0"/>
        <w:jc w:val="center"/>
        <w:rPr>
          <w:rFonts w:hint="eastAsia"/>
        </w:rPr>
      </w:pPr>
      <w:r>
        <w:rPr>
          <w:rFonts w:hint="eastAsia"/>
        </w:rPr>
        <w:t>↓</w:t>
      </w:r>
    </w:p>
    <w:p w14:paraId="1D66A38F" w14:textId="77777777" w:rsidR="00C6010C" w:rsidRDefault="00C6010C" w:rsidP="00C6010C">
      <w:pPr>
        <w:spacing w:after="0"/>
        <w:jc w:val="center"/>
      </w:pPr>
      <w:r>
        <w:t>SQLite Database</w:t>
      </w:r>
    </w:p>
    <w:p w14:paraId="059D6E3C" w14:textId="77777777" w:rsidR="00C6010C" w:rsidRDefault="00C6010C" w:rsidP="00C6010C">
      <w:pPr>
        <w:spacing w:after="0"/>
        <w:jc w:val="center"/>
        <w:rPr>
          <w:rFonts w:hint="eastAsia"/>
        </w:rPr>
      </w:pPr>
      <w:r>
        <w:rPr>
          <w:rFonts w:hint="eastAsia"/>
        </w:rPr>
        <w:t>↓</w:t>
      </w:r>
    </w:p>
    <w:p w14:paraId="039A99A4" w14:textId="77777777" w:rsidR="00C6010C" w:rsidRDefault="00C6010C" w:rsidP="00C6010C">
      <w:pPr>
        <w:spacing w:after="0"/>
        <w:jc w:val="center"/>
      </w:pPr>
      <w:r>
        <w:t>EDA</w:t>
      </w:r>
    </w:p>
    <w:p w14:paraId="5D04D1A3" w14:textId="77777777" w:rsidR="00C6010C" w:rsidRDefault="00C6010C" w:rsidP="00C6010C">
      <w:pPr>
        <w:spacing w:after="0"/>
        <w:jc w:val="center"/>
        <w:rPr>
          <w:rFonts w:hint="eastAsia"/>
        </w:rPr>
      </w:pPr>
      <w:r>
        <w:rPr>
          <w:rFonts w:hint="eastAsia"/>
        </w:rPr>
        <w:t>↓</w:t>
      </w:r>
    </w:p>
    <w:p w14:paraId="1CEB48BD" w14:textId="77777777" w:rsidR="00C6010C" w:rsidRDefault="00C6010C" w:rsidP="00C6010C">
      <w:pPr>
        <w:spacing w:after="0"/>
        <w:jc w:val="center"/>
      </w:pPr>
      <w:r>
        <w:t>Performance Analytics</w:t>
      </w:r>
    </w:p>
    <w:p w14:paraId="09522B11" w14:textId="77777777" w:rsidR="00C6010C" w:rsidRDefault="00C6010C" w:rsidP="00C6010C">
      <w:pPr>
        <w:spacing w:after="0"/>
        <w:jc w:val="center"/>
        <w:rPr>
          <w:rFonts w:hint="eastAsia"/>
        </w:rPr>
      </w:pPr>
      <w:r>
        <w:rPr>
          <w:rFonts w:hint="eastAsia"/>
        </w:rPr>
        <w:t>↓</w:t>
      </w:r>
    </w:p>
    <w:p w14:paraId="427C3D0B" w14:textId="304AEBB1" w:rsidR="00C6010C" w:rsidRDefault="00C6010C" w:rsidP="00C6010C">
      <w:pPr>
        <w:spacing w:after="0"/>
        <w:jc w:val="center"/>
      </w:pPr>
      <w:r>
        <w:t>Power BI Dashboard</w:t>
      </w:r>
    </w:p>
    <w:p w14:paraId="72CA6516" w14:textId="77777777" w:rsidR="00113352" w:rsidRDefault="00000000" w:rsidP="00C6010C">
      <w:pPr>
        <w:pStyle w:val="Heading1"/>
        <w:jc w:val="both"/>
      </w:pPr>
      <w:r>
        <w:t>Database Design</w:t>
      </w:r>
    </w:p>
    <w:p w14:paraId="5994EAE9" w14:textId="77777777" w:rsidR="00113352" w:rsidRDefault="00000000" w:rsidP="00C6010C">
      <w:pPr>
        <w:jc w:val="both"/>
      </w:pPr>
      <w:r>
        <w:t>A star schema was designed consisting of dimension tables and fact tables. Relationships were established using AMFI codes and dates to support analytical queries and dashboard reporting.</w:t>
      </w:r>
    </w:p>
    <w:p w14:paraId="4104D877" w14:textId="77777777" w:rsidR="00113352" w:rsidRDefault="00000000" w:rsidP="00C6010C">
      <w:pPr>
        <w:jc w:val="both"/>
      </w:pPr>
      <w:r>
        <w:t>A star schema was designed consisting of dimension tables and fact tables. Relationships were established using AMFI codes and dates to support analytical queries and dashboard reporting.</w:t>
      </w:r>
    </w:p>
    <w:p w14:paraId="71F135AE" w14:textId="77777777" w:rsidR="00113352" w:rsidRDefault="00000000" w:rsidP="00C6010C">
      <w:pPr>
        <w:jc w:val="both"/>
      </w:pPr>
      <w:r>
        <w:t>A star schema was designed consisting of dimension tables and fact tables. Relationships were established using AMFI codes and dates to support analytical queries and dashboard reporting.</w:t>
      </w:r>
    </w:p>
    <w:p w14:paraId="4DA535FE" w14:textId="77777777" w:rsidR="00113352" w:rsidRDefault="00000000" w:rsidP="00C6010C">
      <w:pPr>
        <w:jc w:val="both"/>
      </w:pPr>
      <w:r>
        <w:lastRenderedPageBreak/>
        <w:t>A star schema was designed consisting of dimension tables and fact tables. Relationships were established using AMFI codes and dates to support analytical queries and dashboard reporting.</w:t>
      </w:r>
    </w:p>
    <w:p w14:paraId="56152CC3" w14:textId="77777777" w:rsidR="00113352" w:rsidRDefault="00000000" w:rsidP="00C6010C">
      <w:pPr>
        <w:pStyle w:val="Heading1"/>
        <w:jc w:val="both"/>
      </w:pPr>
      <w:r>
        <w:t>Exploratory Data Analysis</w:t>
      </w:r>
    </w:p>
    <w:p w14:paraId="0563065E" w14:textId="77777777" w:rsidR="00113352" w:rsidRDefault="00000000" w:rsidP="00C6010C">
      <w:pPr>
        <w:jc w:val="both"/>
      </w:pPr>
      <w:r>
        <w:t>EDA revealed trends in NAV movement, fund growth, SIP inflows, investor demographics, and geographic distribution. Multiple visualizations were created including line charts, bar charts, heatmaps, correlation matrices, and donut charts.</w:t>
      </w:r>
    </w:p>
    <w:p w14:paraId="42F7E93D" w14:textId="77777777" w:rsidR="00113352" w:rsidRDefault="00000000" w:rsidP="00C6010C">
      <w:pPr>
        <w:jc w:val="both"/>
      </w:pPr>
      <w:r>
        <w:t>EDA revealed trends in NAV movement, fund growth, SIP inflows, investor demographics, and geographic distribution. Multiple visualizations were created including line charts, bar charts, heatmaps, correlation matrices, and donut charts.</w:t>
      </w:r>
    </w:p>
    <w:p w14:paraId="3BBB9FA1" w14:textId="77777777" w:rsidR="00113352" w:rsidRDefault="00000000" w:rsidP="00C6010C">
      <w:pPr>
        <w:jc w:val="both"/>
      </w:pPr>
      <w:r>
        <w:t>EDA revealed trends in NAV movement, fund growth, SIP inflows, investor demographics, and geographic distribution. Multiple visualizations were created including line charts, bar charts, heatmaps, correlation matrices, and donut charts.</w:t>
      </w:r>
    </w:p>
    <w:p w14:paraId="27E7AE7E" w14:textId="77777777" w:rsidR="00113352" w:rsidRDefault="00000000" w:rsidP="00C6010C">
      <w:pPr>
        <w:jc w:val="both"/>
      </w:pPr>
      <w:r>
        <w:t>EDA revealed trends in NAV movement, fund growth, SIP inflows, investor demographics, and geographic distribution. Multiple visualizations were created including line charts, bar charts, heatmaps, correlation matrices, and donut charts.</w:t>
      </w:r>
    </w:p>
    <w:p w14:paraId="7E1DEACA" w14:textId="77777777" w:rsidR="00113352" w:rsidRDefault="00000000" w:rsidP="00C6010C">
      <w:pPr>
        <w:pStyle w:val="Heading1"/>
        <w:jc w:val="both"/>
      </w:pPr>
      <w:r>
        <w:t>NAV Trend Analysis</w:t>
      </w:r>
    </w:p>
    <w:p w14:paraId="5CC55179" w14:textId="77777777" w:rsidR="00113352" w:rsidRDefault="00000000" w:rsidP="00C6010C">
      <w:pPr>
        <w:jc w:val="both"/>
      </w:pPr>
      <w:r>
        <w:t>NAV analysis showed long-term growth trends across schemes. Daily NAV patterns highlighted market expansion periods and corrections, helping identify performance stability.</w:t>
      </w:r>
    </w:p>
    <w:p w14:paraId="18D3862C" w14:textId="77777777" w:rsidR="00113352" w:rsidRDefault="00000000" w:rsidP="00C6010C">
      <w:pPr>
        <w:jc w:val="both"/>
      </w:pPr>
      <w:r>
        <w:t>NAV analysis showed long-term growth trends across schemes. Daily NAV patterns highlighted market expansion periods and corrections, helping identify performance stability.</w:t>
      </w:r>
    </w:p>
    <w:p w14:paraId="05CEF917" w14:textId="77777777" w:rsidR="00113352" w:rsidRDefault="00000000" w:rsidP="00C6010C">
      <w:pPr>
        <w:jc w:val="both"/>
      </w:pPr>
      <w:r>
        <w:t>NAV analysis showed long-term growth trends across schemes. Daily NAV patterns highlighted market expansion periods and corrections, helping identify performance stability.</w:t>
      </w:r>
    </w:p>
    <w:p w14:paraId="7036962F" w14:textId="77777777" w:rsidR="00113352" w:rsidRDefault="00000000" w:rsidP="00C6010C">
      <w:pPr>
        <w:jc w:val="both"/>
      </w:pPr>
      <w:r>
        <w:t>NAV analysis showed long-term growth trends across schemes. Daily NAV patterns highlighted market expansion periods and corrections, helping identify performance stability.</w:t>
      </w:r>
    </w:p>
    <w:p w14:paraId="5C73A1F8" w14:textId="7EBBA83D" w:rsidR="00C6010C" w:rsidRDefault="00C6010C" w:rsidP="00C6010C">
      <w:pPr>
        <w:jc w:val="both"/>
      </w:pPr>
      <w:r>
        <w:rPr>
          <w:noProof/>
        </w:rPr>
        <w:lastRenderedPageBreak/>
        <w:drawing>
          <wp:inline distT="0" distB="0" distL="0" distR="0" wp14:anchorId="00323356" wp14:editId="5574F4AF">
            <wp:extent cx="5200650" cy="2600325"/>
            <wp:effectExtent l="0" t="0" r="0" b="9525"/>
            <wp:docPr id="20859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2704" name="Picture 2085992704"/>
                    <pic:cNvPicPr/>
                  </pic:nvPicPr>
                  <pic:blipFill>
                    <a:blip r:embed="rId6"/>
                    <a:stretch>
                      <a:fillRect/>
                    </a:stretch>
                  </pic:blipFill>
                  <pic:spPr>
                    <a:xfrm>
                      <a:off x="0" y="0"/>
                      <a:ext cx="5206518" cy="2603259"/>
                    </a:xfrm>
                    <a:prstGeom prst="rect">
                      <a:avLst/>
                    </a:prstGeom>
                  </pic:spPr>
                </pic:pic>
              </a:graphicData>
            </a:graphic>
          </wp:inline>
        </w:drawing>
      </w:r>
    </w:p>
    <w:p w14:paraId="42154F4F" w14:textId="216429B4" w:rsidR="00C6010C" w:rsidRDefault="00C6010C" w:rsidP="00C6010C">
      <w:pPr>
        <w:jc w:val="both"/>
      </w:pPr>
      <w:r w:rsidRPr="00C6010C">
        <w:t>NAV values showed consistent growth across most mutual fund schemes from 2022–2026 with temporary corrections during volatile market periods.</w:t>
      </w:r>
    </w:p>
    <w:p w14:paraId="792C7711" w14:textId="77777777" w:rsidR="00113352" w:rsidRDefault="00000000" w:rsidP="00C6010C">
      <w:pPr>
        <w:pStyle w:val="Heading1"/>
        <w:jc w:val="both"/>
      </w:pPr>
      <w:r>
        <w:t>AUM Analysis</w:t>
      </w:r>
    </w:p>
    <w:p w14:paraId="39E0B9E4" w14:textId="77777777" w:rsidR="00113352" w:rsidRDefault="00000000" w:rsidP="00C6010C">
      <w:pPr>
        <w:jc w:val="both"/>
      </w:pPr>
      <w:r>
        <w:t>AUM trends demonstrated growth in mutual fund participation and highlighted leading fund houses. Comparative analysis helped evaluate market dominance and asset concentration.</w:t>
      </w:r>
    </w:p>
    <w:p w14:paraId="7D483D43" w14:textId="77777777" w:rsidR="00113352" w:rsidRDefault="00000000" w:rsidP="00C6010C">
      <w:pPr>
        <w:jc w:val="both"/>
      </w:pPr>
      <w:r>
        <w:t>AUM trends demonstrated growth in mutual fund participation and highlighted leading fund houses. Comparative analysis helped evaluate market dominance and asset concentration.</w:t>
      </w:r>
    </w:p>
    <w:p w14:paraId="57632096" w14:textId="77777777" w:rsidR="00113352" w:rsidRDefault="00000000" w:rsidP="00C6010C">
      <w:pPr>
        <w:jc w:val="both"/>
      </w:pPr>
      <w:r>
        <w:t>AUM trends demonstrated growth in mutual fund participation and highlighted leading fund houses. Comparative analysis helped evaluate market dominance and asset concentration.</w:t>
      </w:r>
    </w:p>
    <w:p w14:paraId="10E5EE0A" w14:textId="77777777" w:rsidR="00113352" w:rsidRDefault="00000000" w:rsidP="00C6010C">
      <w:pPr>
        <w:jc w:val="both"/>
      </w:pPr>
      <w:r>
        <w:t>AUM trends demonstrated growth in mutual fund participation and highlighted leading fund houses. Comparative analysis helped evaluate market dominance and asset concentration.</w:t>
      </w:r>
    </w:p>
    <w:p w14:paraId="5FE9BD6A" w14:textId="77777777" w:rsidR="00113352" w:rsidRDefault="00000000" w:rsidP="00C6010C">
      <w:pPr>
        <w:pStyle w:val="Heading1"/>
        <w:jc w:val="both"/>
      </w:pPr>
      <w:r>
        <w:t>Investor Analytics</w:t>
      </w:r>
    </w:p>
    <w:p w14:paraId="251465CC" w14:textId="77777777" w:rsidR="00113352" w:rsidRDefault="00000000" w:rsidP="00C6010C">
      <w:pPr>
        <w:jc w:val="both"/>
      </w:pPr>
      <w:r>
        <w:t>Investor transaction data was analyzed by state, age group, city tier, and transaction type. Insights indicated variations in investment behavior across demographics and geographies.</w:t>
      </w:r>
    </w:p>
    <w:p w14:paraId="1A92183B" w14:textId="77777777" w:rsidR="00113352" w:rsidRDefault="00000000" w:rsidP="00C6010C">
      <w:pPr>
        <w:jc w:val="both"/>
      </w:pPr>
      <w:r>
        <w:t>Investor transaction data was analyzed by state, age group, city tier, and transaction type. Insights indicated variations in investment behavior across demographics and geographies.</w:t>
      </w:r>
    </w:p>
    <w:p w14:paraId="71B85018" w14:textId="77777777" w:rsidR="00113352" w:rsidRDefault="00000000" w:rsidP="00C6010C">
      <w:pPr>
        <w:jc w:val="both"/>
      </w:pPr>
      <w:r>
        <w:lastRenderedPageBreak/>
        <w:t>Investor transaction data was analyzed by state, age group, city tier, and transaction type. Insights indicated variations in investment behavior across demographics and geographies.</w:t>
      </w:r>
    </w:p>
    <w:p w14:paraId="46E59F8E" w14:textId="77777777" w:rsidR="00113352" w:rsidRDefault="00000000" w:rsidP="00C6010C">
      <w:pPr>
        <w:jc w:val="both"/>
      </w:pPr>
      <w:r>
        <w:t>Investor transaction data was analyzed by state, age group, city tier, and transaction type. Insights indicated variations in investment behavior across demographics and geographies.</w:t>
      </w:r>
    </w:p>
    <w:p w14:paraId="7226E7B8" w14:textId="77777777" w:rsidR="00113352" w:rsidRDefault="00000000" w:rsidP="00C6010C">
      <w:pPr>
        <w:pStyle w:val="Heading1"/>
        <w:jc w:val="both"/>
      </w:pPr>
      <w:r>
        <w:t>Fund Performance Analytics</w:t>
      </w:r>
    </w:p>
    <w:p w14:paraId="59947594" w14:textId="77777777" w:rsidR="00113352" w:rsidRDefault="00000000" w:rsidP="00C6010C">
      <w:pPr>
        <w:jc w:val="both"/>
      </w:pPr>
      <w:r>
        <w:t>Daily returns, CAGR, Sharpe Ratio, Sortino Ratio, Alpha, Beta, and Maximum Drawdown were calculated. These metrics provided a comprehensive view of risk-adjusted performance.</w:t>
      </w:r>
    </w:p>
    <w:p w14:paraId="2F6F92CC" w14:textId="77777777" w:rsidR="00113352" w:rsidRDefault="00000000" w:rsidP="00C6010C">
      <w:pPr>
        <w:jc w:val="both"/>
      </w:pPr>
      <w:r>
        <w:t>Daily returns, CAGR, Sharpe Ratio, Sortino Ratio, Alpha, Beta, and Maximum Drawdown were calculated. These metrics provided a comprehensive view of risk-adjusted performance.</w:t>
      </w:r>
    </w:p>
    <w:p w14:paraId="665F6264" w14:textId="77777777" w:rsidR="00113352" w:rsidRDefault="00000000" w:rsidP="00C6010C">
      <w:pPr>
        <w:jc w:val="both"/>
      </w:pPr>
      <w:r>
        <w:t>Daily returns, CAGR, Sharpe Ratio, Sortino Ratio, Alpha, Beta, and Maximum Drawdown were calculated. These metrics provided a comprehensive view of risk-adjusted performance.</w:t>
      </w:r>
    </w:p>
    <w:p w14:paraId="744E7EB3" w14:textId="77777777" w:rsidR="00113352" w:rsidRDefault="00000000" w:rsidP="00C6010C">
      <w:pPr>
        <w:jc w:val="both"/>
      </w:pPr>
      <w:r>
        <w:t>Daily returns, CAGR, Sharpe Ratio, Sortino Ratio, Alpha, Beta, and Maximum Drawdown were calculated. These metrics provided a comprehensive view of risk-adjusted performance.</w:t>
      </w:r>
    </w:p>
    <w:p w14:paraId="025F9A35" w14:textId="77777777" w:rsidR="00113352" w:rsidRDefault="00000000" w:rsidP="00C6010C">
      <w:pPr>
        <w:pStyle w:val="Heading1"/>
        <w:jc w:val="both"/>
      </w:pPr>
      <w:r>
        <w:t>Risk Metrics</w:t>
      </w:r>
    </w:p>
    <w:p w14:paraId="28AB9C6D" w14:textId="77777777" w:rsidR="00113352" w:rsidRDefault="00000000" w:rsidP="00C6010C">
      <w:pPr>
        <w:jc w:val="both"/>
      </w:pPr>
      <w:r>
        <w:t>Historical VaR and CVaR were computed for all schemes. Rolling Sharpe Ratios provided insight into changing performance over time. Risk analysis helped identify funds with higher downside exposure.</w:t>
      </w:r>
    </w:p>
    <w:p w14:paraId="5A9CCBC7" w14:textId="77777777" w:rsidR="00113352" w:rsidRDefault="00000000" w:rsidP="00C6010C">
      <w:pPr>
        <w:jc w:val="both"/>
      </w:pPr>
      <w:r>
        <w:t>Historical VaR and CVaR were computed for all schemes. Rolling Sharpe Ratios provided insight into changing performance over time. Risk analysis helped identify funds with higher downside exposure.</w:t>
      </w:r>
    </w:p>
    <w:p w14:paraId="4C427B64" w14:textId="77777777" w:rsidR="00113352" w:rsidRDefault="00000000" w:rsidP="00C6010C">
      <w:pPr>
        <w:jc w:val="both"/>
      </w:pPr>
      <w:r>
        <w:t>Historical VaR and CVaR were computed for all schemes. Rolling Sharpe Ratios provided insight into changing performance over time. Risk analysis helped identify funds with higher downside exposure.</w:t>
      </w:r>
    </w:p>
    <w:p w14:paraId="2D848CF6" w14:textId="77777777" w:rsidR="00113352" w:rsidRDefault="00000000" w:rsidP="00C6010C">
      <w:pPr>
        <w:jc w:val="both"/>
      </w:pPr>
      <w:r>
        <w:t>Historical VaR and CVaR were computed for all schemes. Rolling Sharpe Ratios provided insight into changing performance over time. Risk analysis helped identify funds with higher downside exposure.</w:t>
      </w:r>
    </w:p>
    <w:p w14:paraId="512086D8" w14:textId="77777777" w:rsidR="00113352" w:rsidRDefault="00000000" w:rsidP="00C6010C">
      <w:pPr>
        <w:pStyle w:val="Heading1"/>
        <w:jc w:val="both"/>
      </w:pPr>
      <w:r>
        <w:t>Fund Recommender</w:t>
      </w:r>
    </w:p>
    <w:p w14:paraId="67E1DF43" w14:textId="77777777" w:rsidR="00113352" w:rsidRDefault="00000000" w:rsidP="00C6010C">
      <w:pPr>
        <w:jc w:val="both"/>
      </w:pPr>
      <w:r>
        <w:t>A simple recommendation engine was developed using Sharpe Ratio rankings and risk grades. The system recommends suitable funds for different investor risk profiles.</w:t>
      </w:r>
    </w:p>
    <w:p w14:paraId="5F3F0287" w14:textId="77777777" w:rsidR="00113352" w:rsidRDefault="00000000" w:rsidP="00C6010C">
      <w:pPr>
        <w:jc w:val="both"/>
      </w:pPr>
      <w:r>
        <w:lastRenderedPageBreak/>
        <w:t>A simple recommendation engine was developed using Sharpe Ratio rankings and risk grades. The system recommends suitable funds for different investor risk profiles.</w:t>
      </w:r>
    </w:p>
    <w:p w14:paraId="0F50D22F" w14:textId="77777777" w:rsidR="00113352" w:rsidRDefault="00000000" w:rsidP="00C6010C">
      <w:pPr>
        <w:jc w:val="both"/>
      </w:pPr>
      <w:r>
        <w:t>A simple recommendation engine was developed using Sharpe Ratio rankings and risk grades. The system recommends suitable funds for different investor risk profiles.</w:t>
      </w:r>
    </w:p>
    <w:p w14:paraId="2A9C0016" w14:textId="77777777" w:rsidR="00113352" w:rsidRDefault="00000000" w:rsidP="00C6010C">
      <w:pPr>
        <w:jc w:val="both"/>
      </w:pPr>
      <w:r>
        <w:t>A simple recommendation engine was developed using Sharpe Ratio rankings and risk grades. The system recommends suitable funds for different investor risk profiles.</w:t>
      </w:r>
    </w:p>
    <w:p w14:paraId="3DBC0982" w14:textId="77777777" w:rsidR="00113352" w:rsidRDefault="00000000" w:rsidP="00C6010C">
      <w:pPr>
        <w:pStyle w:val="Heading1"/>
        <w:jc w:val="both"/>
      </w:pPr>
      <w:r>
        <w:t>Dashboard Development</w:t>
      </w:r>
    </w:p>
    <w:p w14:paraId="71C59EEF" w14:textId="77777777" w:rsidR="00113352" w:rsidRDefault="00000000" w:rsidP="00C6010C">
      <w:pPr>
        <w:jc w:val="both"/>
      </w:pPr>
      <w:r>
        <w:t>A multi-page Power BI dashboard was developed covering Industry Overview, Fund Performance, Investor Analytics, and SIP Trends. Interactive slicers and visualizations improved usability.</w:t>
      </w:r>
    </w:p>
    <w:p w14:paraId="456F2771" w14:textId="77777777" w:rsidR="00113352" w:rsidRDefault="00000000" w:rsidP="00C6010C">
      <w:pPr>
        <w:jc w:val="both"/>
      </w:pPr>
      <w:r>
        <w:t>A multi-page Power BI dashboard was developed covering Industry Overview, Fund Performance, Investor Analytics, and SIP Trends. Interactive slicers and visualizations improved usability.</w:t>
      </w:r>
    </w:p>
    <w:p w14:paraId="5448F430" w14:textId="77777777" w:rsidR="00113352" w:rsidRDefault="00000000" w:rsidP="00C6010C">
      <w:pPr>
        <w:jc w:val="both"/>
      </w:pPr>
      <w:r>
        <w:t>A multi-page Power BI dashboard was developed covering Industry Overview, Fund Performance, Investor Analytics, and SIP Trends. Interactive slicers and visualizations improved usability.</w:t>
      </w:r>
    </w:p>
    <w:p w14:paraId="0DCCC2FC" w14:textId="77777777" w:rsidR="00113352" w:rsidRDefault="00000000" w:rsidP="00C6010C">
      <w:pPr>
        <w:jc w:val="both"/>
      </w:pPr>
      <w:r>
        <w:t>A multi-page Power BI dashboard was developed covering Industry Overview, Fund Performance, Investor Analytics, and SIP Trends. Interactive slicers and visualizations improved usability.</w:t>
      </w:r>
    </w:p>
    <w:p w14:paraId="1DB25BB1" w14:textId="31D600E7" w:rsidR="00C6010C" w:rsidRDefault="00C6010C" w:rsidP="00C6010C">
      <w:pPr>
        <w:jc w:val="both"/>
      </w:pPr>
      <w:r>
        <w:rPr>
          <w:noProof/>
        </w:rPr>
        <w:drawing>
          <wp:inline distT="0" distB="0" distL="0" distR="0" wp14:anchorId="79ED59B5" wp14:editId="5FBF60F3">
            <wp:extent cx="5486400" cy="2743200"/>
            <wp:effectExtent l="0" t="0" r="0" b="0"/>
            <wp:docPr id="107542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5869" name="Picture 1075425869"/>
                    <pic:cNvPicPr/>
                  </pic:nvPicPr>
                  <pic:blipFill>
                    <a:blip r:embed="rId7"/>
                    <a:stretch>
                      <a:fillRect/>
                    </a:stretch>
                  </pic:blipFill>
                  <pic:spPr>
                    <a:xfrm>
                      <a:off x="0" y="0"/>
                      <a:ext cx="5486400" cy="2743200"/>
                    </a:xfrm>
                    <a:prstGeom prst="rect">
                      <a:avLst/>
                    </a:prstGeom>
                  </pic:spPr>
                </pic:pic>
              </a:graphicData>
            </a:graphic>
          </wp:inline>
        </w:drawing>
      </w:r>
    </w:p>
    <w:p w14:paraId="651FCE53" w14:textId="67276123" w:rsidR="00C6010C" w:rsidRDefault="00C6010C" w:rsidP="00C6010C">
      <w:pPr>
        <w:jc w:val="both"/>
      </w:pPr>
      <w:r w:rsidRPr="00C6010C">
        <w:t>SIP inflows increased steadily, indicating growing retail investor participation.</w:t>
      </w:r>
    </w:p>
    <w:p w14:paraId="122E5ED8" w14:textId="77777777" w:rsidR="00C6010C" w:rsidRDefault="00C6010C" w:rsidP="00C6010C">
      <w:pPr>
        <w:jc w:val="both"/>
      </w:pPr>
    </w:p>
    <w:p w14:paraId="5026021A" w14:textId="4B8119A5" w:rsidR="00C6010C" w:rsidRDefault="00C6010C" w:rsidP="00C6010C">
      <w:pPr>
        <w:jc w:val="both"/>
      </w:pPr>
      <w:r>
        <w:rPr>
          <w:noProof/>
        </w:rPr>
        <w:lastRenderedPageBreak/>
        <w:drawing>
          <wp:inline distT="0" distB="0" distL="0" distR="0" wp14:anchorId="3963BD91" wp14:editId="7F96B641">
            <wp:extent cx="3286125" cy="3286125"/>
            <wp:effectExtent l="0" t="0" r="9525" b="9525"/>
            <wp:docPr id="771884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84748" name="Picture 771884748"/>
                    <pic:cNvPicPr/>
                  </pic:nvPicPr>
                  <pic:blipFill>
                    <a:blip r:embed="rId8"/>
                    <a:stretch>
                      <a:fillRect/>
                    </a:stretch>
                  </pic:blipFill>
                  <pic:spPr>
                    <a:xfrm>
                      <a:off x="0" y="0"/>
                      <a:ext cx="3286125" cy="3286125"/>
                    </a:xfrm>
                    <a:prstGeom prst="rect">
                      <a:avLst/>
                    </a:prstGeom>
                  </pic:spPr>
                </pic:pic>
              </a:graphicData>
            </a:graphic>
          </wp:inline>
        </w:drawing>
      </w:r>
      <w:r>
        <w:rPr>
          <w:noProof/>
        </w:rPr>
        <w:drawing>
          <wp:inline distT="0" distB="0" distL="0" distR="0" wp14:anchorId="32C1ACFA" wp14:editId="6C4A6AE4">
            <wp:extent cx="3114675" cy="3114675"/>
            <wp:effectExtent l="0" t="0" r="9525" b="9525"/>
            <wp:docPr id="1984812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12302" name="Picture 1984812302"/>
                    <pic:cNvPicPr/>
                  </pic:nvPicPr>
                  <pic:blipFill>
                    <a:blip r:embed="rId9"/>
                    <a:stretch>
                      <a:fillRect/>
                    </a:stretch>
                  </pic:blipFill>
                  <pic:spPr>
                    <a:xfrm>
                      <a:off x="0" y="0"/>
                      <a:ext cx="3114682" cy="3114682"/>
                    </a:xfrm>
                    <a:prstGeom prst="rect">
                      <a:avLst/>
                    </a:prstGeom>
                  </pic:spPr>
                </pic:pic>
              </a:graphicData>
            </a:graphic>
          </wp:inline>
        </w:drawing>
      </w:r>
    </w:p>
    <w:p w14:paraId="03C41163" w14:textId="15E4E56A" w:rsidR="00C6010C" w:rsidRDefault="00C6010C" w:rsidP="00C6010C">
      <w:pPr>
        <w:jc w:val="both"/>
      </w:pPr>
      <w:r w:rsidRPr="00C6010C">
        <w:t>Most investors belong to middle-age groups and investment participation is distributed across genders.</w:t>
      </w:r>
    </w:p>
    <w:p w14:paraId="03610675" w14:textId="77777777" w:rsidR="00113352" w:rsidRDefault="00000000" w:rsidP="00C6010C">
      <w:pPr>
        <w:pStyle w:val="Heading1"/>
        <w:jc w:val="both"/>
      </w:pPr>
      <w:r>
        <w:t>Key Findings</w:t>
      </w:r>
    </w:p>
    <w:p w14:paraId="3C415FDD" w14:textId="77777777" w:rsidR="00113352" w:rsidRDefault="00000000" w:rsidP="00C6010C">
      <w:pPr>
        <w:jc w:val="both"/>
      </w:pPr>
      <w:r>
        <w:t>The project identified top-performing funds, investor trends, risk concentrations, and category-level inflow patterns. Results highlighted the importance of diversification and risk-adjusted performance measures.</w:t>
      </w:r>
    </w:p>
    <w:p w14:paraId="33078551" w14:textId="77777777" w:rsidR="00113352" w:rsidRDefault="00000000" w:rsidP="00C6010C">
      <w:pPr>
        <w:jc w:val="both"/>
      </w:pPr>
      <w:r>
        <w:lastRenderedPageBreak/>
        <w:t>The project identified top-performing funds, investor trends, risk concentrations, and category-level inflow patterns. Results highlighted the importance of diversification and risk-adjusted performance measures.</w:t>
      </w:r>
    </w:p>
    <w:p w14:paraId="42923AB5" w14:textId="77777777" w:rsidR="00113352" w:rsidRDefault="00000000" w:rsidP="00C6010C">
      <w:pPr>
        <w:jc w:val="both"/>
      </w:pPr>
      <w:r>
        <w:t>The project identified top-performing funds, investor trends, risk concentrations, and category-level inflow patterns. Results highlighted the importance of diversification and risk-adjusted performance measures.</w:t>
      </w:r>
    </w:p>
    <w:p w14:paraId="7EE31A20" w14:textId="77777777" w:rsidR="00113352" w:rsidRDefault="00000000" w:rsidP="00C6010C">
      <w:pPr>
        <w:jc w:val="both"/>
      </w:pPr>
      <w:r>
        <w:t>The project identified top-performing funds, investor trends, risk concentrations, and category-level inflow patterns. Results highlighted the importance of diversification and risk-adjusted performance measures.</w:t>
      </w:r>
    </w:p>
    <w:p w14:paraId="3F021A9C" w14:textId="45395E31" w:rsidR="00C6010C" w:rsidRDefault="00C6010C" w:rsidP="00C6010C">
      <w:pPr>
        <w:jc w:val="both"/>
      </w:pPr>
      <w:r>
        <w:rPr>
          <w:noProof/>
        </w:rPr>
        <w:drawing>
          <wp:inline distT="0" distB="0" distL="0" distR="0" wp14:anchorId="44DF504C" wp14:editId="0154BD77">
            <wp:extent cx="4429125" cy="3543300"/>
            <wp:effectExtent l="0" t="0" r="9525" b="0"/>
            <wp:docPr id="626777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7218" name="Picture 626777218"/>
                    <pic:cNvPicPr/>
                  </pic:nvPicPr>
                  <pic:blipFill>
                    <a:blip r:embed="rId10"/>
                    <a:stretch>
                      <a:fillRect/>
                    </a:stretch>
                  </pic:blipFill>
                  <pic:spPr>
                    <a:xfrm>
                      <a:off x="0" y="0"/>
                      <a:ext cx="4431138" cy="3544910"/>
                    </a:xfrm>
                    <a:prstGeom prst="rect">
                      <a:avLst/>
                    </a:prstGeom>
                  </pic:spPr>
                </pic:pic>
              </a:graphicData>
            </a:graphic>
          </wp:inline>
        </w:drawing>
      </w:r>
    </w:p>
    <w:p w14:paraId="18E8BC4E" w14:textId="3806D52C" w:rsidR="00C6010C" w:rsidRDefault="00C6010C" w:rsidP="00C6010C">
      <w:pPr>
        <w:jc w:val="both"/>
      </w:pPr>
      <w:r w:rsidRPr="00C6010C">
        <w:t>Correlation analysis shows relationships among selected mutual fund schemes.</w:t>
      </w:r>
    </w:p>
    <w:p w14:paraId="739B6EB4" w14:textId="7B5214D4" w:rsidR="00291736" w:rsidRDefault="00291736" w:rsidP="00C6010C">
      <w:pPr>
        <w:jc w:val="both"/>
      </w:pPr>
      <w:r>
        <w:rPr>
          <w:noProof/>
        </w:rPr>
        <w:lastRenderedPageBreak/>
        <w:drawing>
          <wp:inline distT="0" distB="0" distL="0" distR="0" wp14:anchorId="16F60DA4" wp14:editId="587A7996">
            <wp:extent cx="5486400" cy="2743200"/>
            <wp:effectExtent l="0" t="0" r="0" b="0"/>
            <wp:docPr id="767104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04195" name="Picture 767104195"/>
                    <pic:cNvPicPr/>
                  </pic:nvPicPr>
                  <pic:blipFill>
                    <a:blip r:embed="rId11"/>
                    <a:stretch>
                      <a:fillRect/>
                    </a:stretch>
                  </pic:blipFill>
                  <pic:spPr>
                    <a:xfrm>
                      <a:off x="0" y="0"/>
                      <a:ext cx="5486400" cy="2743200"/>
                    </a:xfrm>
                    <a:prstGeom prst="rect">
                      <a:avLst/>
                    </a:prstGeom>
                  </pic:spPr>
                </pic:pic>
              </a:graphicData>
            </a:graphic>
          </wp:inline>
        </w:drawing>
      </w:r>
    </w:p>
    <w:p w14:paraId="63578BD9" w14:textId="52B4B088" w:rsidR="00291736" w:rsidRDefault="00291736" w:rsidP="00C6010C">
      <w:pPr>
        <w:jc w:val="both"/>
      </w:pPr>
      <w:r w:rsidRPr="00291736">
        <w:t>Top-performing funds were compared against benchmark indices to evaluate excess returns.</w:t>
      </w:r>
    </w:p>
    <w:tbl>
      <w:tblPr>
        <w:tblW w:w="16950" w:type="dxa"/>
        <w:tblInd w:w="-1800" w:type="dxa"/>
        <w:tblLook w:val="04A0" w:firstRow="1" w:lastRow="0" w:firstColumn="1" w:lastColumn="0" w:noHBand="0" w:noVBand="1"/>
      </w:tblPr>
      <w:tblGrid>
        <w:gridCol w:w="1159"/>
        <w:gridCol w:w="1062"/>
        <w:gridCol w:w="1053"/>
        <w:gridCol w:w="1053"/>
        <w:gridCol w:w="1357"/>
        <w:gridCol w:w="1383"/>
        <w:gridCol w:w="1662"/>
        <w:gridCol w:w="1291"/>
        <w:gridCol w:w="1333"/>
        <w:gridCol w:w="1358"/>
        <w:gridCol w:w="3018"/>
        <w:gridCol w:w="1221"/>
      </w:tblGrid>
      <w:tr w:rsidR="00291736" w:rsidRPr="00291736" w14:paraId="0C9D5644" w14:textId="77777777" w:rsidTr="00291736">
        <w:trPr>
          <w:trHeight w:val="288"/>
        </w:trPr>
        <w:tc>
          <w:tcPr>
            <w:tcW w:w="1159" w:type="dxa"/>
            <w:tcBorders>
              <w:top w:val="nil"/>
              <w:left w:val="nil"/>
              <w:bottom w:val="nil"/>
              <w:right w:val="nil"/>
            </w:tcBorders>
            <w:noWrap/>
            <w:vAlign w:val="bottom"/>
            <w:hideMark/>
          </w:tcPr>
          <w:p w14:paraId="551C32A3"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amfi_code</w:t>
            </w:r>
          </w:p>
        </w:tc>
        <w:tc>
          <w:tcPr>
            <w:tcW w:w="1062" w:type="dxa"/>
            <w:tcBorders>
              <w:top w:val="nil"/>
              <w:left w:val="nil"/>
              <w:bottom w:val="nil"/>
              <w:right w:val="nil"/>
            </w:tcBorders>
            <w:noWrap/>
            <w:vAlign w:val="bottom"/>
            <w:hideMark/>
          </w:tcPr>
          <w:p w14:paraId="35CF830A"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start_nav</w:t>
            </w:r>
          </w:p>
        </w:tc>
        <w:tc>
          <w:tcPr>
            <w:tcW w:w="1053" w:type="dxa"/>
            <w:tcBorders>
              <w:top w:val="nil"/>
              <w:left w:val="nil"/>
              <w:bottom w:val="nil"/>
              <w:right w:val="nil"/>
            </w:tcBorders>
            <w:noWrap/>
            <w:vAlign w:val="bottom"/>
            <w:hideMark/>
          </w:tcPr>
          <w:p w14:paraId="74E2D8B7"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end_nav</w:t>
            </w:r>
          </w:p>
        </w:tc>
        <w:tc>
          <w:tcPr>
            <w:tcW w:w="1053" w:type="dxa"/>
            <w:tcBorders>
              <w:top w:val="nil"/>
              <w:left w:val="nil"/>
              <w:bottom w:val="nil"/>
              <w:right w:val="nil"/>
            </w:tcBorders>
            <w:noWrap/>
            <w:vAlign w:val="bottom"/>
            <w:hideMark/>
          </w:tcPr>
          <w:p w14:paraId="3DA0ECA0"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cagr</w:t>
            </w:r>
          </w:p>
        </w:tc>
        <w:tc>
          <w:tcPr>
            <w:tcW w:w="1357" w:type="dxa"/>
            <w:tcBorders>
              <w:top w:val="nil"/>
              <w:left w:val="nil"/>
              <w:bottom w:val="nil"/>
              <w:right w:val="nil"/>
            </w:tcBorders>
            <w:noWrap/>
            <w:vAlign w:val="bottom"/>
            <w:hideMark/>
          </w:tcPr>
          <w:p w14:paraId="61A2919C"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sharpe_ratio</w:t>
            </w:r>
          </w:p>
        </w:tc>
        <w:tc>
          <w:tcPr>
            <w:tcW w:w="1383" w:type="dxa"/>
            <w:tcBorders>
              <w:top w:val="nil"/>
              <w:left w:val="nil"/>
              <w:bottom w:val="nil"/>
              <w:right w:val="nil"/>
            </w:tcBorders>
            <w:noWrap/>
            <w:vAlign w:val="bottom"/>
            <w:hideMark/>
          </w:tcPr>
          <w:p w14:paraId="34B9058F"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sortino_ratio</w:t>
            </w:r>
          </w:p>
        </w:tc>
        <w:tc>
          <w:tcPr>
            <w:tcW w:w="1662" w:type="dxa"/>
            <w:tcBorders>
              <w:top w:val="nil"/>
              <w:left w:val="nil"/>
              <w:bottom w:val="nil"/>
              <w:right w:val="nil"/>
            </w:tcBorders>
            <w:noWrap/>
            <w:vAlign w:val="bottom"/>
            <w:hideMark/>
          </w:tcPr>
          <w:p w14:paraId="39170A67"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max_drawdown</w:t>
            </w:r>
          </w:p>
        </w:tc>
        <w:tc>
          <w:tcPr>
            <w:tcW w:w="1291" w:type="dxa"/>
            <w:tcBorders>
              <w:top w:val="nil"/>
              <w:left w:val="nil"/>
              <w:bottom w:val="nil"/>
              <w:right w:val="nil"/>
            </w:tcBorders>
            <w:noWrap/>
            <w:vAlign w:val="bottom"/>
            <w:hideMark/>
          </w:tcPr>
          <w:p w14:paraId="43F6E7E3"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return_rank</w:t>
            </w:r>
          </w:p>
        </w:tc>
        <w:tc>
          <w:tcPr>
            <w:tcW w:w="1333" w:type="dxa"/>
            <w:tcBorders>
              <w:top w:val="nil"/>
              <w:left w:val="nil"/>
              <w:bottom w:val="nil"/>
              <w:right w:val="nil"/>
            </w:tcBorders>
            <w:noWrap/>
            <w:vAlign w:val="bottom"/>
            <w:hideMark/>
          </w:tcPr>
          <w:p w14:paraId="722ABA77"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sharpe_rank</w:t>
            </w:r>
          </w:p>
        </w:tc>
        <w:tc>
          <w:tcPr>
            <w:tcW w:w="1358" w:type="dxa"/>
            <w:tcBorders>
              <w:top w:val="nil"/>
              <w:left w:val="nil"/>
              <w:bottom w:val="nil"/>
              <w:right w:val="nil"/>
            </w:tcBorders>
            <w:noWrap/>
            <w:vAlign w:val="bottom"/>
            <w:hideMark/>
          </w:tcPr>
          <w:p w14:paraId="6C40609D"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sortino_rank</w:t>
            </w:r>
          </w:p>
        </w:tc>
        <w:tc>
          <w:tcPr>
            <w:tcW w:w="3018" w:type="dxa"/>
            <w:tcBorders>
              <w:top w:val="nil"/>
              <w:left w:val="nil"/>
              <w:bottom w:val="nil"/>
              <w:right w:val="nil"/>
            </w:tcBorders>
            <w:noWrap/>
            <w:vAlign w:val="bottom"/>
            <w:hideMark/>
          </w:tcPr>
          <w:p w14:paraId="7CC74AC3"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drawdown_rank</w:t>
            </w:r>
          </w:p>
        </w:tc>
        <w:tc>
          <w:tcPr>
            <w:tcW w:w="1221" w:type="dxa"/>
            <w:tcBorders>
              <w:top w:val="nil"/>
              <w:left w:val="nil"/>
              <w:bottom w:val="nil"/>
              <w:right w:val="nil"/>
            </w:tcBorders>
            <w:noWrap/>
            <w:vAlign w:val="bottom"/>
            <w:hideMark/>
          </w:tcPr>
          <w:p w14:paraId="048C120E" w14:textId="77777777" w:rsidR="00291736" w:rsidRPr="00291736" w:rsidRDefault="00291736" w:rsidP="00291736">
            <w:pPr>
              <w:spacing w:after="0" w:line="240" w:lineRule="auto"/>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fund_score</w:t>
            </w:r>
          </w:p>
        </w:tc>
      </w:tr>
      <w:tr w:rsidR="00291736" w:rsidRPr="00291736" w14:paraId="04156AD3" w14:textId="77777777" w:rsidTr="00291736">
        <w:trPr>
          <w:trHeight w:val="288"/>
        </w:trPr>
        <w:tc>
          <w:tcPr>
            <w:tcW w:w="1159" w:type="dxa"/>
            <w:tcBorders>
              <w:top w:val="nil"/>
              <w:left w:val="nil"/>
              <w:bottom w:val="nil"/>
              <w:right w:val="nil"/>
            </w:tcBorders>
            <w:noWrap/>
            <w:vAlign w:val="bottom"/>
            <w:hideMark/>
          </w:tcPr>
          <w:p w14:paraId="0B03248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120505</w:t>
            </w:r>
          </w:p>
        </w:tc>
        <w:tc>
          <w:tcPr>
            <w:tcW w:w="1062" w:type="dxa"/>
            <w:tcBorders>
              <w:top w:val="nil"/>
              <w:left w:val="nil"/>
              <w:bottom w:val="nil"/>
              <w:right w:val="nil"/>
            </w:tcBorders>
            <w:noWrap/>
            <w:vAlign w:val="bottom"/>
            <w:hideMark/>
          </w:tcPr>
          <w:p w14:paraId="129C2C6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135.872</w:t>
            </w:r>
          </w:p>
        </w:tc>
        <w:tc>
          <w:tcPr>
            <w:tcW w:w="1053" w:type="dxa"/>
            <w:tcBorders>
              <w:top w:val="nil"/>
              <w:left w:val="nil"/>
              <w:bottom w:val="nil"/>
              <w:right w:val="nil"/>
            </w:tcBorders>
            <w:noWrap/>
            <w:vAlign w:val="bottom"/>
            <w:hideMark/>
          </w:tcPr>
          <w:p w14:paraId="0C5F2B9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473.764</w:t>
            </w:r>
          </w:p>
        </w:tc>
        <w:tc>
          <w:tcPr>
            <w:tcW w:w="1053" w:type="dxa"/>
            <w:tcBorders>
              <w:top w:val="nil"/>
              <w:left w:val="nil"/>
              <w:bottom w:val="nil"/>
              <w:right w:val="nil"/>
            </w:tcBorders>
            <w:noWrap/>
            <w:vAlign w:val="bottom"/>
            <w:hideMark/>
          </w:tcPr>
          <w:p w14:paraId="3A188CC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0.366495</w:t>
            </w:r>
          </w:p>
        </w:tc>
        <w:tc>
          <w:tcPr>
            <w:tcW w:w="1357" w:type="dxa"/>
            <w:tcBorders>
              <w:top w:val="nil"/>
              <w:left w:val="nil"/>
              <w:bottom w:val="nil"/>
              <w:right w:val="nil"/>
            </w:tcBorders>
            <w:noWrap/>
            <w:vAlign w:val="bottom"/>
            <w:hideMark/>
          </w:tcPr>
          <w:p w14:paraId="5ADDCCB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1.180101</w:t>
            </w:r>
          </w:p>
        </w:tc>
        <w:tc>
          <w:tcPr>
            <w:tcW w:w="1383" w:type="dxa"/>
            <w:tcBorders>
              <w:top w:val="nil"/>
              <w:left w:val="nil"/>
              <w:bottom w:val="nil"/>
              <w:right w:val="nil"/>
            </w:tcBorders>
            <w:noWrap/>
            <w:vAlign w:val="bottom"/>
            <w:hideMark/>
          </w:tcPr>
          <w:p w14:paraId="0A027BB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2.029353</w:t>
            </w:r>
          </w:p>
        </w:tc>
        <w:tc>
          <w:tcPr>
            <w:tcW w:w="1662" w:type="dxa"/>
            <w:tcBorders>
              <w:top w:val="nil"/>
              <w:left w:val="nil"/>
              <w:bottom w:val="nil"/>
              <w:right w:val="nil"/>
            </w:tcBorders>
            <w:noWrap/>
            <w:vAlign w:val="bottom"/>
            <w:hideMark/>
          </w:tcPr>
          <w:p w14:paraId="1C50038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-0.18189</w:t>
            </w:r>
          </w:p>
        </w:tc>
        <w:tc>
          <w:tcPr>
            <w:tcW w:w="1291" w:type="dxa"/>
            <w:tcBorders>
              <w:top w:val="nil"/>
              <w:left w:val="nil"/>
              <w:bottom w:val="nil"/>
              <w:right w:val="nil"/>
            </w:tcBorders>
            <w:noWrap/>
            <w:vAlign w:val="bottom"/>
            <w:hideMark/>
          </w:tcPr>
          <w:p w14:paraId="44A41DC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w:t>
            </w:r>
          </w:p>
        </w:tc>
        <w:tc>
          <w:tcPr>
            <w:tcW w:w="1333" w:type="dxa"/>
            <w:tcBorders>
              <w:top w:val="nil"/>
              <w:left w:val="nil"/>
              <w:bottom w:val="nil"/>
              <w:right w:val="nil"/>
            </w:tcBorders>
            <w:noWrap/>
            <w:vAlign w:val="bottom"/>
            <w:hideMark/>
          </w:tcPr>
          <w:p w14:paraId="6717E71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w:t>
            </w:r>
          </w:p>
        </w:tc>
        <w:tc>
          <w:tcPr>
            <w:tcW w:w="1358" w:type="dxa"/>
            <w:tcBorders>
              <w:top w:val="nil"/>
              <w:left w:val="nil"/>
              <w:bottom w:val="nil"/>
              <w:right w:val="nil"/>
            </w:tcBorders>
            <w:noWrap/>
            <w:vAlign w:val="bottom"/>
            <w:hideMark/>
          </w:tcPr>
          <w:p w14:paraId="1B0917E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w:t>
            </w:r>
          </w:p>
        </w:tc>
        <w:tc>
          <w:tcPr>
            <w:tcW w:w="3018" w:type="dxa"/>
            <w:tcBorders>
              <w:top w:val="nil"/>
              <w:left w:val="nil"/>
              <w:bottom w:val="nil"/>
              <w:right w:val="nil"/>
            </w:tcBorders>
            <w:noWrap/>
            <w:vAlign w:val="bottom"/>
            <w:hideMark/>
          </w:tcPr>
          <w:p w14:paraId="46E5C0E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16</w:t>
            </w:r>
          </w:p>
        </w:tc>
        <w:tc>
          <w:tcPr>
            <w:tcW w:w="1221" w:type="dxa"/>
            <w:tcBorders>
              <w:top w:val="nil"/>
              <w:left w:val="nil"/>
              <w:bottom w:val="nil"/>
              <w:right w:val="nil"/>
            </w:tcBorders>
            <w:noWrap/>
            <w:vAlign w:val="bottom"/>
            <w:hideMark/>
          </w:tcPr>
          <w:p w14:paraId="7725E6D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4.5</w:t>
            </w:r>
          </w:p>
        </w:tc>
      </w:tr>
      <w:tr w:rsidR="00291736" w:rsidRPr="00291736" w14:paraId="4E9589E7" w14:textId="77777777" w:rsidTr="00291736">
        <w:trPr>
          <w:trHeight w:val="288"/>
        </w:trPr>
        <w:tc>
          <w:tcPr>
            <w:tcW w:w="1159" w:type="dxa"/>
            <w:tcBorders>
              <w:top w:val="nil"/>
              <w:left w:val="nil"/>
              <w:bottom w:val="nil"/>
              <w:right w:val="nil"/>
            </w:tcBorders>
            <w:noWrap/>
            <w:vAlign w:val="bottom"/>
            <w:hideMark/>
          </w:tcPr>
          <w:p w14:paraId="44AFD46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148569</w:t>
            </w:r>
          </w:p>
        </w:tc>
        <w:tc>
          <w:tcPr>
            <w:tcW w:w="1062" w:type="dxa"/>
            <w:tcBorders>
              <w:top w:val="nil"/>
              <w:left w:val="nil"/>
              <w:bottom w:val="nil"/>
              <w:right w:val="nil"/>
            </w:tcBorders>
            <w:noWrap/>
            <w:vAlign w:val="bottom"/>
            <w:hideMark/>
          </w:tcPr>
          <w:p w14:paraId="2875472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28.862</w:t>
            </w:r>
          </w:p>
        </w:tc>
        <w:tc>
          <w:tcPr>
            <w:tcW w:w="1053" w:type="dxa"/>
            <w:tcBorders>
              <w:top w:val="nil"/>
              <w:left w:val="nil"/>
              <w:bottom w:val="nil"/>
              <w:right w:val="nil"/>
            </w:tcBorders>
            <w:noWrap/>
            <w:vAlign w:val="bottom"/>
            <w:hideMark/>
          </w:tcPr>
          <w:p w14:paraId="36371F5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97.7435</w:t>
            </w:r>
          </w:p>
        </w:tc>
        <w:tc>
          <w:tcPr>
            <w:tcW w:w="1053" w:type="dxa"/>
            <w:tcBorders>
              <w:top w:val="nil"/>
              <w:left w:val="nil"/>
              <w:bottom w:val="nil"/>
              <w:right w:val="nil"/>
            </w:tcBorders>
            <w:noWrap/>
            <w:vAlign w:val="bottom"/>
            <w:hideMark/>
          </w:tcPr>
          <w:p w14:paraId="7BBA690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0.356564</w:t>
            </w:r>
          </w:p>
        </w:tc>
        <w:tc>
          <w:tcPr>
            <w:tcW w:w="1357" w:type="dxa"/>
            <w:tcBorders>
              <w:top w:val="nil"/>
              <w:left w:val="nil"/>
              <w:bottom w:val="nil"/>
              <w:right w:val="nil"/>
            </w:tcBorders>
            <w:noWrap/>
            <w:vAlign w:val="bottom"/>
            <w:hideMark/>
          </w:tcPr>
          <w:p w14:paraId="395D221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1.23493</w:t>
            </w:r>
          </w:p>
        </w:tc>
        <w:tc>
          <w:tcPr>
            <w:tcW w:w="1383" w:type="dxa"/>
            <w:tcBorders>
              <w:top w:val="nil"/>
              <w:left w:val="nil"/>
              <w:bottom w:val="nil"/>
              <w:right w:val="nil"/>
            </w:tcBorders>
            <w:noWrap/>
            <w:vAlign w:val="bottom"/>
            <w:hideMark/>
          </w:tcPr>
          <w:p w14:paraId="44F29F4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2.146914</w:t>
            </w:r>
          </w:p>
        </w:tc>
        <w:tc>
          <w:tcPr>
            <w:tcW w:w="1662" w:type="dxa"/>
            <w:tcBorders>
              <w:top w:val="nil"/>
              <w:left w:val="nil"/>
              <w:bottom w:val="nil"/>
              <w:right w:val="nil"/>
            </w:tcBorders>
            <w:noWrap/>
            <w:vAlign w:val="bottom"/>
            <w:hideMark/>
          </w:tcPr>
          <w:p w14:paraId="2AD46FF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-0.16397</w:t>
            </w:r>
          </w:p>
        </w:tc>
        <w:tc>
          <w:tcPr>
            <w:tcW w:w="1291" w:type="dxa"/>
            <w:tcBorders>
              <w:top w:val="nil"/>
              <w:left w:val="nil"/>
              <w:bottom w:val="nil"/>
              <w:right w:val="nil"/>
            </w:tcBorders>
            <w:noWrap/>
            <w:vAlign w:val="bottom"/>
            <w:hideMark/>
          </w:tcPr>
          <w:p w14:paraId="32D7E0B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w:t>
            </w:r>
          </w:p>
        </w:tc>
        <w:tc>
          <w:tcPr>
            <w:tcW w:w="1333" w:type="dxa"/>
            <w:tcBorders>
              <w:top w:val="nil"/>
              <w:left w:val="nil"/>
              <w:bottom w:val="nil"/>
              <w:right w:val="nil"/>
            </w:tcBorders>
            <w:noWrap/>
            <w:vAlign w:val="bottom"/>
            <w:hideMark/>
          </w:tcPr>
          <w:p w14:paraId="1ED3EC93"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w:t>
            </w:r>
          </w:p>
        </w:tc>
        <w:tc>
          <w:tcPr>
            <w:tcW w:w="1358" w:type="dxa"/>
            <w:tcBorders>
              <w:top w:val="nil"/>
              <w:left w:val="nil"/>
              <w:bottom w:val="nil"/>
              <w:right w:val="nil"/>
            </w:tcBorders>
            <w:noWrap/>
            <w:vAlign w:val="bottom"/>
            <w:hideMark/>
          </w:tcPr>
          <w:p w14:paraId="43278A0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w:t>
            </w:r>
          </w:p>
        </w:tc>
        <w:tc>
          <w:tcPr>
            <w:tcW w:w="3018" w:type="dxa"/>
            <w:tcBorders>
              <w:top w:val="nil"/>
              <w:left w:val="nil"/>
              <w:bottom w:val="nil"/>
              <w:right w:val="nil"/>
            </w:tcBorders>
            <w:noWrap/>
            <w:vAlign w:val="bottom"/>
            <w:hideMark/>
          </w:tcPr>
          <w:p w14:paraId="5EE8464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20</w:t>
            </w:r>
          </w:p>
        </w:tc>
        <w:tc>
          <w:tcPr>
            <w:tcW w:w="1221" w:type="dxa"/>
            <w:tcBorders>
              <w:top w:val="nil"/>
              <w:left w:val="nil"/>
              <w:bottom w:val="nil"/>
              <w:right w:val="nil"/>
            </w:tcBorders>
            <w:noWrap/>
            <w:vAlign w:val="bottom"/>
            <w:hideMark/>
          </w:tcPr>
          <w:p w14:paraId="0FDDE48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5.1</w:t>
            </w:r>
          </w:p>
        </w:tc>
      </w:tr>
      <w:tr w:rsidR="00291736" w:rsidRPr="00291736" w14:paraId="4D76FAF5" w14:textId="77777777" w:rsidTr="00291736">
        <w:trPr>
          <w:trHeight w:val="288"/>
        </w:trPr>
        <w:tc>
          <w:tcPr>
            <w:tcW w:w="1159" w:type="dxa"/>
            <w:tcBorders>
              <w:top w:val="nil"/>
              <w:left w:val="nil"/>
              <w:bottom w:val="nil"/>
              <w:right w:val="nil"/>
            </w:tcBorders>
            <w:noWrap/>
            <w:vAlign w:val="bottom"/>
            <w:hideMark/>
          </w:tcPr>
          <w:p w14:paraId="59D841DA"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148567</w:t>
            </w:r>
          </w:p>
        </w:tc>
        <w:tc>
          <w:tcPr>
            <w:tcW w:w="1062" w:type="dxa"/>
            <w:tcBorders>
              <w:top w:val="nil"/>
              <w:left w:val="nil"/>
              <w:bottom w:val="nil"/>
              <w:right w:val="nil"/>
            </w:tcBorders>
            <w:noWrap/>
            <w:vAlign w:val="bottom"/>
            <w:hideMark/>
          </w:tcPr>
          <w:p w14:paraId="5863275A"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70.2514</w:t>
            </w:r>
          </w:p>
        </w:tc>
        <w:tc>
          <w:tcPr>
            <w:tcW w:w="1053" w:type="dxa"/>
            <w:tcBorders>
              <w:top w:val="nil"/>
              <w:left w:val="nil"/>
              <w:bottom w:val="nil"/>
              <w:right w:val="nil"/>
            </w:tcBorders>
            <w:noWrap/>
            <w:vAlign w:val="bottom"/>
            <w:hideMark/>
          </w:tcPr>
          <w:p w14:paraId="6EE99BC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230.2708</w:t>
            </w:r>
          </w:p>
        </w:tc>
        <w:tc>
          <w:tcPr>
            <w:tcW w:w="1053" w:type="dxa"/>
            <w:tcBorders>
              <w:top w:val="nil"/>
              <w:left w:val="nil"/>
              <w:bottom w:val="nil"/>
              <w:right w:val="nil"/>
            </w:tcBorders>
            <w:noWrap/>
            <w:vAlign w:val="bottom"/>
            <w:hideMark/>
          </w:tcPr>
          <w:p w14:paraId="1309492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0.345538</w:t>
            </w:r>
          </w:p>
        </w:tc>
        <w:tc>
          <w:tcPr>
            <w:tcW w:w="1357" w:type="dxa"/>
            <w:tcBorders>
              <w:top w:val="nil"/>
              <w:left w:val="nil"/>
              <w:bottom w:val="nil"/>
              <w:right w:val="nil"/>
            </w:tcBorders>
            <w:noWrap/>
            <w:vAlign w:val="bottom"/>
            <w:hideMark/>
          </w:tcPr>
          <w:p w14:paraId="66492C2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1.448291</w:t>
            </w:r>
          </w:p>
        </w:tc>
        <w:tc>
          <w:tcPr>
            <w:tcW w:w="1383" w:type="dxa"/>
            <w:tcBorders>
              <w:top w:val="nil"/>
              <w:left w:val="nil"/>
              <w:bottom w:val="nil"/>
              <w:right w:val="nil"/>
            </w:tcBorders>
            <w:noWrap/>
            <w:vAlign w:val="bottom"/>
            <w:hideMark/>
          </w:tcPr>
          <w:p w14:paraId="2030723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2.385644</w:t>
            </w:r>
          </w:p>
        </w:tc>
        <w:tc>
          <w:tcPr>
            <w:tcW w:w="1662" w:type="dxa"/>
            <w:tcBorders>
              <w:top w:val="nil"/>
              <w:left w:val="nil"/>
              <w:bottom w:val="nil"/>
              <w:right w:val="nil"/>
            </w:tcBorders>
            <w:noWrap/>
            <w:vAlign w:val="bottom"/>
            <w:hideMark/>
          </w:tcPr>
          <w:p w14:paraId="7D9BA1B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-0.11266</w:t>
            </w:r>
          </w:p>
        </w:tc>
        <w:tc>
          <w:tcPr>
            <w:tcW w:w="1291" w:type="dxa"/>
            <w:tcBorders>
              <w:top w:val="nil"/>
              <w:left w:val="nil"/>
              <w:bottom w:val="nil"/>
              <w:right w:val="nil"/>
            </w:tcBorders>
            <w:noWrap/>
            <w:vAlign w:val="bottom"/>
            <w:hideMark/>
          </w:tcPr>
          <w:p w14:paraId="5696F61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w:t>
            </w:r>
          </w:p>
        </w:tc>
        <w:tc>
          <w:tcPr>
            <w:tcW w:w="1333" w:type="dxa"/>
            <w:tcBorders>
              <w:top w:val="nil"/>
              <w:left w:val="nil"/>
              <w:bottom w:val="nil"/>
              <w:right w:val="nil"/>
            </w:tcBorders>
            <w:noWrap/>
            <w:vAlign w:val="bottom"/>
            <w:hideMark/>
          </w:tcPr>
          <w:p w14:paraId="786BB4A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w:t>
            </w:r>
          </w:p>
        </w:tc>
        <w:tc>
          <w:tcPr>
            <w:tcW w:w="1358" w:type="dxa"/>
            <w:tcBorders>
              <w:top w:val="nil"/>
              <w:left w:val="nil"/>
              <w:bottom w:val="nil"/>
              <w:right w:val="nil"/>
            </w:tcBorders>
            <w:noWrap/>
            <w:vAlign w:val="bottom"/>
            <w:hideMark/>
          </w:tcPr>
          <w:p w14:paraId="56FF7FB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w:t>
            </w:r>
          </w:p>
        </w:tc>
        <w:tc>
          <w:tcPr>
            <w:tcW w:w="3018" w:type="dxa"/>
            <w:tcBorders>
              <w:top w:val="nil"/>
              <w:left w:val="nil"/>
              <w:bottom w:val="nil"/>
              <w:right w:val="nil"/>
            </w:tcBorders>
            <w:noWrap/>
            <w:vAlign w:val="bottom"/>
            <w:hideMark/>
          </w:tcPr>
          <w:p w14:paraId="22D400FA"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33</w:t>
            </w:r>
          </w:p>
        </w:tc>
        <w:tc>
          <w:tcPr>
            <w:tcW w:w="1221" w:type="dxa"/>
            <w:tcBorders>
              <w:top w:val="nil"/>
              <w:left w:val="nil"/>
              <w:bottom w:val="nil"/>
              <w:right w:val="nil"/>
            </w:tcBorders>
            <w:noWrap/>
            <w:vAlign w:val="bottom"/>
            <w:hideMark/>
          </w:tcPr>
          <w:p w14:paraId="3A363AB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5.8</w:t>
            </w:r>
          </w:p>
        </w:tc>
      </w:tr>
      <w:tr w:rsidR="00291736" w:rsidRPr="00291736" w14:paraId="71E5E91E" w14:textId="77777777" w:rsidTr="00291736">
        <w:trPr>
          <w:trHeight w:val="288"/>
        </w:trPr>
        <w:tc>
          <w:tcPr>
            <w:tcW w:w="1159" w:type="dxa"/>
            <w:tcBorders>
              <w:top w:val="nil"/>
              <w:left w:val="nil"/>
              <w:bottom w:val="nil"/>
              <w:right w:val="nil"/>
            </w:tcBorders>
            <w:noWrap/>
            <w:vAlign w:val="bottom"/>
            <w:hideMark/>
          </w:tcPr>
          <w:p w14:paraId="6886749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120843</w:t>
            </w:r>
          </w:p>
        </w:tc>
        <w:tc>
          <w:tcPr>
            <w:tcW w:w="1062" w:type="dxa"/>
            <w:tcBorders>
              <w:top w:val="nil"/>
              <w:left w:val="nil"/>
              <w:bottom w:val="nil"/>
              <w:right w:val="nil"/>
            </w:tcBorders>
            <w:noWrap/>
            <w:vAlign w:val="bottom"/>
            <w:hideMark/>
          </w:tcPr>
          <w:p w14:paraId="09340B7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49.9131</w:t>
            </w:r>
          </w:p>
        </w:tc>
        <w:tc>
          <w:tcPr>
            <w:tcW w:w="1053" w:type="dxa"/>
            <w:tcBorders>
              <w:top w:val="nil"/>
              <w:left w:val="nil"/>
              <w:bottom w:val="nil"/>
              <w:right w:val="nil"/>
            </w:tcBorders>
            <w:noWrap/>
            <w:vAlign w:val="bottom"/>
            <w:hideMark/>
          </w:tcPr>
          <w:p w14:paraId="2CA9A88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163.2397</w:t>
            </w:r>
          </w:p>
        </w:tc>
        <w:tc>
          <w:tcPr>
            <w:tcW w:w="1053" w:type="dxa"/>
            <w:tcBorders>
              <w:top w:val="nil"/>
              <w:left w:val="nil"/>
              <w:bottom w:val="nil"/>
              <w:right w:val="nil"/>
            </w:tcBorders>
            <w:noWrap/>
            <w:vAlign w:val="bottom"/>
            <w:hideMark/>
          </w:tcPr>
          <w:p w14:paraId="03B429E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0.344785</w:t>
            </w:r>
          </w:p>
        </w:tc>
        <w:tc>
          <w:tcPr>
            <w:tcW w:w="1357" w:type="dxa"/>
            <w:tcBorders>
              <w:top w:val="nil"/>
              <w:left w:val="nil"/>
              <w:bottom w:val="nil"/>
              <w:right w:val="nil"/>
            </w:tcBorders>
            <w:noWrap/>
            <w:vAlign w:val="bottom"/>
            <w:hideMark/>
          </w:tcPr>
          <w:p w14:paraId="31B74B7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1.306744</w:t>
            </w:r>
          </w:p>
        </w:tc>
        <w:tc>
          <w:tcPr>
            <w:tcW w:w="1383" w:type="dxa"/>
            <w:tcBorders>
              <w:top w:val="nil"/>
              <w:left w:val="nil"/>
              <w:bottom w:val="nil"/>
              <w:right w:val="nil"/>
            </w:tcBorders>
            <w:noWrap/>
            <w:vAlign w:val="bottom"/>
            <w:hideMark/>
          </w:tcPr>
          <w:p w14:paraId="5FD807C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2.36432</w:t>
            </w:r>
          </w:p>
        </w:tc>
        <w:tc>
          <w:tcPr>
            <w:tcW w:w="1662" w:type="dxa"/>
            <w:tcBorders>
              <w:top w:val="nil"/>
              <w:left w:val="nil"/>
              <w:bottom w:val="nil"/>
              <w:right w:val="nil"/>
            </w:tcBorders>
            <w:noWrap/>
            <w:vAlign w:val="bottom"/>
            <w:hideMark/>
          </w:tcPr>
          <w:p w14:paraId="7DB013F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-0.12974</w:t>
            </w:r>
          </w:p>
        </w:tc>
        <w:tc>
          <w:tcPr>
            <w:tcW w:w="1291" w:type="dxa"/>
            <w:tcBorders>
              <w:top w:val="nil"/>
              <w:left w:val="nil"/>
              <w:bottom w:val="nil"/>
              <w:right w:val="nil"/>
            </w:tcBorders>
            <w:noWrap/>
            <w:vAlign w:val="bottom"/>
            <w:hideMark/>
          </w:tcPr>
          <w:p w14:paraId="66FA07E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6</w:t>
            </w:r>
          </w:p>
        </w:tc>
        <w:tc>
          <w:tcPr>
            <w:tcW w:w="1333" w:type="dxa"/>
            <w:tcBorders>
              <w:top w:val="nil"/>
              <w:left w:val="nil"/>
              <w:bottom w:val="nil"/>
              <w:right w:val="nil"/>
            </w:tcBorders>
            <w:noWrap/>
            <w:vAlign w:val="bottom"/>
            <w:hideMark/>
          </w:tcPr>
          <w:p w14:paraId="210DEC6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w:t>
            </w:r>
          </w:p>
        </w:tc>
        <w:tc>
          <w:tcPr>
            <w:tcW w:w="1358" w:type="dxa"/>
            <w:tcBorders>
              <w:top w:val="nil"/>
              <w:left w:val="nil"/>
              <w:bottom w:val="nil"/>
              <w:right w:val="nil"/>
            </w:tcBorders>
            <w:noWrap/>
            <w:vAlign w:val="bottom"/>
            <w:hideMark/>
          </w:tcPr>
          <w:p w14:paraId="2E3404B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w:t>
            </w:r>
          </w:p>
        </w:tc>
        <w:tc>
          <w:tcPr>
            <w:tcW w:w="3018" w:type="dxa"/>
            <w:tcBorders>
              <w:top w:val="nil"/>
              <w:left w:val="nil"/>
              <w:bottom w:val="nil"/>
              <w:right w:val="nil"/>
            </w:tcBorders>
            <w:noWrap/>
            <w:vAlign w:val="bottom"/>
            <w:hideMark/>
          </w:tcPr>
          <w:p w14:paraId="1CA4ADC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28</w:t>
            </w:r>
          </w:p>
        </w:tc>
        <w:tc>
          <w:tcPr>
            <w:tcW w:w="1221" w:type="dxa"/>
            <w:tcBorders>
              <w:top w:val="nil"/>
              <w:left w:val="nil"/>
              <w:bottom w:val="nil"/>
              <w:right w:val="nil"/>
            </w:tcBorders>
            <w:noWrap/>
            <w:vAlign w:val="bottom"/>
            <w:hideMark/>
          </w:tcPr>
          <w:p w14:paraId="74AB7CF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6.2</w:t>
            </w:r>
          </w:p>
        </w:tc>
      </w:tr>
      <w:tr w:rsidR="00291736" w:rsidRPr="00291736" w14:paraId="0399702B" w14:textId="77777777" w:rsidTr="00291736">
        <w:trPr>
          <w:trHeight w:val="288"/>
        </w:trPr>
        <w:tc>
          <w:tcPr>
            <w:tcW w:w="1159" w:type="dxa"/>
            <w:tcBorders>
              <w:top w:val="nil"/>
              <w:left w:val="nil"/>
              <w:bottom w:val="nil"/>
              <w:right w:val="nil"/>
            </w:tcBorders>
            <w:noWrap/>
            <w:vAlign w:val="bottom"/>
            <w:hideMark/>
          </w:tcPr>
          <w:p w14:paraId="1C2D189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119598</w:t>
            </w:r>
          </w:p>
        </w:tc>
        <w:tc>
          <w:tcPr>
            <w:tcW w:w="1062" w:type="dxa"/>
            <w:tcBorders>
              <w:top w:val="nil"/>
              <w:left w:val="nil"/>
              <w:bottom w:val="nil"/>
              <w:right w:val="nil"/>
            </w:tcBorders>
            <w:noWrap/>
            <w:vAlign w:val="bottom"/>
            <w:hideMark/>
          </w:tcPr>
          <w:p w14:paraId="09141F1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89.8738</w:t>
            </w:r>
          </w:p>
        </w:tc>
        <w:tc>
          <w:tcPr>
            <w:tcW w:w="1053" w:type="dxa"/>
            <w:tcBorders>
              <w:top w:val="nil"/>
              <w:left w:val="nil"/>
              <w:bottom w:val="nil"/>
              <w:right w:val="nil"/>
            </w:tcBorders>
            <w:noWrap/>
            <w:vAlign w:val="bottom"/>
            <w:hideMark/>
          </w:tcPr>
          <w:p w14:paraId="63FA43F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309.205</w:t>
            </w:r>
          </w:p>
        </w:tc>
        <w:tc>
          <w:tcPr>
            <w:tcW w:w="1053" w:type="dxa"/>
            <w:tcBorders>
              <w:top w:val="nil"/>
              <w:left w:val="nil"/>
              <w:bottom w:val="nil"/>
              <w:right w:val="nil"/>
            </w:tcBorders>
            <w:noWrap/>
            <w:vAlign w:val="bottom"/>
            <w:hideMark/>
          </w:tcPr>
          <w:p w14:paraId="130F6AC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0.361925</w:t>
            </w:r>
          </w:p>
        </w:tc>
        <w:tc>
          <w:tcPr>
            <w:tcW w:w="1357" w:type="dxa"/>
            <w:tcBorders>
              <w:top w:val="nil"/>
              <w:left w:val="nil"/>
              <w:bottom w:val="nil"/>
              <w:right w:val="nil"/>
            </w:tcBorders>
            <w:noWrap/>
            <w:vAlign w:val="bottom"/>
            <w:hideMark/>
          </w:tcPr>
          <w:p w14:paraId="517FFF4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0.945308</w:t>
            </w:r>
          </w:p>
        </w:tc>
        <w:tc>
          <w:tcPr>
            <w:tcW w:w="1383" w:type="dxa"/>
            <w:tcBorders>
              <w:top w:val="nil"/>
              <w:left w:val="nil"/>
              <w:bottom w:val="nil"/>
              <w:right w:val="nil"/>
            </w:tcBorders>
            <w:noWrap/>
            <w:vAlign w:val="bottom"/>
            <w:hideMark/>
          </w:tcPr>
          <w:p w14:paraId="367210DA"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1.675317</w:t>
            </w:r>
          </w:p>
        </w:tc>
        <w:tc>
          <w:tcPr>
            <w:tcW w:w="1662" w:type="dxa"/>
            <w:tcBorders>
              <w:top w:val="nil"/>
              <w:left w:val="nil"/>
              <w:bottom w:val="nil"/>
              <w:right w:val="nil"/>
            </w:tcBorders>
            <w:noWrap/>
            <w:vAlign w:val="bottom"/>
            <w:hideMark/>
          </w:tcPr>
          <w:p w14:paraId="50FD59E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-0.28706</w:t>
            </w:r>
          </w:p>
        </w:tc>
        <w:tc>
          <w:tcPr>
            <w:tcW w:w="1291" w:type="dxa"/>
            <w:tcBorders>
              <w:top w:val="nil"/>
              <w:left w:val="nil"/>
              <w:bottom w:val="nil"/>
              <w:right w:val="nil"/>
            </w:tcBorders>
            <w:noWrap/>
            <w:vAlign w:val="bottom"/>
            <w:hideMark/>
          </w:tcPr>
          <w:p w14:paraId="226EE38A"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w:t>
            </w:r>
          </w:p>
        </w:tc>
        <w:tc>
          <w:tcPr>
            <w:tcW w:w="1333" w:type="dxa"/>
            <w:tcBorders>
              <w:top w:val="nil"/>
              <w:left w:val="nil"/>
              <w:bottom w:val="nil"/>
              <w:right w:val="nil"/>
            </w:tcBorders>
            <w:noWrap/>
            <w:vAlign w:val="bottom"/>
            <w:hideMark/>
          </w:tcPr>
          <w:p w14:paraId="131BD8D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w:t>
            </w:r>
          </w:p>
        </w:tc>
        <w:tc>
          <w:tcPr>
            <w:tcW w:w="1358" w:type="dxa"/>
            <w:tcBorders>
              <w:top w:val="nil"/>
              <w:left w:val="nil"/>
              <w:bottom w:val="nil"/>
              <w:right w:val="nil"/>
            </w:tcBorders>
            <w:noWrap/>
            <w:vAlign w:val="bottom"/>
            <w:hideMark/>
          </w:tcPr>
          <w:p w14:paraId="2E5A49F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12</w:t>
            </w:r>
          </w:p>
        </w:tc>
        <w:tc>
          <w:tcPr>
            <w:tcW w:w="3018" w:type="dxa"/>
            <w:tcBorders>
              <w:top w:val="nil"/>
              <w:left w:val="nil"/>
              <w:bottom w:val="nil"/>
              <w:right w:val="nil"/>
            </w:tcBorders>
            <w:noWrap/>
            <w:vAlign w:val="bottom"/>
            <w:hideMark/>
          </w:tcPr>
          <w:p w14:paraId="58D4090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w:t>
            </w:r>
          </w:p>
        </w:tc>
        <w:tc>
          <w:tcPr>
            <w:tcW w:w="1221" w:type="dxa"/>
            <w:tcBorders>
              <w:top w:val="nil"/>
              <w:left w:val="nil"/>
              <w:bottom w:val="nil"/>
              <w:right w:val="nil"/>
            </w:tcBorders>
            <w:noWrap/>
            <w:vAlign w:val="bottom"/>
            <w:hideMark/>
          </w:tcPr>
          <w:p w14:paraId="596B474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7.9</w:t>
            </w:r>
          </w:p>
        </w:tc>
      </w:tr>
      <w:tr w:rsidR="00291736" w:rsidRPr="00291736" w14:paraId="02344898" w14:textId="77777777" w:rsidTr="00291736">
        <w:trPr>
          <w:trHeight w:val="288"/>
        </w:trPr>
        <w:tc>
          <w:tcPr>
            <w:tcW w:w="1159" w:type="dxa"/>
            <w:tcBorders>
              <w:top w:val="nil"/>
              <w:left w:val="nil"/>
              <w:bottom w:val="nil"/>
              <w:right w:val="nil"/>
            </w:tcBorders>
            <w:noWrap/>
            <w:vAlign w:val="bottom"/>
            <w:hideMark/>
          </w:tcPr>
          <w:p w14:paraId="3070D62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149323</w:t>
            </w:r>
          </w:p>
        </w:tc>
        <w:tc>
          <w:tcPr>
            <w:tcW w:w="1062" w:type="dxa"/>
            <w:tcBorders>
              <w:top w:val="nil"/>
              <w:left w:val="nil"/>
              <w:bottom w:val="nil"/>
              <w:right w:val="nil"/>
            </w:tcBorders>
            <w:noWrap/>
            <w:vAlign w:val="bottom"/>
            <w:hideMark/>
          </w:tcPr>
          <w:p w14:paraId="73D42FF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78.4622</w:t>
            </w:r>
          </w:p>
        </w:tc>
        <w:tc>
          <w:tcPr>
            <w:tcW w:w="1053" w:type="dxa"/>
            <w:tcBorders>
              <w:top w:val="nil"/>
              <w:left w:val="nil"/>
              <w:bottom w:val="nil"/>
              <w:right w:val="nil"/>
            </w:tcBorders>
            <w:noWrap/>
            <w:vAlign w:val="bottom"/>
            <w:hideMark/>
          </w:tcPr>
          <w:p w14:paraId="2E401CF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245.3651</w:t>
            </w:r>
          </w:p>
        </w:tc>
        <w:tc>
          <w:tcPr>
            <w:tcW w:w="1053" w:type="dxa"/>
            <w:tcBorders>
              <w:top w:val="nil"/>
              <w:left w:val="nil"/>
              <w:bottom w:val="nil"/>
              <w:right w:val="nil"/>
            </w:tcBorders>
            <w:noWrap/>
            <w:vAlign w:val="bottom"/>
            <w:hideMark/>
          </w:tcPr>
          <w:p w14:paraId="6CA4500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0.329805</w:t>
            </w:r>
          </w:p>
        </w:tc>
        <w:tc>
          <w:tcPr>
            <w:tcW w:w="1357" w:type="dxa"/>
            <w:tcBorders>
              <w:top w:val="nil"/>
              <w:left w:val="nil"/>
              <w:bottom w:val="nil"/>
              <w:right w:val="nil"/>
            </w:tcBorders>
            <w:noWrap/>
            <w:vAlign w:val="bottom"/>
            <w:hideMark/>
          </w:tcPr>
          <w:p w14:paraId="769DFE2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1.132122</w:t>
            </w:r>
          </w:p>
        </w:tc>
        <w:tc>
          <w:tcPr>
            <w:tcW w:w="1383" w:type="dxa"/>
            <w:tcBorders>
              <w:top w:val="nil"/>
              <w:left w:val="nil"/>
              <w:bottom w:val="nil"/>
              <w:right w:val="nil"/>
            </w:tcBorders>
            <w:noWrap/>
            <w:vAlign w:val="bottom"/>
            <w:hideMark/>
          </w:tcPr>
          <w:p w14:paraId="262BABE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1.875101</w:t>
            </w:r>
          </w:p>
        </w:tc>
        <w:tc>
          <w:tcPr>
            <w:tcW w:w="1662" w:type="dxa"/>
            <w:tcBorders>
              <w:top w:val="nil"/>
              <w:left w:val="nil"/>
              <w:bottom w:val="nil"/>
              <w:right w:val="nil"/>
            </w:tcBorders>
            <w:noWrap/>
            <w:vAlign w:val="bottom"/>
            <w:hideMark/>
          </w:tcPr>
          <w:p w14:paraId="746DB9D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-0.17248</w:t>
            </w:r>
          </w:p>
        </w:tc>
        <w:tc>
          <w:tcPr>
            <w:tcW w:w="1291" w:type="dxa"/>
            <w:tcBorders>
              <w:top w:val="nil"/>
              <w:left w:val="nil"/>
              <w:bottom w:val="nil"/>
              <w:right w:val="nil"/>
            </w:tcBorders>
            <w:noWrap/>
            <w:vAlign w:val="bottom"/>
            <w:hideMark/>
          </w:tcPr>
          <w:p w14:paraId="30805F6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w:t>
            </w:r>
          </w:p>
        </w:tc>
        <w:tc>
          <w:tcPr>
            <w:tcW w:w="1333" w:type="dxa"/>
            <w:tcBorders>
              <w:top w:val="nil"/>
              <w:left w:val="nil"/>
              <w:bottom w:val="nil"/>
              <w:right w:val="nil"/>
            </w:tcBorders>
            <w:noWrap/>
            <w:vAlign w:val="bottom"/>
            <w:hideMark/>
          </w:tcPr>
          <w:p w14:paraId="47D8BFA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6</w:t>
            </w:r>
          </w:p>
        </w:tc>
        <w:tc>
          <w:tcPr>
            <w:tcW w:w="1358" w:type="dxa"/>
            <w:tcBorders>
              <w:top w:val="nil"/>
              <w:left w:val="nil"/>
              <w:bottom w:val="nil"/>
              <w:right w:val="nil"/>
            </w:tcBorders>
            <w:noWrap/>
            <w:vAlign w:val="bottom"/>
            <w:hideMark/>
          </w:tcPr>
          <w:p w14:paraId="613DE76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6</w:t>
            </w:r>
          </w:p>
        </w:tc>
        <w:tc>
          <w:tcPr>
            <w:tcW w:w="3018" w:type="dxa"/>
            <w:tcBorders>
              <w:top w:val="nil"/>
              <w:left w:val="nil"/>
              <w:bottom w:val="nil"/>
              <w:right w:val="nil"/>
            </w:tcBorders>
            <w:noWrap/>
            <w:vAlign w:val="bottom"/>
            <w:hideMark/>
          </w:tcPr>
          <w:p w14:paraId="1EE2291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19</w:t>
            </w:r>
          </w:p>
        </w:tc>
        <w:tc>
          <w:tcPr>
            <w:tcW w:w="1221" w:type="dxa"/>
            <w:tcBorders>
              <w:top w:val="nil"/>
              <w:left w:val="nil"/>
              <w:bottom w:val="nil"/>
              <w:right w:val="nil"/>
            </w:tcBorders>
            <w:noWrap/>
            <w:vAlign w:val="bottom"/>
            <w:hideMark/>
          </w:tcPr>
          <w:p w14:paraId="654E26D3"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8.1</w:t>
            </w:r>
          </w:p>
        </w:tc>
      </w:tr>
      <w:tr w:rsidR="00291736" w:rsidRPr="00291736" w14:paraId="35BA1446" w14:textId="77777777" w:rsidTr="00291736">
        <w:trPr>
          <w:trHeight w:val="288"/>
        </w:trPr>
        <w:tc>
          <w:tcPr>
            <w:tcW w:w="1159" w:type="dxa"/>
            <w:tcBorders>
              <w:top w:val="nil"/>
              <w:left w:val="nil"/>
              <w:bottom w:val="nil"/>
              <w:right w:val="nil"/>
            </w:tcBorders>
            <w:noWrap/>
            <w:vAlign w:val="bottom"/>
            <w:hideMark/>
          </w:tcPr>
          <w:p w14:paraId="2AD19DD3"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149324</w:t>
            </w:r>
          </w:p>
        </w:tc>
        <w:tc>
          <w:tcPr>
            <w:tcW w:w="1062" w:type="dxa"/>
            <w:tcBorders>
              <w:top w:val="nil"/>
              <w:left w:val="nil"/>
              <w:bottom w:val="nil"/>
              <w:right w:val="nil"/>
            </w:tcBorders>
            <w:noWrap/>
            <w:vAlign w:val="bottom"/>
            <w:hideMark/>
          </w:tcPr>
          <w:p w14:paraId="46A080B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81.6814</w:t>
            </w:r>
          </w:p>
        </w:tc>
        <w:tc>
          <w:tcPr>
            <w:tcW w:w="1053" w:type="dxa"/>
            <w:tcBorders>
              <w:top w:val="nil"/>
              <w:left w:val="nil"/>
              <w:bottom w:val="nil"/>
              <w:right w:val="nil"/>
            </w:tcBorders>
            <w:noWrap/>
            <w:vAlign w:val="bottom"/>
            <w:hideMark/>
          </w:tcPr>
          <w:p w14:paraId="1677E8B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279.7511</w:t>
            </w:r>
          </w:p>
        </w:tc>
        <w:tc>
          <w:tcPr>
            <w:tcW w:w="1053" w:type="dxa"/>
            <w:tcBorders>
              <w:top w:val="nil"/>
              <w:left w:val="nil"/>
              <w:bottom w:val="nil"/>
              <w:right w:val="nil"/>
            </w:tcBorders>
            <w:noWrap/>
            <w:vAlign w:val="bottom"/>
            <w:hideMark/>
          </w:tcPr>
          <w:p w14:paraId="1128943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0.360386</w:t>
            </w:r>
          </w:p>
        </w:tc>
        <w:tc>
          <w:tcPr>
            <w:tcW w:w="1357" w:type="dxa"/>
            <w:tcBorders>
              <w:top w:val="nil"/>
              <w:left w:val="nil"/>
              <w:bottom w:val="nil"/>
              <w:right w:val="nil"/>
            </w:tcBorders>
            <w:noWrap/>
            <w:vAlign w:val="bottom"/>
            <w:hideMark/>
          </w:tcPr>
          <w:p w14:paraId="5CCA0D7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0.949796</w:t>
            </w:r>
          </w:p>
        </w:tc>
        <w:tc>
          <w:tcPr>
            <w:tcW w:w="1383" w:type="dxa"/>
            <w:tcBorders>
              <w:top w:val="nil"/>
              <w:left w:val="nil"/>
              <w:bottom w:val="nil"/>
              <w:right w:val="nil"/>
            </w:tcBorders>
            <w:noWrap/>
            <w:vAlign w:val="bottom"/>
            <w:hideMark/>
          </w:tcPr>
          <w:p w14:paraId="4E737D20"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1.619793</w:t>
            </w:r>
          </w:p>
        </w:tc>
        <w:tc>
          <w:tcPr>
            <w:tcW w:w="1662" w:type="dxa"/>
            <w:tcBorders>
              <w:top w:val="nil"/>
              <w:left w:val="nil"/>
              <w:bottom w:val="nil"/>
              <w:right w:val="nil"/>
            </w:tcBorders>
            <w:noWrap/>
            <w:vAlign w:val="bottom"/>
            <w:hideMark/>
          </w:tcPr>
          <w:p w14:paraId="3F9407D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-0.31172</w:t>
            </w:r>
          </w:p>
        </w:tc>
        <w:tc>
          <w:tcPr>
            <w:tcW w:w="1291" w:type="dxa"/>
            <w:tcBorders>
              <w:top w:val="nil"/>
              <w:left w:val="nil"/>
              <w:bottom w:val="nil"/>
              <w:right w:val="nil"/>
            </w:tcBorders>
            <w:noWrap/>
            <w:vAlign w:val="bottom"/>
            <w:hideMark/>
          </w:tcPr>
          <w:p w14:paraId="2CFEC84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w:t>
            </w:r>
          </w:p>
        </w:tc>
        <w:tc>
          <w:tcPr>
            <w:tcW w:w="1333" w:type="dxa"/>
            <w:tcBorders>
              <w:top w:val="nil"/>
              <w:left w:val="nil"/>
              <w:bottom w:val="nil"/>
              <w:right w:val="nil"/>
            </w:tcBorders>
            <w:noWrap/>
            <w:vAlign w:val="bottom"/>
            <w:hideMark/>
          </w:tcPr>
          <w:p w14:paraId="45565CE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13</w:t>
            </w:r>
          </w:p>
        </w:tc>
        <w:tc>
          <w:tcPr>
            <w:tcW w:w="1358" w:type="dxa"/>
            <w:tcBorders>
              <w:top w:val="nil"/>
              <w:left w:val="nil"/>
              <w:bottom w:val="nil"/>
              <w:right w:val="nil"/>
            </w:tcBorders>
            <w:noWrap/>
            <w:vAlign w:val="bottom"/>
            <w:hideMark/>
          </w:tcPr>
          <w:p w14:paraId="1D37EA1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w:t>
            </w:r>
          </w:p>
        </w:tc>
        <w:tc>
          <w:tcPr>
            <w:tcW w:w="3018" w:type="dxa"/>
            <w:tcBorders>
              <w:top w:val="nil"/>
              <w:left w:val="nil"/>
              <w:bottom w:val="nil"/>
              <w:right w:val="nil"/>
            </w:tcBorders>
            <w:noWrap/>
            <w:vAlign w:val="bottom"/>
            <w:hideMark/>
          </w:tcPr>
          <w:p w14:paraId="051BF66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w:t>
            </w:r>
          </w:p>
        </w:tc>
        <w:tc>
          <w:tcPr>
            <w:tcW w:w="1221" w:type="dxa"/>
            <w:tcBorders>
              <w:top w:val="nil"/>
              <w:left w:val="nil"/>
              <w:bottom w:val="nil"/>
              <w:right w:val="nil"/>
            </w:tcBorders>
            <w:noWrap/>
            <w:vAlign w:val="bottom"/>
            <w:hideMark/>
          </w:tcPr>
          <w:p w14:paraId="1CC7BD6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8.3</w:t>
            </w:r>
          </w:p>
        </w:tc>
      </w:tr>
      <w:tr w:rsidR="00291736" w:rsidRPr="00291736" w14:paraId="3738C238" w14:textId="77777777" w:rsidTr="00291736">
        <w:trPr>
          <w:trHeight w:val="288"/>
        </w:trPr>
        <w:tc>
          <w:tcPr>
            <w:tcW w:w="1159" w:type="dxa"/>
            <w:tcBorders>
              <w:top w:val="nil"/>
              <w:left w:val="nil"/>
              <w:bottom w:val="nil"/>
              <w:right w:val="nil"/>
            </w:tcBorders>
            <w:noWrap/>
            <w:vAlign w:val="bottom"/>
            <w:hideMark/>
          </w:tcPr>
          <w:p w14:paraId="3EA8A4E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119551</w:t>
            </w:r>
          </w:p>
        </w:tc>
        <w:tc>
          <w:tcPr>
            <w:tcW w:w="1062" w:type="dxa"/>
            <w:tcBorders>
              <w:top w:val="nil"/>
              <w:left w:val="nil"/>
              <w:bottom w:val="nil"/>
              <w:right w:val="nil"/>
            </w:tcBorders>
            <w:noWrap/>
            <w:vAlign w:val="bottom"/>
            <w:hideMark/>
          </w:tcPr>
          <w:p w14:paraId="66CC470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54.3856</w:t>
            </w:r>
          </w:p>
        </w:tc>
        <w:tc>
          <w:tcPr>
            <w:tcW w:w="1053" w:type="dxa"/>
            <w:tcBorders>
              <w:top w:val="nil"/>
              <w:left w:val="nil"/>
              <w:bottom w:val="nil"/>
              <w:right w:val="nil"/>
            </w:tcBorders>
            <w:noWrap/>
            <w:vAlign w:val="bottom"/>
            <w:hideMark/>
          </w:tcPr>
          <w:p w14:paraId="45CEC2F2"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149.3216</w:t>
            </w:r>
          </w:p>
        </w:tc>
        <w:tc>
          <w:tcPr>
            <w:tcW w:w="1053" w:type="dxa"/>
            <w:tcBorders>
              <w:top w:val="nil"/>
              <w:left w:val="nil"/>
              <w:bottom w:val="nil"/>
              <w:right w:val="nil"/>
            </w:tcBorders>
            <w:noWrap/>
            <w:vAlign w:val="bottom"/>
            <w:hideMark/>
          </w:tcPr>
          <w:p w14:paraId="2819961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0.28724</w:t>
            </w:r>
          </w:p>
        </w:tc>
        <w:tc>
          <w:tcPr>
            <w:tcW w:w="1357" w:type="dxa"/>
            <w:tcBorders>
              <w:top w:val="nil"/>
              <w:left w:val="nil"/>
              <w:bottom w:val="nil"/>
              <w:right w:val="nil"/>
            </w:tcBorders>
            <w:noWrap/>
            <w:vAlign w:val="bottom"/>
            <w:hideMark/>
          </w:tcPr>
          <w:p w14:paraId="78A05BA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1.208267</w:t>
            </w:r>
          </w:p>
        </w:tc>
        <w:tc>
          <w:tcPr>
            <w:tcW w:w="1383" w:type="dxa"/>
            <w:tcBorders>
              <w:top w:val="nil"/>
              <w:left w:val="nil"/>
              <w:bottom w:val="nil"/>
              <w:right w:val="nil"/>
            </w:tcBorders>
            <w:noWrap/>
            <w:vAlign w:val="bottom"/>
            <w:hideMark/>
          </w:tcPr>
          <w:p w14:paraId="3AE816D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2.140267</w:t>
            </w:r>
          </w:p>
        </w:tc>
        <w:tc>
          <w:tcPr>
            <w:tcW w:w="1662" w:type="dxa"/>
            <w:tcBorders>
              <w:top w:val="nil"/>
              <w:left w:val="nil"/>
              <w:bottom w:val="nil"/>
              <w:right w:val="nil"/>
            </w:tcBorders>
            <w:noWrap/>
            <w:vAlign w:val="bottom"/>
            <w:hideMark/>
          </w:tcPr>
          <w:p w14:paraId="74C015F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-0.15012</w:t>
            </w:r>
          </w:p>
        </w:tc>
        <w:tc>
          <w:tcPr>
            <w:tcW w:w="1291" w:type="dxa"/>
            <w:tcBorders>
              <w:top w:val="nil"/>
              <w:left w:val="nil"/>
              <w:bottom w:val="nil"/>
              <w:right w:val="nil"/>
            </w:tcBorders>
            <w:noWrap/>
            <w:vAlign w:val="bottom"/>
            <w:hideMark/>
          </w:tcPr>
          <w:p w14:paraId="08183805"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w:t>
            </w:r>
          </w:p>
        </w:tc>
        <w:tc>
          <w:tcPr>
            <w:tcW w:w="1333" w:type="dxa"/>
            <w:tcBorders>
              <w:top w:val="nil"/>
              <w:left w:val="nil"/>
              <w:bottom w:val="nil"/>
              <w:right w:val="nil"/>
            </w:tcBorders>
            <w:noWrap/>
            <w:vAlign w:val="bottom"/>
            <w:hideMark/>
          </w:tcPr>
          <w:p w14:paraId="2429D8C8"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w:t>
            </w:r>
          </w:p>
        </w:tc>
        <w:tc>
          <w:tcPr>
            <w:tcW w:w="1358" w:type="dxa"/>
            <w:tcBorders>
              <w:top w:val="nil"/>
              <w:left w:val="nil"/>
              <w:bottom w:val="nil"/>
              <w:right w:val="nil"/>
            </w:tcBorders>
            <w:noWrap/>
            <w:vAlign w:val="bottom"/>
            <w:hideMark/>
          </w:tcPr>
          <w:p w14:paraId="746E36A3"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w:t>
            </w:r>
          </w:p>
        </w:tc>
        <w:tc>
          <w:tcPr>
            <w:tcW w:w="3018" w:type="dxa"/>
            <w:tcBorders>
              <w:top w:val="nil"/>
              <w:left w:val="nil"/>
              <w:bottom w:val="nil"/>
              <w:right w:val="nil"/>
            </w:tcBorders>
            <w:noWrap/>
            <w:vAlign w:val="bottom"/>
            <w:hideMark/>
          </w:tcPr>
          <w:p w14:paraId="4332FE1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24</w:t>
            </w:r>
          </w:p>
        </w:tc>
        <w:tc>
          <w:tcPr>
            <w:tcW w:w="1221" w:type="dxa"/>
            <w:tcBorders>
              <w:top w:val="nil"/>
              <w:left w:val="nil"/>
              <w:bottom w:val="nil"/>
              <w:right w:val="nil"/>
            </w:tcBorders>
            <w:noWrap/>
            <w:vAlign w:val="bottom"/>
            <w:hideMark/>
          </w:tcPr>
          <w:p w14:paraId="164A30A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8.4</w:t>
            </w:r>
          </w:p>
        </w:tc>
      </w:tr>
      <w:tr w:rsidR="00291736" w:rsidRPr="00291736" w14:paraId="7B0F6F86" w14:textId="77777777" w:rsidTr="00291736">
        <w:trPr>
          <w:trHeight w:val="288"/>
        </w:trPr>
        <w:tc>
          <w:tcPr>
            <w:tcW w:w="1159" w:type="dxa"/>
            <w:tcBorders>
              <w:top w:val="nil"/>
              <w:left w:val="nil"/>
              <w:bottom w:val="nil"/>
              <w:right w:val="nil"/>
            </w:tcBorders>
            <w:noWrap/>
            <w:vAlign w:val="bottom"/>
            <w:hideMark/>
          </w:tcPr>
          <w:p w14:paraId="177FB27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100033</w:t>
            </w:r>
          </w:p>
        </w:tc>
        <w:tc>
          <w:tcPr>
            <w:tcW w:w="1062" w:type="dxa"/>
            <w:tcBorders>
              <w:top w:val="nil"/>
              <w:left w:val="nil"/>
              <w:bottom w:val="nil"/>
              <w:right w:val="nil"/>
            </w:tcBorders>
            <w:noWrap/>
            <w:vAlign w:val="bottom"/>
            <w:hideMark/>
          </w:tcPr>
          <w:p w14:paraId="18EF3E9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107.3758</w:t>
            </w:r>
          </w:p>
        </w:tc>
        <w:tc>
          <w:tcPr>
            <w:tcW w:w="1053" w:type="dxa"/>
            <w:tcBorders>
              <w:top w:val="nil"/>
              <w:left w:val="nil"/>
              <w:bottom w:val="nil"/>
              <w:right w:val="nil"/>
            </w:tcBorders>
            <w:noWrap/>
            <w:vAlign w:val="bottom"/>
            <w:hideMark/>
          </w:tcPr>
          <w:p w14:paraId="2D406D1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342.0072</w:t>
            </w:r>
          </w:p>
        </w:tc>
        <w:tc>
          <w:tcPr>
            <w:tcW w:w="1053" w:type="dxa"/>
            <w:tcBorders>
              <w:top w:val="nil"/>
              <w:left w:val="nil"/>
              <w:bottom w:val="nil"/>
              <w:right w:val="nil"/>
            </w:tcBorders>
            <w:noWrap/>
            <w:vAlign w:val="bottom"/>
            <w:hideMark/>
          </w:tcPr>
          <w:p w14:paraId="1BA5BD1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0.335925</w:t>
            </w:r>
          </w:p>
        </w:tc>
        <w:tc>
          <w:tcPr>
            <w:tcW w:w="1357" w:type="dxa"/>
            <w:tcBorders>
              <w:top w:val="nil"/>
              <w:left w:val="nil"/>
              <w:bottom w:val="nil"/>
              <w:right w:val="nil"/>
            </w:tcBorders>
            <w:noWrap/>
            <w:vAlign w:val="bottom"/>
            <w:hideMark/>
          </w:tcPr>
          <w:p w14:paraId="4054A60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1.093699</w:t>
            </w:r>
          </w:p>
        </w:tc>
        <w:tc>
          <w:tcPr>
            <w:tcW w:w="1383" w:type="dxa"/>
            <w:tcBorders>
              <w:top w:val="nil"/>
              <w:left w:val="nil"/>
              <w:bottom w:val="nil"/>
              <w:right w:val="nil"/>
            </w:tcBorders>
            <w:noWrap/>
            <w:vAlign w:val="bottom"/>
            <w:hideMark/>
          </w:tcPr>
          <w:p w14:paraId="0A721FA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1.829134</w:t>
            </w:r>
          </w:p>
        </w:tc>
        <w:tc>
          <w:tcPr>
            <w:tcW w:w="1662" w:type="dxa"/>
            <w:tcBorders>
              <w:top w:val="nil"/>
              <w:left w:val="nil"/>
              <w:bottom w:val="nil"/>
              <w:right w:val="nil"/>
            </w:tcBorders>
            <w:noWrap/>
            <w:vAlign w:val="bottom"/>
            <w:hideMark/>
          </w:tcPr>
          <w:p w14:paraId="57342918"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-0.16217</w:t>
            </w:r>
          </w:p>
        </w:tc>
        <w:tc>
          <w:tcPr>
            <w:tcW w:w="1291" w:type="dxa"/>
            <w:tcBorders>
              <w:top w:val="nil"/>
              <w:left w:val="nil"/>
              <w:bottom w:val="nil"/>
              <w:right w:val="nil"/>
            </w:tcBorders>
            <w:noWrap/>
            <w:vAlign w:val="bottom"/>
            <w:hideMark/>
          </w:tcPr>
          <w:p w14:paraId="0719741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w:t>
            </w:r>
          </w:p>
        </w:tc>
        <w:tc>
          <w:tcPr>
            <w:tcW w:w="1333" w:type="dxa"/>
            <w:tcBorders>
              <w:top w:val="nil"/>
              <w:left w:val="nil"/>
              <w:bottom w:val="nil"/>
              <w:right w:val="nil"/>
            </w:tcBorders>
            <w:noWrap/>
            <w:vAlign w:val="bottom"/>
            <w:hideMark/>
          </w:tcPr>
          <w:p w14:paraId="76880958"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w:t>
            </w:r>
          </w:p>
        </w:tc>
        <w:tc>
          <w:tcPr>
            <w:tcW w:w="1358" w:type="dxa"/>
            <w:tcBorders>
              <w:top w:val="nil"/>
              <w:left w:val="nil"/>
              <w:bottom w:val="nil"/>
              <w:right w:val="nil"/>
            </w:tcBorders>
            <w:noWrap/>
            <w:vAlign w:val="bottom"/>
            <w:hideMark/>
          </w:tcPr>
          <w:p w14:paraId="5BDB777E"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w:t>
            </w:r>
          </w:p>
        </w:tc>
        <w:tc>
          <w:tcPr>
            <w:tcW w:w="3018" w:type="dxa"/>
            <w:tcBorders>
              <w:top w:val="nil"/>
              <w:left w:val="nil"/>
              <w:bottom w:val="nil"/>
              <w:right w:val="nil"/>
            </w:tcBorders>
            <w:noWrap/>
            <w:vAlign w:val="bottom"/>
            <w:hideMark/>
          </w:tcPr>
          <w:p w14:paraId="0D8406C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21</w:t>
            </w:r>
          </w:p>
        </w:tc>
        <w:tc>
          <w:tcPr>
            <w:tcW w:w="1221" w:type="dxa"/>
            <w:tcBorders>
              <w:top w:val="nil"/>
              <w:left w:val="nil"/>
              <w:bottom w:val="nil"/>
              <w:right w:val="nil"/>
            </w:tcBorders>
            <w:noWrap/>
            <w:vAlign w:val="bottom"/>
            <w:hideMark/>
          </w:tcPr>
          <w:p w14:paraId="1D059AC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8.6</w:t>
            </w:r>
          </w:p>
        </w:tc>
      </w:tr>
      <w:tr w:rsidR="00291736" w:rsidRPr="00291736" w14:paraId="1CC3B362" w14:textId="77777777" w:rsidTr="00291736">
        <w:trPr>
          <w:trHeight w:val="288"/>
        </w:trPr>
        <w:tc>
          <w:tcPr>
            <w:tcW w:w="1159" w:type="dxa"/>
            <w:tcBorders>
              <w:top w:val="nil"/>
              <w:left w:val="nil"/>
              <w:bottom w:val="nil"/>
              <w:right w:val="nil"/>
            </w:tcBorders>
            <w:noWrap/>
            <w:vAlign w:val="bottom"/>
            <w:hideMark/>
          </w:tcPr>
          <w:p w14:paraId="1A366077"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118632</w:t>
            </w:r>
          </w:p>
        </w:tc>
        <w:tc>
          <w:tcPr>
            <w:tcW w:w="1062" w:type="dxa"/>
            <w:tcBorders>
              <w:top w:val="nil"/>
              <w:left w:val="nil"/>
              <w:bottom w:val="nil"/>
              <w:right w:val="nil"/>
            </w:tcBorders>
            <w:noWrap/>
            <w:vAlign w:val="bottom"/>
            <w:hideMark/>
          </w:tcPr>
          <w:p w14:paraId="331F879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42.8339</w:t>
            </w:r>
          </w:p>
        </w:tc>
        <w:tc>
          <w:tcPr>
            <w:tcW w:w="1053" w:type="dxa"/>
            <w:tcBorders>
              <w:top w:val="nil"/>
              <w:left w:val="nil"/>
              <w:bottom w:val="nil"/>
              <w:right w:val="nil"/>
            </w:tcBorders>
            <w:noWrap/>
            <w:vAlign w:val="bottom"/>
            <w:hideMark/>
          </w:tcPr>
          <w:p w14:paraId="5BA1042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110.5554</w:t>
            </w:r>
          </w:p>
        </w:tc>
        <w:tc>
          <w:tcPr>
            <w:tcW w:w="1053" w:type="dxa"/>
            <w:tcBorders>
              <w:top w:val="nil"/>
              <w:left w:val="nil"/>
              <w:bottom w:val="nil"/>
              <w:right w:val="nil"/>
            </w:tcBorders>
            <w:noWrap/>
            <w:vAlign w:val="bottom"/>
            <w:hideMark/>
          </w:tcPr>
          <w:p w14:paraId="4B28CEF1"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0.2675</w:t>
            </w:r>
          </w:p>
        </w:tc>
        <w:tc>
          <w:tcPr>
            <w:tcW w:w="1357" w:type="dxa"/>
            <w:tcBorders>
              <w:top w:val="nil"/>
              <w:left w:val="nil"/>
              <w:bottom w:val="nil"/>
              <w:right w:val="nil"/>
            </w:tcBorders>
            <w:noWrap/>
            <w:vAlign w:val="bottom"/>
            <w:hideMark/>
          </w:tcPr>
          <w:p w14:paraId="7797C2AC"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1.081659</w:t>
            </w:r>
          </w:p>
        </w:tc>
        <w:tc>
          <w:tcPr>
            <w:tcW w:w="1383" w:type="dxa"/>
            <w:tcBorders>
              <w:top w:val="nil"/>
              <w:left w:val="nil"/>
              <w:bottom w:val="nil"/>
              <w:right w:val="nil"/>
            </w:tcBorders>
            <w:noWrap/>
            <w:vAlign w:val="bottom"/>
            <w:hideMark/>
          </w:tcPr>
          <w:p w14:paraId="1414397F"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1.850133</w:t>
            </w:r>
          </w:p>
        </w:tc>
        <w:tc>
          <w:tcPr>
            <w:tcW w:w="1662" w:type="dxa"/>
            <w:tcBorders>
              <w:top w:val="nil"/>
              <w:left w:val="nil"/>
              <w:bottom w:val="nil"/>
              <w:right w:val="nil"/>
            </w:tcBorders>
            <w:noWrap/>
            <w:vAlign w:val="bottom"/>
            <w:hideMark/>
          </w:tcPr>
          <w:p w14:paraId="66EE7E19"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-0.17414</w:t>
            </w:r>
          </w:p>
        </w:tc>
        <w:tc>
          <w:tcPr>
            <w:tcW w:w="1291" w:type="dxa"/>
            <w:tcBorders>
              <w:top w:val="nil"/>
              <w:left w:val="nil"/>
              <w:bottom w:val="nil"/>
              <w:right w:val="nil"/>
            </w:tcBorders>
            <w:noWrap/>
            <w:vAlign w:val="bottom"/>
            <w:hideMark/>
          </w:tcPr>
          <w:p w14:paraId="6668716D"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11</w:t>
            </w:r>
          </w:p>
        </w:tc>
        <w:tc>
          <w:tcPr>
            <w:tcW w:w="1333" w:type="dxa"/>
            <w:tcBorders>
              <w:top w:val="nil"/>
              <w:left w:val="nil"/>
              <w:bottom w:val="nil"/>
              <w:right w:val="nil"/>
            </w:tcBorders>
            <w:noWrap/>
            <w:vAlign w:val="bottom"/>
            <w:hideMark/>
          </w:tcPr>
          <w:p w14:paraId="4FD45576"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8</w:t>
            </w:r>
          </w:p>
        </w:tc>
        <w:tc>
          <w:tcPr>
            <w:tcW w:w="1358" w:type="dxa"/>
            <w:tcBorders>
              <w:top w:val="nil"/>
              <w:left w:val="nil"/>
              <w:bottom w:val="nil"/>
              <w:right w:val="nil"/>
            </w:tcBorders>
            <w:noWrap/>
            <w:vAlign w:val="bottom"/>
            <w:hideMark/>
          </w:tcPr>
          <w:p w14:paraId="1FDF7B2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7</w:t>
            </w:r>
          </w:p>
        </w:tc>
        <w:tc>
          <w:tcPr>
            <w:tcW w:w="3018" w:type="dxa"/>
            <w:tcBorders>
              <w:top w:val="nil"/>
              <w:left w:val="nil"/>
              <w:bottom w:val="nil"/>
              <w:right w:val="nil"/>
            </w:tcBorders>
            <w:noWrap/>
            <w:vAlign w:val="bottom"/>
            <w:hideMark/>
          </w:tcPr>
          <w:p w14:paraId="5B84D84B"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18</w:t>
            </w:r>
          </w:p>
        </w:tc>
        <w:tc>
          <w:tcPr>
            <w:tcW w:w="1221" w:type="dxa"/>
            <w:tcBorders>
              <w:top w:val="nil"/>
              <w:left w:val="nil"/>
              <w:bottom w:val="nil"/>
              <w:right w:val="nil"/>
            </w:tcBorders>
            <w:noWrap/>
            <w:vAlign w:val="bottom"/>
            <w:hideMark/>
          </w:tcPr>
          <w:p w14:paraId="126A8D84" w14:textId="77777777" w:rsidR="00291736" w:rsidRPr="00291736" w:rsidRDefault="00291736" w:rsidP="00291736">
            <w:pPr>
              <w:spacing w:after="0" w:line="240" w:lineRule="auto"/>
              <w:jc w:val="right"/>
              <w:rPr>
                <w:rFonts w:ascii="Calibri" w:eastAsia="Times New Roman" w:hAnsi="Calibri" w:cs="Calibri"/>
                <w:color w:val="000000"/>
                <w:lang w:val="en-IN" w:eastAsia="en-IN"/>
              </w:rPr>
            </w:pPr>
            <w:r w:rsidRPr="00291736">
              <w:rPr>
                <w:rFonts w:ascii="Calibri" w:eastAsia="Times New Roman" w:hAnsi="Calibri" w:cs="Calibri"/>
                <w:color w:val="000000"/>
                <w:lang w:val="en-IN" w:eastAsia="en-IN"/>
              </w:rPr>
              <w:t>10</w:t>
            </w:r>
          </w:p>
        </w:tc>
      </w:tr>
    </w:tbl>
    <w:p w14:paraId="0D456434" w14:textId="77777777" w:rsidR="00291736" w:rsidRDefault="00291736" w:rsidP="00C6010C">
      <w:pPr>
        <w:jc w:val="both"/>
      </w:pPr>
    </w:p>
    <w:p w14:paraId="35AC03BF" w14:textId="115D0FD9" w:rsidR="00291736" w:rsidRDefault="00291736" w:rsidP="00C6010C">
      <w:pPr>
        <w:jc w:val="both"/>
      </w:pPr>
      <w:r w:rsidRPr="00291736">
        <w:t>Top Funds Based on Composite Score</w:t>
      </w:r>
    </w:p>
    <w:p w14:paraId="398F1523" w14:textId="1E3478BC" w:rsidR="00291736" w:rsidRDefault="00291736" w:rsidP="00C6010C">
      <w:pPr>
        <w:jc w:val="both"/>
      </w:pPr>
      <w:r>
        <w:rPr>
          <w:noProof/>
        </w:rPr>
        <w:lastRenderedPageBreak/>
        <w:drawing>
          <wp:inline distT="0" distB="0" distL="0" distR="0" wp14:anchorId="5E089239" wp14:editId="5656DA0B">
            <wp:extent cx="5486400" cy="2743200"/>
            <wp:effectExtent l="0" t="0" r="0" b="0"/>
            <wp:docPr id="410138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8976" name="Picture 410138976"/>
                    <pic:cNvPicPr/>
                  </pic:nvPicPr>
                  <pic:blipFill>
                    <a:blip r:embed="rId12"/>
                    <a:stretch>
                      <a:fillRect/>
                    </a:stretch>
                  </pic:blipFill>
                  <pic:spPr>
                    <a:xfrm>
                      <a:off x="0" y="0"/>
                      <a:ext cx="5486400" cy="2743200"/>
                    </a:xfrm>
                    <a:prstGeom prst="rect">
                      <a:avLst/>
                    </a:prstGeom>
                  </pic:spPr>
                </pic:pic>
              </a:graphicData>
            </a:graphic>
          </wp:inline>
        </w:drawing>
      </w:r>
    </w:p>
    <w:p w14:paraId="54E9EAF7" w14:textId="77777777" w:rsidR="00291736" w:rsidRDefault="00291736" w:rsidP="00C6010C">
      <w:pPr>
        <w:jc w:val="both"/>
      </w:pPr>
      <w:r w:rsidRPr="00291736">
        <w:t>Rolling Sharpe Ratios show changing risk-adjusted performance over time.</w:t>
      </w:r>
    </w:p>
    <w:p w14:paraId="55760159" w14:textId="77777777" w:rsidR="00291736" w:rsidRDefault="00291736" w:rsidP="00C6010C">
      <w:pPr>
        <w:jc w:val="both"/>
      </w:pPr>
    </w:p>
    <w:p w14:paraId="51E07734" w14:textId="77777777" w:rsidR="00291736" w:rsidRDefault="00291736" w:rsidP="00C6010C">
      <w:pPr>
        <w:jc w:val="both"/>
      </w:pPr>
    </w:p>
    <w:p w14:paraId="4176BD29" w14:textId="2B1EA659" w:rsidR="00291736" w:rsidRDefault="00291736" w:rsidP="00C6010C">
      <w:pPr>
        <w:jc w:val="both"/>
      </w:pPr>
      <w:r>
        <w:rPr>
          <w:noProof/>
        </w:rPr>
        <w:drawing>
          <wp:inline distT="0" distB="0" distL="0" distR="0" wp14:anchorId="665C0D3B" wp14:editId="605D105E">
            <wp:extent cx="4343774" cy="2457450"/>
            <wp:effectExtent l="0" t="0" r="0" b="0"/>
            <wp:docPr id="1876680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80059" name="Picture 1876680059"/>
                    <pic:cNvPicPr/>
                  </pic:nvPicPr>
                  <pic:blipFill>
                    <a:blip r:embed="rId13"/>
                    <a:stretch>
                      <a:fillRect/>
                    </a:stretch>
                  </pic:blipFill>
                  <pic:spPr>
                    <a:xfrm>
                      <a:off x="0" y="0"/>
                      <a:ext cx="4351791" cy="2461985"/>
                    </a:xfrm>
                    <a:prstGeom prst="rect">
                      <a:avLst/>
                    </a:prstGeom>
                  </pic:spPr>
                </pic:pic>
              </a:graphicData>
            </a:graphic>
          </wp:inline>
        </w:drawing>
      </w:r>
    </w:p>
    <w:p w14:paraId="546CF5A4" w14:textId="647397E4" w:rsidR="00291736" w:rsidRDefault="00291736" w:rsidP="00C6010C">
      <w:pPr>
        <w:jc w:val="both"/>
      </w:pPr>
      <w:r w:rsidRPr="00291736">
        <w:t>Industry Overview</w:t>
      </w:r>
    </w:p>
    <w:p w14:paraId="14E34D48" w14:textId="77777777" w:rsidR="00291736" w:rsidRDefault="00291736" w:rsidP="00C6010C">
      <w:pPr>
        <w:jc w:val="both"/>
      </w:pPr>
      <w:r>
        <w:rPr>
          <w:noProof/>
        </w:rPr>
        <w:lastRenderedPageBreak/>
        <w:drawing>
          <wp:inline distT="0" distB="0" distL="0" distR="0" wp14:anchorId="51644C51" wp14:editId="7FEBA3E8">
            <wp:extent cx="4882537" cy="2762250"/>
            <wp:effectExtent l="0" t="0" r="0" b="0"/>
            <wp:docPr id="1929578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8960" name="Picture 1929578960"/>
                    <pic:cNvPicPr/>
                  </pic:nvPicPr>
                  <pic:blipFill>
                    <a:blip r:embed="rId14"/>
                    <a:stretch>
                      <a:fillRect/>
                    </a:stretch>
                  </pic:blipFill>
                  <pic:spPr>
                    <a:xfrm>
                      <a:off x="0" y="0"/>
                      <a:ext cx="4883423" cy="2762751"/>
                    </a:xfrm>
                    <a:prstGeom prst="rect">
                      <a:avLst/>
                    </a:prstGeom>
                  </pic:spPr>
                </pic:pic>
              </a:graphicData>
            </a:graphic>
          </wp:inline>
        </w:drawing>
      </w:r>
    </w:p>
    <w:p w14:paraId="175E241B" w14:textId="68C51D6F" w:rsidR="00291736" w:rsidRDefault="00291736" w:rsidP="00C6010C">
      <w:pPr>
        <w:jc w:val="both"/>
      </w:pPr>
      <w:r w:rsidRPr="00291736">
        <w:t>Fund Performance</w:t>
      </w:r>
    </w:p>
    <w:p w14:paraId="4C65EAFF" w14:textId="77777777" w:rsidR="00291736" w:rsidRDefault="00291736" w:rsidP="00C6010C">
      <w:pPr>
        <w:jc w:val="both"/>
      </w:pPr>
    </w:p>
    <w:p w14:paraId="63288917" w14:textId="77777777" w:rsidR="00291736" w:rsidRDefault="00291736" w:rsidP="00C6010C">
      <w:pPr>
        <w:jc w:val="both"/>
      </w:pPr>
    </w:p>
    <w:p w14:paraId="5DFAD1E6" w14:textId="77777777" w:rsidR="00291736" w:rsidRDefault="00291736" w:rsidP="00C6010C">
      <w:pPr>
        <w:jc w:val="both"/>
      </w:pPr>
    </w:p>
    <w:p w14:paraId="686AA4E5" w14:textId="77777777" w:rsidR="00291736" w:rsidRDefault="00291736" w:rsidP="00C6010C">
      <w:pPr>
        <w:jc w:val="both"/>
      </w:pPr>
    </w:p>
    <w:p w14:paraId="0F475D3C" w14:textId="77777777" w:rsidR="00291736" w:rsidRDefault="00291736" w:rsidP="00C6010C">
      <w:pPr>
        <w:jc w:val="both"/>
      </w:pPr>
    </w:p>
    <w:p w14:paraId="3E3446FA" w14:textId="77777777" w:rsidR="00291736" w:rsidRDefault="00291736" w:rsidP="00C6010C">
      <w:pPr>
        <w:jc w:val="both"/>
      </w:pPr>
    </w:p>
    <w:p w14:paraId="1EAF97EE" w14:textId="77777777" w:rsidR="00291736" w:rsidRDefault="00291736" w:rsidP="00C6010C">
      <w:pPr>
        <w:jc w:val="both"/>
      </w:pPr>
    </w:p>
    <w:p w14:paraId="432139A0" w14:textId="77777777" w:rsidR="00291736" w:rsidRDefault="00291736" w:rsidP="00C6010C">
      <w:pPr>
        <w:jc w:val="both"/>
      </w:pPr>
    </w:p>
    <w:p w14:paraId="2141D57C" w14:textId="77777777" w:rsidR="00291736" w:rsidRDefault="00291736" w:rsidP="00C6010C">
      <w:pPr>
        <w:jc w:val="both"/>
      </w:pPr>
      <w:r>
        <w:rPr>
          <w:noProof/>
        </w:rPr>
        <w:lastRenderedPageBreak/>
        <w:drawing>
          <wp:inline distT="0" distB="0" distL="0" distR="0" wp14:anchorId="3BBDC493" wp14:editId="43FE4040">
            <wp:extent cx="5429250" cy="3074689"/>
            <wp:effectExtent l="0" t="0" r="0" b="0"/>
            <wp:docPr id="983440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0753" name="Picture 983440753"/>
                    <pic:cNvPicPr/>
                  </pic:nvPicPr>
                  <pic:blipFill>
                    <a:blip r:embed="rId15"/>
                    <a:stretch>
                      <a:fillRect/>
                    </a:stretch>
                  </pic:blipFill>
                  <pic:spPr>
                    <a:xfrm>
                      <a:off x="0" y="0"/>
                      <a:ext cx="5439257" cy="3080356"/>
                    </a:xfrm>
                    <a:prstGeom prst="rect">
                      <a:avLst/>
                    </a:prstGeom>
                  </pic:spPr>
                </pic:pic>
              </a:graphicData>
            </a:graphic>
          </wp:inline>
        </w:drawing>
      </w:r>
    </w:p>
    <w:p w14:paraId="3CBD643D" w14:textId="2ECB382F" w:rsidR="00291736" w:rsidRDefault="00291736" w:rsidP="00C6010C">
      <w:pPr>
        <w:jc w:val="both"/>
      </w:pPr>
      <w:r w:rsidRPr="00291736">
        <w:t>Investor Analytics</w:t>
      </w:r>
    </w:p>
    <w:p w14:paraId="213D36C0" w14:textId="0BF3C10D" w:rsidR="00291736" w:rsidRDefault="00291736" w:rsidP="00C6010C">
      <w:pPr>
        <w:jc w:val="both"/>
      </w:pPr>
      <w:r>
        <w:rPr>
          <w:noProof/>
        </w:rPr>
        <w:drawing>
          <wp:inline distT="0" distB="0" distL="0" distR="0" wp14:anchorId="31AFEE22" wp14:editId="7BB5DC01">
            <wp:extent cx="5486400" cy="3083560"/>
            <wp:effectExtent l="0" t="0" r="0" b="2540"/>
            <wp:docPr id="328629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9778" name="Picture 328629778"/>
                    <pic:cNvPicPr/>
                  </pic:nvPicPr>
                  <pic:blipFill>
                    <a:blip r:embed="rId16"/>
                    <a:stretch>
                      <a:fillRect/>
                    </a:stretch>
                  </pic:blipFill>
                  <pic:spPr>
                    <a:xfrm>
                      <a:off x="0" y="0"/>
                      <a:ext cx="5486400" cy="3083560"/>
                    </a:xfrm>
                    <a:prstGeom prst="rect">
                      <a:avLst/>
                    </a:prstGeom>
                  </pic:spPr>
                </pic:pic>
              </a:graphicData>
            </a:graphic>
          </wp:inline>
        </w:drawing>
      </w:r>
    </w:p>
    <w:p w14:paraId="715CC35E" w14:textId="0358FE61" w:rsidR="00291736" w:rsidRDefault="00291736" w:rsidP="00C6010C">
      <w:pPr>
        <w:jc w:val="both"/>
      </w:pPr>
      <w:r w:rsidRPr="00291736">
        <w:t>SIP &amp; Market Trends</w:t>
      </w:r>
    </w:p>
    <w:p w14:paraId="696E3ECD" w14:textId="77777777" w:rsidR="00113352" w:rsidRDefault="00000000" w:rsidP="00C6010C">
      <w:pPr>
        <w:pStyle w:val="Heading1"/>
        <w:jc w:val="both"/>
      </w:pPr>
      <w:r>
        <w:t>Limitations</w:t>
      </w:r>
    </w:p>
    <w:p w14:paraId="456C1E02" w14:textId="77777777" w:rsidR="00113352" w:rsidRDefault="00000000" w:rsidP="00C6010C">
      <w:pPr>
        <w:jc w:val="both"/>
      </w:pPr>
      <w:r>
        <w:t>The project relied on available datasets and historical observations. Results may vary with updated market conditions. Additional macroeconomic and real-time data could further enhance analysis.</w:t>
      </w:r>
    </w:p>
    <w:p w14:paraId="5FC7FCE7" w14:textId="77777777" w:rsidR="00113352" w:rsidRDefault="00000000" w:rsidP="00C6010C">
      <w:pPr>
        <w:jc w:val="both"/>
      </w:pPr>
      <w:r>
        <w:lastRenderedPageBreak/>
        <w:t>The project relied on available datasets and historical observations. Results may vary with updated market conditions. Additional macroeconomic and real-time data could further enhance analysis.</w:t>
      </w:r>
    </w:p>
    <w:p w14:paraId="163E2361" w14:textId="77777777" w:rsidR="00113352" w:rsidRDefault="00000000" w:rsidP="00C6010C">
      <w:pPr>
        <w:jc w:val="both"/>
      </w:pPr>
      <w:r>
        <w:t>The project relied on available datasets and historical observations. Results may vary with updated market conditions. Additional macroeconomic and real-time data could further enhance analysis.</w:t>
      </w:r>
    </w:p>
    <w:p w14:paraId="68E00492" w14:textId="77777777" w:rsidR="00113352" w:rsidRDefault="00000000" w:rsidP="00C6010C">
      <w:pPr>
        <w:jc w:val="both"/>
      </w:pPr>
      <w:r>
        <w:t>The project relied on available datasets and historical observations. Results may vary with updated market conditions. Additional macroeconomic and real-time data could further enhance analysis.</w:t>
      </w:r>
    </w:p>
    <w:p w14:paraId="751C480D" w14:textId="77777777" w:rsidR="00113352" w:rsidRDefault="00000000" w:rsidP="00C6010C">
      <w:pPr>
        <w:pStyle w:val="Heading1"/>
        <w:jc w:val="both"/>
      </w:pPr>
      <w:r>
        <w:t>Recommendations</w:t>
      </w:r>
    </w:p>
    <w:p w14:paraId="590513F5" w14:textId="77777777" w:rsidR="00113352" w:rsidRDefault="00000000" w:rsidP="00C6010C">
      <w:pPr>
        <w:jc w:val="both"/>
      </w:pPr>
      <w:r>
        <w:t>Future enhancements include predictive modeling, portfolio optimization, machine learning recommendations, real-time data integration, and deployment through cloud-based dashboards.</w:t>
      </w:r>
    </w:p>
    <w:p w14:paraId="32DB73F3" w14:textId="77777777" w:rsidR="00113352" w:rsidRDefault="00000000" w:rsidP="00C6010C">
      <w:pPr>
        <w:jc w:val="both"/>
      </w:pPr>
      <w:r>
        <w:t>Future enhancements include predictive modeling, portfolio optimization, machine learning recommendations, real-time data integration, and deployment through cloud-based dashboards.</w:t>
      </w:r>
    </w:p>
    <w:p w14:paraId="27FBF1DE" w14:textId="77777777" w:rsidR="00113352" w:rsidRDefault="00000000" w:rsidP="00C6010C">
      <w:pPr>
        <w:jc w:val="both"/>
      </w:pPr>
      <w:r>
        <w:t>Future enhancements include predictive modeling, portfolio optimization, machine learning recommendations, real-time data integration, and deployment through cloud-based dashboards.</w:t>
      </w:r>
    </w:p>
    <w:p w14:paraId="077A9B28" w14:textId="77777777" w:rsidR="00113352" w:rsidRDefault="00000000" w:rsidP="00C6010C">
      <w:pPr>
        <w:jc w:val="both"/>
      </w:pPr>
      <w:r>
        <w:t>Future enhancements include predictive modeling, portfolio optimization, machine learning recommendations, real-time data integration, and deployment through cloud-based dashboards.</w:t>
      </w:r>
    </w:p>
    <w:p w14:paraId="059F0847" w14:textId="77777777" w:rsidR="00113352" w:rsidRDefault="00000000" w:rsidP="00C6010C">
      <w:pPr>
        <w:pStyle w:val="Heading1"/>
        <w:jc w:val="both"/>
      </w:pPr>
      <w:r>
        <w:t>Conclusion</w:t>
      </w:r>
    </w:p>
    <w:p w14:paraId="410D4EDB" w14:textId="77777777" w:rsidR="00113352" w:rsidRDefault="00000000" w:rsidP="00C6010C">
      <w:pPr>
        <w:jc w:val="both"/>
      </w:pPr>
      <w:r>
        <w:t>The project successfully implemented a complete mutual fund analytics workflow from raw data to business insights. It demonstrated practical applications of data analytics, database management, risk assessment, and dashboard reporting.</w:t>
      </w:r>
    </w:p>
    <w:p w14:paraId="3696F0D7" w14:textId="77777777" w:rsidR="00113352" w:rsidRDefault="00000000" w:rsidP="00C6010C">
      <w:pPr>
        <w:jc w:val="both"/>
      </w:pPr>
      <w:r>
        <w:t>The project successfully implemented a complete mutual fund analytics workflow from raw data to business insights. It demonstrated practical applications of data analytics, database management, risk assessment, and dashboard reporting.</w:t>
      </w:r>
    </w:p>
    <w:p w14:paraId="57A2344E" w14:textId="77777777" w:rsidR="00113352" w:rsidRDefault="00000000" w:rsidP="00C6010C">
      <w:pPr>
        <w:jc w:val="both"/>
      </w:pPr>
      <w:r>
        <w:t>The project successfully implemented a complete mutual fund analytics workflow from raw data to business insights. It demonstrated practical applications of data analytics, database management, risk assessment, and dashboard reporting.</w:t>
      </w:r>
    </w:p>
    <w:p w14:paraId="04BD8A21" w14:textId="77777777" w:rsidR="00113352" w:rsidRDefault="00000000" w:rsidP="00C6010C">
      <w:pPr>
        <w:jc w:val="both"/>
      </w:pPr>
      <w:r>
        <w:lastRenderedPageBreak/>
        <w:t>The project successfully implemented a complete mutual fund analytics workflow from raw data to business insights. It demonstrated practical applications of data analytics, database management, risk assessment, and dashboard reporting.</w:t>
      </w:r>
    </w:p>
    <w:p w14:paraId="5768807C" w14:textId="77777777" w:rsidR="00291736" w:rsidRDefault="00291736" w:rsidP="00C6010C">
      <w:pPr>
        <w:jc w:val="both"/>
      </w:pPr>
    </w:p>
    <w:p w14:paraId="37B160DE" w14:textId="77777777" w:rsidR="00291736" w:rsidRDefault="00291736" w:rsidP="00291736">
      <w:pPr>
        <w:jc w:val="both"/>
        <w:rPr>
          <w:rFonts w:asciiTheme="majorHAnsi" w:hAnsiTheme="majorHAnsi" w:cstheme="majorHAnsi"/>
          <w:b/>
          <w:bCs/>
          <w:color w:val="365F91" w:themeColor="accent1" w:themeShade="BF"/>
          <w:sz w:val="28"/>
          <w:szCs w:val="28"/>
          <w:lang w:val="en-IN"/>
        </w:rPr>
      </w:pPr>
      <w:r w:rsidRPr="00291736">
        <w:rPr>
          <w:rFonts w:asciiTheme="majorHAnsi" w:hAnsiTheme="majorHAnsi" w:cstheme="majorHAnsi"/>
          <w:b/>
          <w:bCs/>
          <w:color w:val="365F91" w:themeColor="accent1" w:themeShade="BF"/>
          <w:sz w:val="28"/>
          <w:szCs w:val="28"/>
          <w:lang w:val="en-IN"/>
        </w:rPr>
        <w:t>References</w:t>
      </w:r>
    </w:p>
    <w:p w14:paraId="50B36597" w14:textId="206B8AC9" w:rsidR="00291736" w:rsidRDefault="00291736" w:rsidP="00291736">
      <w:pPr>
        <w:spacing w:after="0"/>
        <w:jc w:val="both"/>
        <w:rPr>
          <w:rFonts w:asciiTheme="majorHAnsi" w:hAnsiTheme="majorHAnsi" w:cstheme="majorHAnsi"/>
          <w:color w:val="000000" w:themeColor="text1"/>
          <w:sz w:val="28"/>
          <w:szCs w:val="28"/>
          <w:lang w:val="en-IN"/>
        </w:rPr>
      </w:pPr>
      <w:hyperlink r:id="rId17" w:history="1">
        <w:r w:rsidRPr="0004788D">
          <w:rPr>
            <w:rStyle w:val="Hyperlink"/>
            <w:rFonts w:asciiTheme="majorHAnsi" w:hAnsiTheme="majorHAnsi" w:cstheme="majorHAnsi"/>
            <w:sz w:val="28"/>
            <w:szCs w:val="28"/>
            <w:lang w:val="en-IN"/>
          </w:rPr>
          <w:t>https://www.amfiindia.com</w:t>
        </w:r>
      </w:hyperlink>
    </w:p>
    <w:p w14:paraId="0D4D3CDB" w14:textId="41D69C15" w:rsidR="00291736" w:rsidRDefault="00291736" w:rsidP="00291736">
      <w:pPr>
        <w:spacing w:after="0"/>
        <w:jc w:val="both"/>
        <w:rPr>
          <w:rFonts w:asciiTheme="majorHAnsi" w:hAnsiTheme="majorHAnsi" w:cstheme="majorHAnsi"/>
          <w:color w:val="000000" w:themeColor="text1"/>
          <w:sz w:val="28"/>
          <w:szCs w:val="28"/>
          <w:lang w:val="en-IN"/>
        </w:rPr>
      </w:pPr>
      <w:hyperlink r:id="rId18" w:history="1">
        <w:r w:rsidRPr="0004788D">
          <w:rPr>
            <w:rStyle w:val="Hyperlink"/>
            <w:rFonts w:asciiTheme="majorHAnsi" w:hAnsiTheme="majorHAnsi" w:cstheme="majorHAnsi"/>
            <w:sz w:val="28"/>
            <w:szCs w:val="28"/>
            <w:lang w:val="en-IN"/>
          </w:rPr>
          <w:t>https://www.mfapi.in</w:t>
        </w:r>
      </w:hyperlink>
    </w:p>
    <w:p w14:paraId="67245FB8" w14:textId="5DB5AE3F" w:rsidR="00291736" w:rsidRDefault="00291736" w:rsidP="00291736">
      <w:pPr>
        <w:spacing w:after="0"/>
        <w:jc w:val="both"/>
        <w:rPr>
          <w:rFonts w:asciiTheme="majorHAnsi" w:hAnsiTheme="majorHAnsi" w:cstheme="majorHAnsi"/>
          <w:color w:val="000000" w:themeColor="text1"/>
          <w:sz w:val="28"/>
          <w:szCs w:val="28"/>
          <w:lang w:val="en-IN"/>
        </w:rPr>
      </w:pPr>
      <w:hyperlink r:id="rId19" w:history="1">
        <w:r w:rsidRPr="0004788D">
          <w:rPr>
            <w:rStyle w:val="Hyperlink"/>
            <w:rFonts w:asciiTheme="majorHAnsi" w:hAnsiTheme="majorHAnsi" w:cstheme="majorHAnsi"/>
            <w:sz w:val="28"/>
            <w:szCs w:val="28"/>
            <w:lang w:val="en-IN"/>
          </w:rPr>
          <w:t>https://pandas.pydata.org</w:t>
        </w:r>
      </w:hyperlink>
    </w:p>
    <w:p w14:paraId="7978FE97" w14:textId="7C9FE928" w:rsidR="00291736" w:rsidRDefault="00291736" w:rsidP="00291736">
      <w:pPr>
        <w:spacing w:after="0"/>
        <w:jc w:val="both"/>
        <w:rPr>
          <w:rFonts w:asciiTheme="majorHAnsi" w:hAnsiTheme="majorHAnsi" w:cstheme="majorHAnsi"/>
          <w:color w:val="000000" w:themeColor="text1"/>
          <w:sz w:val="28"/>
          <w:szCs w:val="28"/>
          <w:lang w:val="en-IN"/>
        </w:rPr>
      </w:pPr>
      <w:hyperlink r:id="rId20" w:history="1">
        <w:r w:rsidRPr="0004788D">
          <w:rPr>
            <w:rStyle w:val="Hyperlink"/>
            <w:rFonts w:asciiTheme="majorHAnsi" w:hAnsiTheme="majorHAnsi" w:cstheme="majorHAnsi"/>
            <w:sz w:val="28"/>
            <w:szCs w:val="28"/>
            <w:lang w:val="en-IN"/>
          </w:rPr>
          <w:t>https://numpy.org</w:t>
        </w:r>
      </w:hyperlink>
    </w:p>
    <w:p w14:paraId="31CBE483" w14:textId="0F85442F" w:rsidR="00291736" w:rsidRDefault="00291736" w:rsidP="00291736">
      <w:pPr>
        <w:spacing w:after="0"/>
        <w:jc w:val="both"/>
        <w:rPr>
          <w:rFonts w:asciiTheme="majorHAnsi" w:hAnsiTheme="majorHAnsi" w:cstheme="majorHAnsi"/>
          <w:color w:val="000000" w:themeColor="text1"/>
          <w:sz w:val="28"/>
          <w:szCs w:val="28"/>
          <w:lang w:val="en-IN"/>
        </w:rPr>
      </w:pPr>
      <w:hyperlink r:id="rId21" w:history="1">
        <w:r w:rsidRPr="0004788D">
          <w:rPr>
            <w:rStyle w:val="Hyperlink"/>
            <w:rFonts w:asciiTheme="majorHAnsi" w:hAnsiTheme="majorHAnsi" w:cstheme="majorHAnsi"/>
            <w:sz w:val="28"/>
            <w:szCs w:val="28"/>
            <w:lang w:val="en-IN"/>
          </w:rPr>
          <w:t>https://matplotlib.org</w:t>
        </w:r>
      </w:hyperlink>
    </w:p>
    <w:p w14:paraId="760A4097" w14:textId="7350ED1F" w:rsidR="00291736" w:rsidRDefault="00291736" w:rsidP="00291736">
      <w:pPr>
        <w:spacing w:after="0"/>
        <w:jc w:val="both"/>
        <w:rPr>
          <w:rFonts w:asciiTheme="majorHAnsi" w:hAnsiTheme="majorHAnsi" w:cstheme="majorHAnsi"/>
          <w:color w:val="000000" w:themeColor="text1"/>
          <w:sz w:val="28"/>
          <w:szCs w:val="28"/>
          <w:lang w:val="en-IN"/>
        </w:rPr>
      </w:pPr>
      <w:hyperlink r:id="rId22" w:history="1">
        <w:r w:rsidRPr="0004788D">
          <w:rPr>
            <w:rStyle w:val="Hyperlink"/>
            <w:rFonts w:asciiTheme="majorHAnsi" w:hAnsiTheme="majorHAnsi" w:cstheme="majorHAnsi"/>
            <w:sz w:val="28"/>
            <w:szCs w:val="28"/>
            <w:lang w:val="en-IN"/>
          </w:rPr>
          <w:t>https://plotly.com</w:t>
        </w:r>
      </w:hyperlink>
    </w:p>
    <w:p w14:paraId="025CDA3E" w14:textId="23F62409" w:rsidR="00291736" w:rsidRDefault="00291736" w:rsidP="00291736">
      <w:pPr>
        <w:spacing w:after="0"/>
        <w:jc w:val="both"/>
        <w:rPr>
          <w:rFonts w:asciiTheme="majorHAnsi" w:hAnsiTheme="majorHAnsi" w:cstheme="majorHAnsi"/>
          <w:color w:val="000000" w:themeColor="text1"/>
          <w:sz w:val="28"/>
          <w:szCs w:val="28"/>
          <w:lang w:val="en-IN"/>
        </w:rPr>
      </w:pPr>
      <w:hyperlink r:id="rId23" w:history="1">
        <w:r w:rsidRPr="0004788D">
          <w:rPr>
            <w:rStyle w:val="Hyperlink"/>
            <w:rFonts w:asciiTheme="majorHAnsi" w:hAnsiTheme="majorHAnsi" w:cstheme="majorHAnsi"/>
            <w:sz w:val="28"/>
            <w:szCs w:val="28"/>
            <w:lang w:val="en-IN"/>
          </w:rPr>
          <w:t>https://www.sqlite.org</w:t>
        </w:r>
      </w:hyperlink>
    </w:p>
    <w:p w14:paraId="5AC37AD9" w14:textId="3EF4BE4B" w:rsidR="00291736" w:rsidRDefault="00291736" w:rsidP="00291736">
      <w:pPr>
        <w:spacing w:after="0"/>
        <w:jc w:val="both"/>
        <w:rPr>
          <w:rFonts w:asciiTheme="majorHAnsi" w:hAnsiTheme="majorHAnsi" w:cstheme="majorHAnsi"/>
          <w:color w:val="000000" w:themeColor="text1"/>
          <w:sz w:val="28"/>
          <w:szCs w:val="28"/>
          <w:lang w:val="en-IN"/>
        </w:rPr>
      </w:pPr>
      <w:hyperlink r:id="rId24" w:history="1">
        <w:r w:rsidRPr="0004788D">
          <w:rPr>
            <w:rStyle w:val="Hyperlink"/>
            <w:rFonts w:asciiTheme="majorHAnsi" w:hAnsiTheme="majorHAnsi" w:cstheme="majorHAnsi"/>
            <w:sz w:val="28"/>
            <w:szCs w:val="28"/>
            <w:lang w:val="en-IN"/>
          </w:rPr>
          <w:t>https://powerbi.microsoft.com</w:t>
        </w:r>
      </w:hyperlink>
    </w:p>
    <w:p w14:paraId="69601647" w14:textId="77777777" w:rsidR="00291736" w:rsidRDefault="00291736" w:rsidP="00C6010C">
      <w:pPr>
        <w:jc w:val="both"/>
        <w:rPr>
          <w:rFonts w:asciiTheme="majorHAnsi" w:hAnsiTheme="majorHAnsi" w:cstheme="majorHAnsi"/>
          <w:color w:val="000000" w:themeColor="text1"/>
          <w:sz w:val="28"/>
          <w:szCs w:val="28"/>
          <w:lang w:val="en-IN"/>
        </w:rPr>
      </w:pPr>
    </w:p>
    <w:p w14:paraId="212734B5" w14:textId="77777777" w:rsidR="00291736" w:rsidRDefault="00291736" w:rsidP="00291736">
      <w:pPr>
        <w:jc w:val="both"/>
      </w:pPr>
      <w:r>
        <w:t>GitHub Repository:</w:t>
      </w:r>
    </w:p>
    <w:p w14:paraId="6889B111" w14:textId="04ED29A1" w:rsidR="00291736" w:rsidRDefault="00291736" w:rsidP="00291736">
      <w:pPr>
        <w:jc w:val="both"/>
      </w:pPr>
      <w:hyperlink r:id="rId25" w:history="1">
        <w:r w:rsidRPr="0004788D">
          <w:rPr>
            <w:rStyle w:val="Hyperlink"/>
          </w:rPr>
          <w:t>https://github.com/kbhrsiddhi1289/mutual-fund-analytics</w:t>
        </w:r>
      </w:hyperlink>
    </w:p>
    <w:p w14:paraId="3BACA57C" w14:textId="77777777" w:rsidR="00291736" w:rsidRDefault="00291736" w:rsidP="00291736">
      <w:pPr>
        <w:jc w:val="both"/>
      </w:pPr>
    </w:p>
    <w:sectPr w:rsidR="002917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42072">
    <w:abstractNumId w:val="8"/>
  </w:num>
  <w:num w:numId="2" w16cid:durableId="830829840">
    <w:abstractNumId w:val="6"/>
  </w:num>
  <w:num w:numId="3" w16cid:durableId="1388794865">
    <w:abstractNumId w:val="5"/>
  </w:num>
  <w:num w:numId="4" w16cid:durableId="1208643605">
    <w:abstractNumId w:val="4"/>
  </w:num>
  <w:num w:numId="5" w16cid:durableId="1765832580">
    <w:abstractNumId w:val="7"/>
  </w:num>
  <w:num w:numId="6" w16cid:durableId="748842007">
    <w:abstractNumId w:val="3"/>
  </w:num>
  <w:num w:numId="7" w16cid:durableId="1276794559">
    <w:abstractNumId w:val="2"/>
  </w:num>
  <w:num w:numId="8" w16cid:durableId="2018195724">
    <w:abstractNumId w:val="1"/>
  </w:num>
  <w:num w:numId="9" w16cid:durableId="103457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E22"/>
    <w:rsid w:val="00113352"/>
    <w:rsid w:val="0015074B"/>
    <w:rsid w:val="00291736"/>
    <w:rsid w:val="0029639D"/>
    <w:rsid w:val="00326F90"/>
    <w:rsid w:val="00A556A0"/>
    <w:rsid w:val="00AA1D8D"/>
    <w:rsid w:val="00B47730"/>
    <w:rsid w:val="00C6010C"/>
    <w:rsid w:val="00CB0664"/>
    <w:rsid w:val="00F57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EE8CF"/>
  <w14:defaultImageDpi w14:val="300"/>
  <w15:docId w15:val="{549ED615-B562-45B0-B005-59F11EB2E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1736"/>
    <w:rPr>
      <w:color w:val="0000FF" w:themeColor="hyperlink"/>
      <w:u w:val="single"/>
    </w:rPr>
  </w:style>
  <w:style w:type="character" w:styleId="UnresolvedMention">
    <w:name w:val="Unresolved Mention"/>
    <w:basedOn w:val="DefaultParagraphFont"/>
    <w:uiPriority w:val="99"/>
    <w:semiHidden/>
    <w:unhideWhenUsed/>
    <w:rsid w:val="00291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mfapi.i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amfiindia.com" TargetMode="External"/><Relationship Id="rId25" Type="http://schemas.openxmlformats.org/officeDocument/2006/relationships/hyperlink" Target="https://github.com/kbhrsiddhi1289/mutual-fund-analyti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powerbi.microsof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sqlite.org" TargetMode="External"/><Relationship Id="rId10" Type="http://schemas.openxmlformats.org/officeDocument/2006/relationships/image" Target="media/image5.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lotly.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SIDDHI KUMBHAR</cp:lastModifiedBy>
  <cp:revision>2</cp:revision>
  <dcterms:created xsi:type="dcterms:W3CDTF">2026-06-11T18:06:00Z</dcterms:created>
  <dcterms:modified xsi:type="dcterms:W3CDTF">2026-06-11T18:06:00Z</dcterms:modified>
  <cp:category/>
</cp:coreProperties>
</file>