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467F"/>
          <w:sz w:val="32"/>
        </w:rPr>
        <w:t>Content Management in Health Care:</w:t>
      </w:r>
    </w:p>
    <w:p>
      <w:pPr>
        <w:jc w:val="center"/>
      </w:pPr>
      <w:r>
        <w:rPr>
          <w:rFonts w:ascii="Calibri" w:hAnsi="Calibri"/>
          <w:b w:val="0"/>
          <w:color w:val="505050"/>
          <w:sz w:val="26"/>
        </w:rPr>
        <w:t>AI-Driven Policy Intelligence — Opportunities, Threats, and Strategic Investments for Cotiviti</w:t>
      </w:r>
    </w:p>
    <w:p>
      <w:pPr>
        <w:jc w:val="center"/>
      </w:pPr>
      <w:r>
        <w:rPr>
          <w:rFonts w:ascii="Calibri" w:hAnsi="Calibri"/>
          <w:b w:val="0"/>
          <w:color w:val="787878"/>
          <w:sz w:val="20"/>
        </w:rPr>
        <w:t>Likitha KB  |  Cotiviti Intern Assessment  |  June 2026</w:t>
      </w:r>
    </w:p>
    <w:p/>
    <w:p>
      <w:pPr>
        <w:pStyle w:val="Heading2"/>
        <w:jc w:val="left"/>
      </w:pPr>
      <w:r>
        <w:rPr>
          <w:color w:val="00467F"/>
        </w:rPr>
        <w:t>1. Concept Definition</w:t>
      </w:r>
    </w:p>
    <w:p>
      <w:pPr>
        <w:spacing w:after="120" w:before="0"/>
      </w:pPr>
      <w:r>
        <w:rPr>
          <w:rFonts w:ascii="Calibri" w:hAnsi="Calibri"/>
          <w:sz w:val="22"/>
        </w:rPr>
        <w:t>Content management in healthcare encompasses the creation, storage, governance, and application of structured and unstructured policy documents that govern clinical and financial operations. This includes billing and coding policies (CPT, ICD-10, HCPCS), clinical practice guidelines (CPGs), payer-provider contracts, and prior authorization rules. These documents collectively shape how care is delivered, reimbursed, and audited across the U.S. healthcare system.</w:t>
      </w:r>
    </w:p>
    <w:p>
      <w:pPr>
        <w:spacing w:after="120" w:before="0"/>
      </w:pPr>
      <w:r>
        <w:rPr>
          <w:rFonts w:ascii="Calibri" w:hAnsi="Calibri"/>
          <w:sz w:val="22"/>
        </w:rPr>
        <w:t>Historically, policy management has been a labor-intensive, manual process. Revenue cycle teams, clinical coders, and payer relations staff must constantly monitor updates from CMS, AMA, commercial payers, and regulatory bodies — then translate those changes into operational rules and system configurations. The volume and velocity of policy change has made this increasingly untenable at scale.</w:t>
      </w:r>
    </w:p>
    <w:p>
      <w:pPr>
        <w:spacing w:after="120" w:before="0"/>
      </w:pPr>
      <w:r>
        <w:rPr>
          <w:rFonts w:ascii="Calibri" w:hAnsi="Calibri"/>
          <w:sz w:val="22"/>
        </w:rPr>
        <w:t>Large Language Models (LLMs) and generative AI have emerged as transformative technologies for this domain. Their ability to read, summarize, compare, and extract structured rules from free-text policy documents maps directly to the core bottlenecks in healthcare content management (Johnson et al., 2024; Tan et al., 2025).</w:t>
      </w:r>
    </w:p>
    <w:p>
      <w:pPr>
        <w:pStyle w:val="Heading2"/>
        <w:jc w:val="left"/>
      </w:pPr>
      <w:r>
        <w:rPr>
          <w:color w:val="00467F"/>
        </w:rPr>
        <w:t>2. Relevant Trends</w:t>
      </w:r>
    </w:p>
    <w:p>
      <w:pPr>
        <w:pStyle w:val="Heading3"/>
        <w:jc w:val="left"/>
      </w:pPr>
      <w:r>
        <w:rPr>
          <w:color w:val="00467F"/>
        </w:rPr>
        <w:t>Accelerating Policy Change</w:t>
      </w:r>
    </w:p>
    <w:p>
      <w:pPr>
        <w:spacing w:after="120" w:before="0"/>
      </w:pPr>
      <w:r>
        <w:rPr>
          <w:rFonts w:ascii="Calibri" w:hAnsi="Calibri"/>
          <w:sz w:val="22"/>
        </w:rPr>
        <w:t>CMS updates the Medicare Physician Fee Schedule (MPFS) annually, the ICD-10 code set adds hundreds of codes per year, and commercial payers issue policy updates continuously. The 2024 AMA E/M documentation guidelines alone required immediate workflow changes at thousands of provider organizations. Health plans spend an estimated $280 billion annually on administration, with $20–23 billion directly attributable to provider contracting and policy management (Zapro.ai, 2026).</w:t>
      </w:r>
    </w:p>
    <w:p>
      <w:pPr>
        <w:pStyle w:val="Heading3"/>
        <w:jc w:val="left"/>
      </w:pPr>
      <w:r>
        <w:rPr>
          <w:color w:val="00467F"/>
        </w:rPr>
        <w:t>AI Adoption in Revenue Cycle Management</w:t>
      </w:r>
    </w:p>
    <w:p>
      <w:pPr>
        <w:spacing w:after="120" w:before="0"/>
      </w:pPr>
      <w:r>
        <w:rPr>
          <w:rFonts w:ascii="Calibri" w:hAnsi="Calibri"/>
          <w:sz w:val="22"/>
        </w:rPr>
        <w:t>AI adoption in billing and coding has grown dramatically: 46% of hospitals used AI in billing and claims in 2023, rising to 70% using predictive AI in 2024 — a 25 percentage-point year-over-year increase (BCBS, 2024). LLM-based tools now assist with automated coding, documentation summarization, and prior authorization. Domain-fine-tuned models have achieved 97% exact match on structured coding tasks versus less than 1% for general-purpose models (Sully.ai, 2025).</w:t>
      </w:r>
    </w:p>
    <w:p>
      <w:pPr>
        <w:pStyle w:val="Heading3"/>
        <w:jc w:val="left"/>
      </w:pPr>
      <w:r>
        <w:rPr>
          <w:color w:val="00467F"/>
        </w:rPr>
        <w:t>Policy-to-Code Automation</w:t>
      </w:r>
    </w:p>
    <w:p>
      <w:pPr>
        <w:spacing w:after="120" w:before="0"/>
      </w:pPr>
      <w:r>
        <w:rPr>
          <w:rFonts w:ascii="Calibri" w:hAnsi="Calibri"/>
          <w:sz w:val="22"/>
        </w:rPr>
        <w:t>A growing capability frontier involves converting written policy into executable logic — business rules, decision trees, or model features. Research on LLMs for clinical guideline extraction (PMC 12413144, 2025) demonstrates that models like GPT-4o and Claude can extract pharmacogenomics and coding guidelines with clinically meaningful accuracy. Payer-provider contract automation is also emerging, with AI-driven tools flagging fee schedule discrepancies and automating compliance checks (HiLabs, 2024; Becker's Payer, 2025).</w:t>
      </w:r>
    </w:p>
    <w:p>
      <w:pPr>
        <w:pStyle w:val="Heading2"/>
        <w:jc w:val="left"/>
      </w:pPr>
      <w:r>
        <w:rPr>
          <w:color w:val="00467F"/>
        </w:rPr>
        <w:t>3. Opportunities and Threats</w:t>
      </w:r>
    </w:p>
    <w:p>
      <w:pPr>
        <w:pStyle w:val="Heading3"/>
        <w:jc w:val="left"/>
      </w:pPr>
      <w:r>
        <w:rPr>
          <w:color w:val="00467F"/>
        </w:rPr>
        <w:t>Opportunities</w:t>
      </w:r>
    </w:p>
    <w:p>
      <w:pPr>
        <w:pStyle w:val="ListBullet"/>
        <w:spacing w:after="60"/>
      </w:pPr>
      <w:r>
        <w:rPr>
          <w:rFonts w:ascii="Calibri" w:hAnsi="Calibri"/>
          <w:b/>
          <w:sz w:val="22"/>
        </w:rPr>
        <w:t xml:space="preserve">Automation of Policy Change Monitoring: </w:t>
      </w:r>
      <w:r>
        <w:rPr>
          <w:rFonts w:ascii="Calibri" w:hAnsi="Calibri"/>
          <w:b w:val="0"/>
          <w:sz w:val="22"/>
        </w:rPr>
        <w:t>Reduce analyst burden by 40–60% through automated policy diff-and-summarize pipelines, freeing staff for high-judgment review tasks.</w:t>
      </w:r>
    </w:p>
    <w:p>
      <w:pPr>
        <w:pStyle w:val="ListBullet"/>
        <w:spacing w:after="60"/>
      </w:pPr>
      <w:r>
        <w:rPr>
          <w:rFonts w:ascii="Calibri" w:hAnsi="Calibri"/>
          <w:b/>
          <w:sz w:val="22"/>
        </w:rPr>
        <w:t xml:space="preserve">Policy-to-Rule Extraction: </w:t>
      </w:r>
      <w:r>
        <w:rPr>
          <w:rFonts w:ascii="Calibri" w:hAnsi="Calibri"/>
          <w:b w:val="0"/>
          <w:sz w:val="22"/>
        </w:rPr>
        <w:t>Convert updated billing policies directly into denial-prevention rules and claims editing logic, reducing avoidable denials (currently costing providers ~$262B annually in rework; Experian Health, 2024).</w:t>
      </w:r>
    </w:p>
    <w:p>
      <w:pPr>
        <w:pStyle w:val="ListBullet"/>
        <w:spacing w:after="60"/>
      </w:pPr>
      <w:r>
        <w:rPr>
          <w:rFonts w:ascii="Calibri" w:hAnsi="Calibri"/>
          <w:b/>
          <w:sz w:val="22"/>
        </w:rPr>
        <w:t xml:space="preserve">Payer-Provider Contract Intelligence: </w:t>
      </w:r>
      <w:r>
        <w:rPr>
          <w:rFonts w:ascii="Calibri" w:hAnsi="Calibri"/>
          <w:b w:val="0"/>
          <w:sz w:val="22"/>
        </w:rPr>
        <w:t>Surface contract compliance risks proactively — e.g., when a payer's reimbursement policy changes in a way that affects contracted rates.</w:t>
      </w:r>
    </w:p>
    <w:p>
      <w:pPr>
        <w:pStyle w:val="ListBullet"/>
        <w:spacing w:after="60"/>
      </w:pPr>
      <w:r>
        <w:rPr>
          <w:rFonts w:ascii="Calibri" w:hAnsi="Calibri"/>
          <w:b/>
          <w:sz w:val="22"/>
        </w:rPr>
        <w:t xml:space="preserve">Structured Knowledge for Downstream AI: </w:t>
      </w:r>
      <w:r>
        <w:rPr>
          <w:rFonts w:ascii="Calibri" w:hAnsi="Calibri"/>
          <w:b w:val="0"/>
          <w:sz w:val="22"/>
        </w:rPr>
        <w:t>Generate structured, machine-readable policy summaries for downstream ML models used in fraud, waste, and abuse (FWA) detection.</w:t>
      </w:r>
    </w:p>
    <w:p>
      <w:pPr>
        <w:pStyle w:val="Heading3"/>
        <w:jc w:val="left"/>
      </w:pPr>
      <w:r>
        <w:rPr>
          <w:color w:val="00467F"/>
        </w:rPr>
        <w:t>Threats</w:t>
      </w:r>
    </w:p>
    <w:p>
      <w:pPr>
        <w:pStyle w:val="ListBullet"/>
        <w:spacing w:after="60"/>
      </w:pPr>
      <w:r>
        <w:rPr>
          <w:rFonts w:ascii="Calibri" w:hAnsi="Calibri"/>
          <w:b/>
          <w:sz w:val="22"/>
        </w:rPr>
        <w:t xml:space="preserve">Hallucination and Accuracy Risk: </w:t>
      </w:r>
      <w:r>
        <w:rPr>
          <w:rFonts w:ascii="Calibri" w:hAnsi="Calibri"/>
          <w:b w:val="0"/>
          <w:sz w:val="22"/>
        </w:rPr>
        <w:t>LLMs can misread ambiguous policy language or miss jurisdiction-specific nuances, creating incorrect rules that cause claim denials or compliance violations.</w:t>
      </w:r>
    </w:p>
    <w:p>
      <w:pPr>
        <w:pStyle w:val="ListBullet"/>
        <w:spacing w:after="60"/>
      </w:pPr>
      <w:r>
        <w:rPr>
          <w:rFonts w:ascii="Calibri" w:hAnsi="Calibri"/>
          <w:b/>
          <w:sz w:val="22"/>
        </w:rPr>
        <w:t xml:space="preserve">Data Privacy and HIPAA Compliance: </w:t>
      </w:r>
      <w:r>
        <w:rPr>
          <w:rFonts w:ascii="Calibri" w:hAnsi="Calibri"/>
          <w:b w:val="0"/>
          <w:sz w:val="22"/>
        </w:rPr>
        <w:t>Policies often contain PHI-adjacent context; processing them through third-party LLM APIs requires careful data governance and BAA agreements.</w:t>
      </w:r>
    </w:p>
    <w:p>
      <w:pPr>
        <w:pStyle w:val="ListBullet"/>
        <w:spacing w:after="60"/>
      </w:pPr>
      <w:r>
        <w:rPr>
          <w:rFonts w:ascii="Calibri" w:hAnsi="Calibri"/>
          <w:b/>
          <w:sz w:val="22"/>
        </w:rPr>
        <w:t xml:space="preserve">Regulatory and Legal Exposure: </w:t>
      </w:r>
      <w:r>
        <w:rPr>
          <w:rFonts w:ascii="Calibri" w:hAnsi="Calibri"/>
          <w:b w:val="0"/>
          <w:sz w:val="22"/>
        </w:rPr>
        <w:t>AI-assisted billing is an explicit DOJ enforcement priority; FY2025 saw a record $5.7B in healthcare False Claims Act settlements (DOJ, 2025).</w:t>
      </w:r>
    </w:p>
    <w:p>
      <w:pPr>
        <w:pStyle w:val="ListBullet"/>
        <w:spacing w:after="60"/>
      </w:pPr>
      <w:r>
        <w:rPr>
          <w:rFonts w:ascii="Calibri" w:hAnsi="Calibri"/>
          <w:b/>
          <w:sz w:val="22"/>
        </w:rPr>
        <w:t xml:space="preserve">Over-Automation Without Human Oversight: </w:t>
      </w:r>
      <w:r>
        <w:rPr>
          <w:rFonts w:ascii="Calibri" w:hAnsi="Calibri"/>
          <w:b w:val="0"/>
          <w:sz w:val="22"/>
        </w:rPr>
        <w:t>Physicians and coders may over-rely on AI outputs without adequate review, especially as documentation and prior authorization recommendations become automated.</w:t>
      </w:r>
    </w:p>
    <w:p>
      <w:r>
        <w:br w:type="page"/>
      </w:r>
    </w:p>
    <w:p>
      <w:pPr>
        <w:pStyle w:val="Heading2"/>
        <w:jc w:val="left"/>
      </w:pPr>
      <w:r>
        <w:rPr>
          <w:color w:val="00467F"/>
        </w:rPr>
        <w:t>4. Strategic Recommendations for Cotiviti</w:t>
      </w:r>
    </w:p>
    <w:p>
      <w:pPr>
        <w:spacing w:after="120" w:before="0"/>
      </w:pPr>
      <w:r>
        <w:rPr>
          <w:rFonts w:ascii="Calibri" w:hAnsi="Calibri"/>
          <w:sz w:val="22"/>
        </w:rPr>
        <w:t>Cotiviti's position as the highest-designated Leader in the Everest Group Payment Integrity PEAK Matrix (2025) creates a compelling strategic opportunity to embed AI-driven policy intelligence into its core payment accuracy platform. Three strategic investments are proposed:</w:t>
      </w:r>
    </w:p>
    <w:p>
      <w:pPr>
        <w:pStyle w:val="Heading3"/>
        <w:jc w:val="left"/>
      </w:pPr>
      <w:r>
        <w:rPr>
          <w:color w:val="00467F"/>
        </w:rPr>
        <w:t>Investment 1: PolicyIQ — Automated Policy Change Intelligence</w:t>
      </w:r>
    </w:p>
    <w:p>
      <w:pPr>
        <w:spacing w:after="120" w:before="0"/>
      </w:pPr>
      <w:r>
        <w:rPr>
          <w:rFonts w:ascii="Calibri" w:hAnsi="Calibri"/>
          <w:sz w:val="22"/>
        </w:rPr>
        <w:t>Build an internal LLM pipeline that continuously monitors CMS, AMA, and payer policy feeds, automatically detects version changes, generates structured change summaries, and flags high-risk changes for human review. This directly reduces the time from policy publication to claims-editing system update — currently a weeks-long manual process at most payers. The POC in this submission demonstrates the core technical capability: policy comparison, structured rule extraction, and automated alert generation using the Google Gemini API.</w:t>
      </w:r>
    </w:p>
    <w:p>
      <w:pPr>
        <w:pStyle w:val="Heading3"/>
        <w:jc w:val="left"/>
      </w:pPr>
      <w:r>
        <w:rPr>
          <w:color w:val="00467F"/>
        </w:rPr>
        <w:t>Investment 2: Policy-to-Rule Compiler</w:t>
      </w:r>
    </w:p>
    <w:p>
      <w:pPr>
        <w:spacing w:after="120" w:before="0"/>
      </w:pPr>
      <w:r>
        <w:rPr>
          <w:rFonts w:ascii="Calibri" w:hAnsi="Calibri"/>
          <w:sz w:val="22"/>
        </w:rPr>
        <w:t>Extend the LLM pipeline to convert extracted coding rules directly into executable business logic: decision tree exports, SQL WHERE clauses, or HL7-compliant CDS Hooks for real-time clinical decision support. This positions Cotiviti to offer payer clients a faster, auditable path from new CMS guidance to live claims-editing rules — a key competitive differentiator.</w:t>
      </w:r>
    </w:p>
    <w:p>
      <w:pPr>
        <w:pStyle w:val="Heading3"/>
        <w:jc w:val="left"/>
      </w:pPr>
      <w:r>
        <w:rPr>
          <w:color w:val="00467F"/>
        </w:rPr>
        <w:t>Investment 3: Human-in-the-Loop Review Workflow</w:t>
      </w:r>
    </w:p>
    <w:p>
      <w:pPr>
        <w:spacing w:after="120" w:before="0"/>
      </w:pPr>
      <w:r>
        <w:rPr>
          <w:rFonts w:ascii="Calibri" w:hAnsi="Calibri"/>
          <w:sz w:val="22"/>
        </w:rPr>
        <w:t>Deploy a review interface where AI-generated policy summaries and extracted rules are routed to clinical coding experts for validation before activation. This mitigates hallucination risk, satisfies regulatory expectations for human oversight of AI in healthcare billing, and builds an auditable trail for compliance purposes. The human-AI collaboration model is essential for responsible deployment in a high-stakes FWA and False Claims Act environment.</w:t>
      </w:r>
    </w:p>
    <w:p>
      <w:pPr>
        <w:pStyle w:val="Heading2"/>
        <w:jc w:val="left"/>
      </w:pPr>
      <w:r>
        <w:rPr>
          <w:color w:val="00467F"/>
        </w:rPr>
        <w:t>Conclusion</w:t>
      </w:r>
    </w:p>
    <w:p>
      <w:pPr>
        <w:spacing w:after="120" w:before="0"/>
      </w:pPr>
      <w:r>
        <w:rPr>
          <w:rFonts w:ascii="Calibri" w:hAnsi="Calibri"/>
          <w:sz w:val="22"/>
        </w:rPr>
        <w:t>AI-driven content management represents one of the highest-ROI investment areas available to healthcare payers today. The combination of large-scale policy volume, high cost of manual management, and availability of capable LLMs creates a compelling case for Cotiviti to build and commercialize policy intelligence capabilities. The key success factors are accuracy, auditability, and human-in-the-loop governance — not automation for its own sake.</w:t>
      </w:r>
    </w:p>
    <w:p>
      <w:r>
        <w:br w:type="page"/>
      </w:r>
    </w:p>
    <w:p>
      <w:pPr>
        <w:pStyle w:val="Heading1"/>
        <w:jc w:val="left"/>
      </w:pPr>
      <w:r>
        <w:rPr>
          <w:color w:val="00467F"/>
        </w:rPr>
        <w:t>Bibliography</w:t>
      </w:r>
    </w:p>
    <w:p>
      <w:pPr>
        <w:pStyle w:val="ListNumber"/>
        <w:spacing w:after="80"/>
      </w:pPr>
      <w:r>
        <w:rPr>
          <w:rFonts w:ascii="Calibri" w:hAnsi="Calibri"/>
          <w:b w:val="0"/>
          <w:sz w:val="20"/>
        </w:rPr>
        <w:t>Blue Cross Blue Shield Association. (2024). "Studies Show How AI Is Shaping Hospital Billing Trends." BCBS News and Insights. https://www.bcbs.com/news-and-insights/report/ai-boosting-hospital-billing</w:t>
      </w:r>
    </w:p>
    <w:p>
      <w:pPr>
        <w:pStyle w:val="ListNumber"/>
        <w:spacing w:after="80"/>
      </w:pPr>
      <w:r>
        <w:rPr>
          <w:rFonts w:ascii="Calibri" w:hAnsi="Calibri"/>
          <w:b w:val="0"/>
          <w:sz w:val="20"/>
        </w:rPr>
        <w:t>Becker's Payer Issues. (2025). "Reimagining Provider Contract Management with AI." https://www.beckerspayer.com/payer/reimagining-provider-contract-management-with-ai/</w:t>
      </w:r>
    </w:p>
    <w:p>
      <w:pPr>
        <w:pStyle w:val="ListNumber"/>
        <w:spacing w:after="80"/>
      </w:pPr>
      <w:r>
        <w:rPr>
          <w:rFonts w:ascii="Calibri" w:hAnsi="Calibri"/>
          <w:b w:val="0"/>
          <w:sz w:val="20"/>
        </w:rPr>
        <w:t>Centers for Medicare &amp; Medicaid Services. (2023). Evaluation and Management (E/M) Services Guide. https://www.cms.gov/outreach-and-education/medicare-learning-network-mln/mlnproducts/downloads/eval-mgmt-serv-guide-icn006764.pdf</w:t>
      </w:r>
    </w:p>
    <w:p>
      <w:pPr>
        <w:pStyle w:val="ListNumber"/>
        <w:spacing w:after="80"/>
      </w:pPr>
      <w:r>
        <w:rPr>
          <w:rFonts w:ascii="Calibri" w:hAnsi="Calibri"/>
          <w:b w:val="0"/>
          <w:sz w:val="20"/>
        </w:rPr>
        <w:t>Cotiviti. (2025). "Cotiviti Named Highest-Designated Leader by Everest Group in the Payment Integrity Solutions PEAK Matrix® Assessment 2025." https://www.cotiviti.com/press-release/cotiviti-named-highest-designated-leader-by-everest-group-in-the-payment-integrity-solutions-peak-matrix-assessment-2025</w:t>
      </w:r>
    </w:p>
    <w:p>
      <w:pPr>
        <w:pStyle w:val="ListNumber"/>
        <w:spacing w:after="80"/>
      </w:pPr>
      <w:r>
        <w:rPr>
          <w:rFonts w:ascii="Calibri" w:hAnsi="Calibri"/>
          <w:b w:val="0"/>
          <w:sz w:val="20"/>
        </w:rPr>
        <w:t>U.S. Department of Justice. (2025). "Justice Department Recovers Record $6.8 Billion in False Claims Act Settlements and Judgments in FY 2025." https://www.justice.gov/opa</w:t>
      </w:r>
    </w:p>
    <w:p>
      <w:pPr>
        <w:pStyle w:val="ListNumber"/>
        <w:spacing w:after="80"/>
      </w:pPr>
      <w:r>
        <w:rPr>
          <w:rFonts w:ascii="Calibri" w:hAnsi="Calibri"/>
          <w:b w:val="0"/>
          <w:sz w:val="20"/>
        </w:rPr>
        <w:t>HiLabs. (2024). "Why Payers are Turning to AI for Provider Contract Management." https://blog.hilabs.com/blog/why-payers-are-turning-to-ai-for-provider-contract-management</w:t>
      </w:r>
    </w:p>
    <w:p>
      <w:pPr>
        <w:pStyle w:val="ListNumber"/>
        <w:spacing w:after="80"/>
      </w:pPr>
      <w:r>
        <w:rPr>
          <w:rFonts w:ascii="Calibri" w:hAnsi="Calibri"/>
          <w:b w:val="0"/>
          <w:sz w:val="20"/>
        </w:rPr>
        <w:t>iMedX. (2025). "Key Trends for 2025: Navigating the Future of Medical Coding and Billing." https://imedx.com/2025-key-trends-for-medical-coding-and-billing/</w:t>
      </w:r>
    </w:p>
    <w:p>
      <w:pPr>
        <w:pStyle w:val="ListNumber"/>
        <w:spacing w:after="80"/>
      </w:pPr>
      <w:r>
        <w:rPr>
          <w:rFonts w:ascii="Calibri" w:hAnsi="Calibri"/>
          <w:b w:val="0"/>
          <w:sz w:val="20"/>
        </w:rPr>
        <w:t>Johnson, A., et al. (2024). "A Review of Large Language Models in Medical Education, Clinical Decision Support, and Healthcare Administration." PMC. https://pmc.ncbi.nlm.nih.gov/articles/PMC11942098/</w:t>
      </w:r>
    </w:p>
    <w:p>
      <w:pPr>
        <w:pStyle w:val="ListNumber"/>
        <w:spacing w:after="80"/>
      </w:pPr>
      <w:r>
        <w:rPr>
          <w:rFonts w:ascii="Calibri" w:hAnsi="Calibri"/>
          <w:b w:val="0"/>
          <w:sz w:val="20"/>
        </w:rPr>
        <w:t>Nguyen, T., et al. (2025). "Extracting Clinical Guideline Information Using Two Large Language Models: Evaluation Study." PMC. https://www.ncbi.nlm.nih.gov/pmc/articles/PMC12413144/</w:t>
      </w:r>
    </w:p>
    <w:p>
      <w:pPr>
        <w:pStyle w:val="ListNumber"/>
        <w:spacing w:after="80"/>
      </w:pPr>
      <w:r>
        <w:rPr>
          <w:rFonts w:ascii="Calibri" w:hAnsi="Calibri"/>
          <w:b w:val="0"/>
          <w:sz w:val="20"/>
        </w:rPr>
        <w:t>Sully.ai. (2025). "LLM vs Rule-Based AI Medical Coding by Specialty." https://www.sully.ai/blog/llm-based-vs.-rule-based-ai-medical-coding-which-approach-works-better-for-your-specialty</w:t>
      </w:r>
    </w:p>
    <w:p>
      <w:pPr>
        <w:pStyle w:val="ListNumber"/>
        <w:spacing w:after="80"/>
      </w:pPr>
      <w:r>
        <w:rPr>
          <w:rFonts w:ascii="Calibri" w:hAnsi="Calibri"/>
          <w:b w:val="0"/>
          <w:sz w:val="20"/>
        </w:rPr>
        <w:t>Tan, Z., et al. (2025). "BRIDGE: Benchmarking Large Language Models for Understanding Real-World Clinical Practice Texts." Nature Biomedical Engineering. https://www.nature.com/articles/s41551-026-01719-2</w:t>
      </w:r>
    </w:p>
    <w:p>
      <w:pPr>
        <w:pStyle w:val="ListNumber"/>
        <w:spacing w:after="80"/>
      </w:pPr>
      <w:r>
        <w:rPr>
          <w:rFonts w:ascii="Calibri" w:hAnsi="Calibri"/>
          <w:b w:val="0"/>
          <w:sz w:val="20"/>
        </w:rPr>
        <w:t>Zapro.ai. (2026). "Payer Contract Management Strategies for 2026." https://zapro.ai/contract-management/payer-contract-management/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