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3.png" ContentType="image/png"/>
  <Override PartName="/word/media/rId46.png" ContentType="image/png"/>
  <Override PartName="/word/media/rId54.png" ContentType="image/png"/>
  <Override PartName="/word/media/rId50.png" ContentType="image/png"/>
  <Override PartName="/word/media/rId31.jpg" ContentType="image/jpeg"/>
  <Override PartName="/word/media/rId1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Removing the disguise: the matched guise technique and listener awareness</w:t>
      </w:r>
    </w:p>
    <w:p>
      <w:pPr>
        <w:pStyle w:val="Author"/>
      </w:pPr>
      <w:r>
        <w:t xml:space="preserve"> </w:t>
      </w:r>
    </w:p>
    <w:p>
      <w:pPr>
        <w:pStyle w:val="Author"/>
      </w:pPr>
      <w:r>
        <w:t xml:space="preserve">Kyler Laycock</w:t>
      </w:r>
      <w:r>
        <w:rPr>
          <w:vertAlign w:val="superscript"/>
        </w:rPr>
        <w:t xml:space="preserve">1</w:t>
      </w:r>
      <w:r>
        <w:t xml:space="preserve"> and Kevin B McGowan</w:t>
      </w:r>
      <w:r>
        <w:rPr>
          <w:vertAlign w:val="superscript"/>
        </w:rPr>
        <w:t xml:space="preserve">2</w:t>
      </w:r>
    </w:p>
    <w:p>
      <w:pPr>
        <w:pStyle w:val="Author"/>
      </w:pPr>
      <w:r>
        <w:rPr>
          <w:vertAlign w:val="superscript"/>
        </w:rPr>
        <w:t xml:space="preserve">1</w:t>
      </w:r>
      <w:r>
        <w:t xml:space="preserve">The Ohio State University</w:t>
      </w:r>
    </w:p>
    <w:p>
      <w:pPr>
        <w:pStyle w:val="Author"/>
      </w:pPr>
      <w:r>
        <w:rPr>
          <w:vertAlign w:val="superscript"/>
        </w:rPr>
        <w:t xml:space="preserve">2</w:t>
      </w:r>
      <w:r>
        <w:t xml:space="preserve">University of Kentucky</w:t>
      </w:r>
    </w:p>
    <w:bookmarkEnd w:id="20"/>
    <w:bookmarkStart w:id="21" w:name="author-note"/>
    <w:p>
      <w:pPr>
        <w:pStyle w:val="Heading1"/>
      </w:pPr>
      <w:r>
        <w:t xml:space="preserve">Author Note</w:t>
      </w:r>
    </w:p>
    <w:p>
      <w:r>
        <w:br w:type="page"/>
      </w:r>
    </w:p>
    <w:bookmarkEnd w:id="21"/>
    <w:bookmarkStart w:id="22" w:name="abstract"/>
    <w:p>
      <w:pPr>
        <w:pStyle w:val="Heading1"/>
      </w:pPr>
      <w:r>
        <w:t xml:space="preserve">Abstract</w:t>
      </w:r>
    </w:p>
    <w:p>
      <w:pPr>
        <w:pStyle w:val="FirstParagraph"/>
      </w:pPr>
      <w:r>
        <w:rPr>
          <w:i/>
          <w:iCs/>
        </w:rPr>
        <w:t xml:space="preserve">Keywords</w:t>
      </w:r>
      <w:r>
        <w:t xml:space="preserve">: awareness, control, inverse matched guise, sociophonetic perception</w:t>
      </w:r>
    </w:p>
    <w:p>
      <w:r>
        <w:br w:type="page"/>
      </w:r>
    </w:p>
    <w:bookmarkEnd w:id="22"/>
    <w:bookmarkStart w:id="23" w:name="firstheader"/>
    <w:p>
      <w:pPr>
        <w:pStyle w:val="Heading1"/>
      </w:pPr>
      <w:r>
        <w:t xml:space="preserve">Removing the disguise: the matched guise technique and listener awareness</w:t>
      </w:r>
    </w:p>
    <w:bookmarkEnd w:id="23"/>
    <w:bookmarkStart w:id="27"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w:t>
      </w:r>
      <w:hyperlink w:anchor="ref-zimman2017">
        <w:r>
          <w:rPr>
            <w:rStyle w:val="Hyperlink"/>
          </w:rPr>
          <w:t xml:space="preserve">Zimman, 2017</w:t>
        </w:r>
      </w:hyperlink>
      <w:r>
        <w:t xml:space="preserve">)</w:t>
      </w:r>
      <w:r>
        <w:t xml:space="preserve"> </w:t>
      </w:r>
      <w:r>
        <w:t xml:space="preserve">comprising both non-linguistic and linguistic</w:t>
      </w:r>
      <w:r>
        <w:t xml:space="preserve"> </w:t>
      </w:r>
      <w:r>
        <w:t xml:space="preserve">resources</w:t>
      </w:r>
      <w:r>
        <w:t xml:space="preserve"> </w:t>
      </w:r>
      <w:r>
        <w:t xml:space="preserve">(</w:t>
      </w:r>
      <w:hyperlink w:anchor="ref-barrett2014">
        <w:r>
          <w:rPr>
            <w:rStyle w:val="Hyperlink"/>
          </w:rPr>
          <w:t xml:space="preserve">Barrett, 2014</w:t>
        </w:r>
      </w:hyperlink>
      <w:r>
        <w:t xml:space="preserve">;</w:t>
      </w:r>
      <w:r>
        <w:t xml:space="preserve"> </w:t>
      </w:r>
      <w:hyperlink w:anchor="ref-bucholtz2002">
        <w:r>
          <w:rPr>
            <w:rStyle w:val="Hyperlink"/>
          </w:rPr>
          <w:t xml:space="preserve">Bucholtz, 2002</w:t>
        </w:r>
      </w:hyperlink>
      <w:r>
        <w:t xml:space="preserve">)</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w:t>
      </w:r>
      <w:hyperlink w:anchor="ref-bucholtzHall2016">
        <w:r>
          <w:rPr>
            <w:rStyle w:val="Hyperlink"/>
          </w:rPr>
          <w:t xml:space="preserve">Bucholtz &amp; Hall, 2016</w:t>
        </w:r>
      </w:hyperlink>
      <w:r>
        <w:t xml:space="preserve">;</w:t>
      </w:r>
      <w:r>
        <w:t xml:space="preserve"> </w:t>
      </w:r>
      <w:hyperlink w:anchor="ref-hall2021language">
        <w:r>
          <w:rPr>
            <w:rStyle w:val="Hyperlink"/>
          </w:rPr>
          <w:t xml:space="preserve">Hall et al., 2021</w:t>
        </w:r>
      </w:hyperlink>
      <w:r>
        <w:t xml:space="preserve">;</w:t>
      </w:r>
      <w:r>
        <w:t xml:space="preserve"> </w:t>
      </w:r>
      <w:hyperlink w:anchor="ref-podesvaKajino2014">
        <w:r>
          <w:rPr>
            <w:rStyle w:val="Hyperlink"/>
          </w:rPr>
          <w:t xml:space="preserve">Podesva &amp; Kajino, 2014a</w:t>
        </w:r>
      </w:hyperlink>
      <w:r>
        <w:t xml:space="preserve">)</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w:t>
      </w:r>
      <w:hyperlink w:anchor="ref-calder2018">
        <w:r>
          <w:rPr>
            <w:rStyle w:val="Hyperlink"/>
          </w:rPr>
          <w:t xml:space="preserve">Calder, 2018</w:t>
        </w:r>
      </w:hyperlink>
      <w:r>
        <w:t xml:space="preserve">;</w:t>
      </w:r>
      <w:r>
        <w:t xml:space="preserve"> </w:t>
      </w:r>
      <w:hyperlink w:anchor="ref-mackMunson2012b">
        <w:r>
          <w:rPr>
            <w:rStyle w:val="Hyperlink"/>
          </w:rPr>
          <w:t xml:space="preserve">Mack &amp; Munson, 2012</w:t>
        </w:r>
      </w:hyperlink>
      <w:r>
        <w:t xml:space="preserve">;</w:t>
      </w:r>
      <w:r>
        <w:t xml:space="preserve"> </w:t>
      </w:r>
      <w:hyperlink w:anchor="ref-strand1999">
        <w:r>
          <w:rPr>
            <w:rStyle w:val="Hyperlink"/>
          </w:rPr>
          <w:t xml:space="preserve">Strand, 1999</w:t>
        </w:r>
      </w:hyperlink>
      <w:r>
        <w:t xml:space="preserve">)</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w:t>
      </w:r>
      <w:hyperlink w:anchor="ref-fant1960">
        <w:r>
          <w:rPr>
            <w:rStyle w:val="Hyperlink"/>
          </w:rPr>
          <w:t xml:space="preserve">Fant, 1960</w:t>
        </w:r>
      </w:hyperlink>
      <w:r>
        <w:t xml:space="preserve">;</w:t>
      </w:r>
      <w:r>
        <w:t xml:space="preserve"> </w:t>
      </w:r>
      <w:hyperlink w:anchor="ref-shadle1991">
        <w:r>
          <w:rPr>
            <w:rStyle w:val="Hyperlink"/>
          </w:rPr>
          <w:t xml:space="preserve">Shadle, 1991</w:t>
        </w:r>
      </w:hyperlink>
      <w:r>
        <w:t xml:space="preserve">)</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w:t>
      </w:r>
      <w:hyperlink w:anchor="ref-eckert2012">
        <w:r>
          <w:rPr>
            <w:rStyle w:val="Hyperlink"/>
          </w:rPr>
          <w:t xml:space="preserve">Eckert, 2012</w:t>
        </w:r>
      </w:hyperlink>
      <w:r>
        <w:t xml:space="preserve">;</w:t>
      </w:r>
      <w:r>
        <w:t xml:space="preserve"> </w:t>
      </w:r>
      <w:hyperlink w:anchor="ref-may1976">
        <w:r>
          <w:rPr>
            <w:rStyle w:val="Hyperlink"/>
          </w:rPr>
          <w:t xml:space="preserve">May, 1976a</w:t>
        </w:r>
      </w:hyperlink>
      <w:r>
        <w:t xml:space="preserve">;</w:t>
      </w:r>
      <w:r>
        <w:t xml:space="preserve"> </w:t>
      </w:r>
      <w:hyperlink w:anchor="ref-ohala1994">
        <w:r>
          <w:rPr>
            <w:rStyle w:val="Hyperlink"/>
          </w:rPr>
          <w:t xml:space="preserve">Ohala, 1994</w:t>
        </w:r>
      </w:hyperlink>
      <w:r>
        <w:t xml:space="preserve">)</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w:t>
      </w:r>
      <w:hyperlink w:anchor="ref-may1976">
        <w:r>
          <w:rPr>
            <w:rStyle w:val="Hyperlink"/>
          </w:rPr>
          <w:t xml:space="preserve">May, 1976a</w:t>
        </w:r>
      </w:hyperlink>
      <w:r>
        <w:t xml:space="preserve">)</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w:t>
      </w:r>
      <w:hyperlink w:anchor="ref-may1976">
        <w:r>
          <w:rPr>
            <w:rStyle w:val="Hyperlink"/>
          </w:rPr>
          <w:t xml:space="preserve">1976a</w:t>
        </w:r>
      </w:hyperlink>
      <w:r>
        <w:t xml:space="preserve">)</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w:t>
      </w:r>
      <w:hyperlink w:anchor="ref-munson2011">
        <w:r>
          <w:rPr>
            <w:rStyle w:val="Hyperlink"/>
          </w:rPr>
          <w:t xml:space="preserve">Munson, 2011</w:t>
        </w:r>
      </w:hyperlink>
      <w:r>
        <w:t xml:space="preserve">)</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w:t>
      </w:r>
      <w:hyperlink w:anchor="ref-repp1982">
        <w:r>
          <w:rPr>
            <w:rStyle w:val="Hyperlink"/>
          </w:rPr>
          <w:t xml:space="preserve">Repp, 1982</w:t>
        </w:r>
      </w:hyperlink>
      <w:r>
        <w:t xml:space="preserve">)</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w:t>
      </w:r>
      <w:hyperlink w:anchor="ref-bouavichithEtAl2019">
        <w:r>
          <w:rPr>
            <w:rStyle w:val="Hyperlink"/>
          </w:rPr>
          <w:t xml:space="preserve">Bouavichith et al., 2019</w:t>
        </w:r>
      </w:hyperlink>
      <w:r>
        <w:t xml:space="preserve">)</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w:t>
      </w:r>
      <w:hyperlink w:anchor="ref-munson2011">
        <w:r>
          <w:rPr>
            <w:rStyle w:val="Hyperlink"/>
          </w:rPr>
          <w:t xml:space="preserve">Munson, 2011</w:t>
        </w:r>
      </w:hyperlink>
      <w:r>
        <w:t xml:space="preserve">;</w:t>
      </w:r>
      <w:r>
        <w:t xml:space="preserve"> </w:t>
      </w:r>
      <w:hyperlink w:anchor="ref-strandJohnson1996">
        <w:r>
          <w:rPr>
            <w:rStyle w:val="Hyperlink"/>
          </w:rPr>
          <w:t xml:space="preserve">Strand &amp; Johnson, 1996</w:t>
        </w:r>
      </w:hyperlink>
      <w:r>
        <w:t xml:space="preserve">)</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w:t>
      </w:r>
      <w:hyperlink w:anchor="ref-foulkesDocherty2006">
        <w:r>
          <w:rPr>
            <w:rStyle w:val="Hyperlink"/>
          </w:rPr>
          <w:t xml:space="preserve">Foulkes &amp; Docherty, 2006</w:t>
        </w:r>
      </w:hyperlink>
      <w:r>
        <w:t xml:space="preserve">)</w:t>
      </w:r>
      <w:r>
        <w:t xml:space="preserve">, retrieve</w:t>
      </w:r>
      <w:r>
        <w:t xml:space="preserve"> </w:t>
      </w:r>
      <w:r>
        <w:t xml:space="preserve">(</w:t>
      </w:r>
      <w:hyperlink w:anchor="ref-walkerHay2011">
        <w:r>
          <w:rPr>
            <w:rStyle w:val="Hyperlink"/>
          </w:rPr>
          <w:t xml:space="preserve">Walker &amp; Hay, 2011</w:t>
        </w:r>
      </w:hyperlink>
      <w:r>
        <w:t xml:space="preserve">)</w:t>
      </w:r>
      <w:r>
        <w:t xml:space="preserve">, and even remember</w:t>
      </w:r>
      <w:r>
        <w:t xml:space="preserve"> </w:t>
      </w:r>
      <w:r>
        <w:t xml:space="preserve">(</w:t>
      </w:r>
      <w:hyperlink w:anchor="ref-nygaard1994">
        <w:r>
          <w:rPr>
            <w:rStyle w:val="Hyperlink"/>
          </w:rPr>
          <w:t xml:space="preserve">Nygaard et al., 1994</w:t>
        </w:r>
      </w:hyperlink>
      <w:r>
        <w:t xml:space="preserve">)</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w:t>
      </w:r>
      <w:hyperlink w:anchor="ref-babelCampbell-kiblerMcGowanVolume">
        <w:r>
          <w:rPr>
            <w:rStyle w:val="Hyperlink"/>
          </w:rPr>
          <w:t xml:space="preserve">A. M. Babel et al., this volume</w:t>
        </w:r>
      </w:hyperlink>
      <w:r>
        <w:t xml:space="preserv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4"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w:t>
      </w:r>
      <w:r>
        <w:t xml:space="preserve"> </w:t>
      </w:r>
      <w:hyperlink w:anchor="ref-may1976">
        <w:r>
          <w:rPr>
            <w:rStyle w:val="Hyperlink"/>
          </w:rPr>
          <w:t xml:space="preserve">May, 1976a</w:t>
        </w:r>
      </w:hyperlink>
      <w:r>
        <w:t xml:space="preserve">)</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w:t>
      </w:r>
      <w:hyperlink w:anchor="ref-kunisakifujisaki1977">
        <w:r>
          <w:rPr>
            <w:rStyle w:val="Hyperlink"/>
          </w:rPr>
          <w:t xml:space="preserve">Kunisaki &amp; Fujisaki, 1977</w:t>
        </w:r>
      </w:hyperlink>
      <w:r>
        <w:t xml:space="preserve">;</w:t>
      </w:r>
      <w:r>
        <w:t xml:space="preserve"> </w:t>
      </w:r>
      <w:hyperlink w:anchor="ref-MannRepp1980">
        <w:r>
          <w:rPr>
            <w:rStyle w:val="Hyperlink"/>
          </w:rPr>
          <w:t xml:space="preserve">Mann &amp; Repp, 1980</w:t>
        </w:r>
      </w:hyperlink>
      <w:r>
        <w:t xml:space="preserve">;</w:t>
      </w:r>
      <w:r>
        <w:t xml:space="preserve"> </w:t>
      </w:r>
      <w:hyperlink w:anchor="ref-whalen1981">
        <w:r>
          <w:rPr>
            <w:rStyle w:val="Hyperlink"/>
          </w:rPr>
          <w:t xml:space="preserve">Whalen, 1981</w:t>
        </w:r>
      </w:hyperlink>
      <w:r>
        <w:t xml:space="preserve">)</w:t>
      </w:r>
      <w:r>
        <w:t xml:space="preserve">.</w:t>
      </w:r>
      <w:r>
        <w:t xml:space="preserve"> </w:t>
      </w:r>
      <w:r>
        <w:t xml:space="preserve">Whalen (</w:t>
      </w:r>
      <w:hyperlink w:anchor="ref-whalen1984">
        <w:r>
          <w:rPr>
            <w:rStyle w:val="Hyperlink"/>
          </w:rPr>
          <w:t xml:space="preserve">1984</w:t>
        </w:r>
      </w:hyperlink>
      <w:r>
        <w:t xml:space="preserve">)</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w:t>
      </w:r>
      <w:hyperlink w:anchor="ref-MannRepp1980">
        <w:r>
          <w:rPr>
            <w:rStyle w:val="Hyperlink"/>
          </w:rPr>
          <w:t xml:space="preserve">1980</w:t>
        </w:r>
      </w:hyperlink>
      <w:r>
        <w:t xml:space="preserve">)</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w:t>
      </w:r>
      <w:hyperlink w:anchor="ref-ohala1984">
        <w:r>
          <w:rPr>
            <w:rStyle w:val="Hyperlink"/>
          </w:rPr>
          <w:t xml:space="preserve">Ohala, 1984</w:t>
        </w:r>
      </w:hyperlink>
      <w:r>
        <w:t xml:space="preserve">)</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w:t>
      </w:r>
      <w:hyperlink w:anchor="ref-strandJohnson1996">
        <w:r>
          <w:rPr>
            <w:rStyle w:val="Hyperlink"/>
          </w:rPr>
          <w:t xml:space="preserve">1996</w:t>
        </w:r>
      </w:hyperlink>
      <w:r>
        <w:t xml:space="preserve">)</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w:t>
      </w:r>
      <w:hyperlink w:anchor="ref-MannRepp1980">
        <w:r>
          <w:rPr>
            <w:rStyle w:val="Hyperlink"/>
          </w:rPr>
          <w:t xml:space="preserve">1980</w:t>
        </w:r>
      </w:hyperlink>
      <w:r>
        <w:t xml:space="preserve">)</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w:t>
      </w:r>
      <w:hyperlink w:anchor="ref-McGurkMacDonald1976">
        <w:r>
          <w:rPr>
            <w:rStyle w:val="Hyperlink"/>
          </w:rPr>
          <w:t xml:space="preserve">1976</w:t>
        </w:r>
      </w:hyperlink>
      <w:r>
        <w:t xml:space="preserve">)</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w:t>
      </w:r>
      <w:hyperlink w:anchor="ref-greenKuhlMeltzoffStevens1991">
        <w:r>
          <w:rPr>
            <w:rStyle w:val="Hyperlink"/>
          </w:rPr>
          <w:t xml:space="preserve">1991a</w:t>
        </w:r>
      </w:hyperlink>
      <w:r>
        <w:t xml:space="preserve">)</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t>
      </w:r>
      <w:hyperlink w:anchor="ref-whalen1991">
        <w:r>
          <w:rPr>
            <w:rStyle w:val="Hyperlink"/>
          </w:rPr>
          <w:t xml:space="preserve">Whalen, 1991</w:t>
        </w:r>
      </w:hyperlink>
      <w:r>
        <w:t xml:space="preserve">)</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w:t>
      </w:r>
      <w:hyperlink w:anchor="ref-mackMunson2012b">
        <w:r>
          <w:rPr>
            <w:rStyle w:val="Hyperlink"/>
          </w:rPr>
          <w:t xml:space="preserve">Mack &amp; Munson, 2012</w:t>
        </w:r>
      </w:hyperlink>
      <w:r>
        <w:t xml:space="preserve">;</w:t>
      </w:r>
      <w:r>
        <w:t xml:space="preserve"> </w:t>
      </w:r>
      <w:hyperlink w:anchor="ref-podesvakajino2014">
        <w:r>
          <w:rPr>
            <w:rStyle w:val="Hyperlink"/>
          </w:rPr>
          <w:t xml:space="preserve">Podesva &amp; Kajino, 2014b</w:t>
        </w:r>
      </w:hyperlink>
      <w:r>
        <w:t xml:space="preserve">)</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w:t>
      </w:r>
      <w:hyperlink w:anchor="ref-calder2018">
        <w:r>
          <w:rPr>
            <w:rStyle w:val="Hyperlink"/>
          </w:rPr>
          <w:t xml:space="preserve">Calder, 2018</w:t>
        </w:r>
      </w:hyperlink>
      <w:r>
        <w:t xml:space="preserve">)</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w:t>
      </w:r>
      <w:hyperlink w:anchor="ref-strandJohnson1996">
        <w:r>
          <w:rPr>
            <w:rStyle w:val="Hyperlink"/>
          </w:rPr>
          <w:t xml:space="preserve">1996</w:t>
        </w:r>
      </w:hyperlink>
      <w:r>
        <w:t xml:space="preserve">)</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w:t>
      </w:r>
      <w:hyperlink w:anchor="ref-labovEtAl2011">
        <w:r>
          <w:rPr>
            <w:rStyle w:val="Hyperlink"/>
          </w:rPr>
          <w:t xml:space="preserve">Labov et al., 2011</w:t>
        </w:r>
      </w:hyperlink>
      <w:r>
        <w:t xml:space="preserve">)</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4"/>
    <w:bookmarkStart w:id="25"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w:t>
      </w:r>
      <w:hyperlink w:anchor="ref-daniel2007">
        <w:r>
          <w:rPr>
            <w:rStyle w:val="Hyperlink"/>
          </w:rPr>
          <w:t xml:space="preserve">Daniel et al., 2007</w:t>
        </w:r>
      </w:hyperlink>
      <w:r>
        <w:t xml:space="preserve">;</w:t>
      </w:r>
      <w:r>
        <w:t xml:space="preserve"> </w:t>
      </w:r>
      <w:hyperlink w:anchor="ref-samolinski2007">
        <w:r>
          <w:rPr>
            <w:rStyle w:val="Hyperlink"/>
          </w:rPr>
          <w:t xml:space="preserve">Samoliński et al., 2007</w:t>
        </w:r>
      </w:hyperlink>
      <w:r>
        <w:t xml:space="preserve">)</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w:t>
      </w:r>
      <w:hyperlink w:anchor="ref-samolinski2007">
        <w:r>
          <w:rPr>
            <w:rStyle w:val="Hyperlink"/>
          </w:rPr>
          <w:t xml:space="preserve">Samoliński et al., 2007</w:t>
        </w:r>
      </w:hyperlink>
      <w:r>
        <w:t xml:space="preserve">)</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w:t>
      </w:r>
      <w:hyperlink w:anchor="ref-perryOhdeAshmead2001">
        <w:r>
          <w:rPr>
            <w:rStyle w:val="Hyperlink"/>
          </w:rPr>
          <w:t xml:space="preserve">Perry et al., 2001</w:t>
        </w:r>
      </w:hyperlink>
      <w:r>
        <w:t xml:space="preserve">)</w:t>
      </w:r>
      <w:r>
        <w:t xml:space="preserve">.</w:t>
      </w:r>
      <w:r>
        <w:t xml:space="preserve"> </w:t>
      </w:r>
      <w:r>
        <w:t xml:space="preserve">Schellinger et al. (</w:t>
      </w:r>
      <w:hyperlink w:anchor="ref-schellingerMunsonEdwards2017">
        <w:r>
          <w:rPr>
            <w:rStyle w:val="Hyperlink"/>
          </w:rPr>
          <w:t xml:space="preserve">2017</w:t>
        </w:r>
      </w:hyperlink>
      <w:r>
        <w:t xml:space="preserve">)</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w:t>
      </w:r>
      <w:hyperlink w:anchor="ref-eckertPodesva2021">
        <w:r>
          <w:rPr>
            <w:rStyle w:val="Hyperlink"/>
          </w:rPr>
          <w:t xml:space="preserve">Eckert &amp; Podesva, 2021</w:t>
        </w:r>
      </w:hyperlink>
      <w:r>
        <w:t xml:space="preserve">)</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w:t>
      </w:r>
      <w:hyperlink w:anchor="ref-johnson2005">
        <w:r>
          <w:rPr>
            <w:rStyle w:val="Hyperlink"/>
          </w:rPr>
          <w:t xml:space="preserve">Johnson, 2005</w:t>
        </w:r>
      </w:hyperlink>
      <w:r>
        <w:t xml:space="preserve">;</w:t>
      </w:r>
      <w:r>
        <w:t xml:space="preserve"> </w:t>
      </w:r>
      <w:hyperlink w:anchor="ref-Johnson2006">
        <w:r>
          <w:rPr>
            <w:rStyle w:val="Hyperlink"/>
          </w:rPr>
          <w:t xml:space="preserve">Johnson, 2006</w:t>
        </w:r>
      </w:hyperlink>
      <w:r>
        <w:t xml:space="preserve">)</w:t>
      </w:r>
      <w:r>
        <w:t xml:space="preserve"> </w:t>
      </w:r>
      <w:r>
        <w:t xml:space="preserve">and the constellation of</w:t>
      </w:r>
      <w:r>
        <w:t xml:space="preserve"> </w:t>
      </w:r>
      <w:r>
        <w:t xml:space="preserve">meanings are socially-constructed in interaction</w:t>
      </w:r>
      <w:r>
        <w:t xml:space="preserve"> </w:t>
      </w:r>
      <w:r>
        <w:t xml:space="preserve">(</w:t>
      </w:r>
      <w:hyperlink w:anchor="ref-eckert2008">
        <w:r>
          <w:rPr>
            <w:rStyle w:val="Hyperlink"/>
          </w:rPr>
          <w:t xml:space="preserve">Eckert, 2008</w:t>
        </w:r>
      </w:hyperlink>
      <w:r>
        <w:t xml:space="preserve">)</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w:t>
      </w:r>
      <w:hyperlink w:anchor="ref-Johnson2006">
        <w:r>
          <w:rPr>
            <w:rStyle w:val="Hyperlink"/>
          </w:rPr>
          <w:t xml:space="preserve">Johnson, 2006</w:t>
        </w:r>
      </w:hyperlink>
      <w:r>
        <w:t xml:space="preserve">)</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w:t>
      </w:r>
      <w:hyperlink w:anchor="ref-alpert2014">
        <w:r>
          <w:rPr>
            <w:rStyle w:val="Hyperlink"/>
          </w:rPr>
          <w:t xml:space="preserve">Alpert, 2014</w:t>
        </w:r>
      </w:hyperlink>
      <w:r>
        <w:t xml:space="preserve">;</w:t>
      </w:r>
      <w:r>
        <w:t xml:space="preserve"> </w:t>
      </w:r>
      <w:hyperlink w:anchor="ref-kang2013">
        <w:r>
          <w:rPr>
            <w:rStyle w:val="Hyperlink"/>
          </w:rPr>
          <w:t xml:space="preserve">Käng, 2013</w:t>
        </w:r>
      </w:hyperlink>
      <w:r>
        <w:t xml:space="preserve">)</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w:t>
      </w:r>
      <w:hyperlink w:anchor="ref-boydfruehwaldhall-lew_2021">
        <w:r>
          <w:rPr>
            <w:rStyle w:val="Hyperlink"/>
          </w:rPr>
          <w:t xml:space="preserve">Boyd et al., 2021</w:t>
        </w:r>
      </w:hyperlink>
      <w:r>
        <w:t xml:space="preserve">)</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5"/>
    <w:bookmarkStart w:id="26"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w:t>
      </w:r>
      <w:hyperlink w:anchor="ref-campbell-kibler2005">
        <w:r>
          <w:rPr>
            <w:rStyle w:val="Hyperlink"/>
          </w:rPr>
          <w:t xml:space="preserve">Campbell-Kibler, 2005</w:t>
        </w:r>
      </w:hyperlink>
      <w:r>
        <w:t xml:space="preserve">,</w:t>
      </w:r>
      <w:r>
        <w:t xml:space="preserve"> </w:t>
      </w:r>
      <w:hyperlink w:anchor="ref-campbell-kibler2007">
        <w:r>
          <w:rPr>
            <w:rStyle w:val="Hyperlink"/>
          </w:rPr>
          <w:t xml:space="preserve">2007</w:t>
        </w:r>
      </w:hyperlink>
      <w:r>
        <w:t xml:space="preserve">)</w:t>
      </w:r>
      <w:r>
        <w:t xml:space="preserve"> </w:t>
      </w:r>
      <w:r>
        <w:t xml:space="preserve">or language attitudes</w:t>
      </w:r>
      <w:r>
        <w:t xml:space="preserve"> </w:t>
      </w:r>
      <w:r>
        <w:t xml:space="preserve">(</w:t>
      </w:r>
      <w:hyperlink w:anchor="ref-chan2021">
        <w:r>
          <w:rPr>
            <w:rStyle w:val="Hyperlink"/>
          </w:rPr>
          <w:t xml:space="preserve">CHAN, 2021</w:t>
        </w:r>
      </w:hyperlink>
      <w:r>
        <w:t xml:space="preserve">;</w:t>
      </w:r>
      <w:r>
        <w:t xml:space="preserve"> </w:t>
      </w:r>
      <w:hyperlink w:anchor="ref-hadodoVolume">
        <w:r>
          <w:rPr>
            <w:rStyle w:val="Hyperlink"/>
          </w:rPr>
          <w:t xml:space="preserve">Hadodo, this volume</w:t>
        </w:r>
      </w:hyperlink>
      <w:r>
        <w:t xml:space="preserve">)</w:t>
      </w:r>
      <w:r>
        <w:t xml:space="preserve">. In their foundational use of the technique,</w:t>
      </w:r>
      <w:r>
        <w:t xml:space="preserve"> </w:t>
      </w:r>
      <w:r>
        <w:t xml:space="preserve">for example,</w:t>
      </w:r>
      <w:r>
        <w:t xml:space="preserve"> </w:t>
      </w:r>
      <w:r>
        <w:t xml:space="preserve">Lambert et al. (</w:t>
      </w:r>
      <w:hyperlink w:anchor="ref-lambertEtAl1960">
        <w:r>
          <w:rPr>
            <w:rStyle w:val="Hyperlink"/>
          </w:rPr>
          <w:t xml:space="preserve">1960</w:t>
        </w:r>
      </w:hyperlink>
      <w:r>
        <w:t xml:space="preserve">)</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w:t>
      </w:r>
      <w:hyperlink w:anchor="ref-rubin1992">
        <w:r>
          <w:rPr>
            <w:rStyle w:val="Hyperlink"/>
          </w:rPr>
          <w:t xml:space="preserve">1992</w:t>
        </w:r>
      </w:hyperlink>
      <w:r>
        <w:t xml:space="preserve">)</w:t>
      </w:r>
      <w:r>
        <w:t xml:space="preserve"> </w:t>
      </w:r>
      <w:r>
        <w:t xml:space="preserve">and</w:t>
      </w:r>
      <w:r>
        <w:t xml:space="preserve"> </w:t>
      </w:r>
      <w:r>
        <w:t xml:space="preserve">sometimes take the combination of voice and visual stimuli into account</w:t>
      </w:r>
      <w:r>
        <w:t xml:space="preserve"> </w:t>
      </w:r>
      <w:r>
        <w:t xml:space="preserve">(</w:t>
      </w:r>
      <w:hyperlink w:anchor="ref-campbell-kibler2016">
        <w:r>
          <w:rPr>
            <w:rStyle w:val="Hyperlink"/>
          </w:rPr>
          <w:t xml:space="preserve">Campbell-Kibler, 2016</w:t>
        </w:r>
      </w:hyperlink>
      <w:r>
        <w:t xml:space="preserve">;</w:t>
      </w:r>
      <w:r>
        <w:t xml:space="preserve"> </w:t>
      </w:r>
      <w:hyperlink w:anchor="ref-gnevsheva2017">
        <w:r>
          <w:rPr>
            <w:rStyle w:val="Hyperlink"/>
          </w:rPr>
          <w:t xml:space="preserve">Gnevsheva, 2017</w:t>
        </w:r>
      </w:hyperlink>
      <w:r>
        <w:t xml:space="preserve">;</w:t>
      </w:r>
      <w:r>
        <w:t xml:space="preserve"> </w:t>
      </w:r>
      <w:hyperlink w:anchor="ref-mcgowan2015">
        <w:r>
          <w:rPr>
            <w:rStyle w:val="Hyperlink"/>
            <w:b/>
            <w:bCs/>
          </w:rPr>
          <w:t xml:space="preserve">mcgowan2015?</w:t>
        </w:r>
      </w:hyperlink>
      <w:r>
        <w:t xml:space="preserve">)</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w:t>
      </w:r>
      <w:hyperlink w:anchor="ref-mcgowan2015">
        <w:r>
          <w:rPr>
            <w:rStyle w:val="Hyperlink"/>
            <w:b/>
            <w:bCs/>
          </w:rPr>
          <w:t xml:space="preserve">mcgowan2015?</w:t>
        </w:r>
      </w:hyperlink>
      <w:r>
        <w:t xml:space="preserve">)</w:t>
      </w:r>
      <w:r>
        <w:t xml:space="preserve"> </w:t>
      </w:r>
      <w:r>
        <w:t xml:space="preserve">or simply</w:t>
      </w:r>
      <w:r>
        <w:t xml:space="preserve"> </w:t>
      </w:r>
      <w:r>
        <w:t xml:space="preserve">‘identification’</w:t>
      </w:r>
      <w:r>
        <w:t xml:space="preserve"> </w:t>
      </w:r>
      <w:r>
        <w:t xml:space="preserve">(</w:t>
      </w:r>
      <w:hyperlink w:anchor="ref-drager2013">
        <w:r>
          <w:rPr>
            <w:rStyle w:val="Hyperlink"/>
          </w:rPr>
          <w:t xml:space="preserve">Drager, 2013</w:t>
        </w:r>
      </w:hyperlink>
      <w:r>
        <w:t xml:space="preserve">)</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w:t>
      </w:r>
      <w:r>
        <w:t xml:space="preserve"> </w:t>
      </w:r>
      <w:hyperlink w:anchor="ref-rosseelGrondelaers2019">
        <w:r>
          <w:rPr>
            <w:rStyle w:val="Hyperlink"/>
          </w:rPr>
          <w:t xml:space="preserve">Rosseel &amp; Grondelaers, 2019</w:t>
        </w:r>
      </w:hyperlink>
      <w:r>
        <w:t xml:space="preserve">)</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w:t>
      </w:r>
      <w:hyperlink w:anchor="ref-grondelaersVanGent2019">
        <w:r>
          <w:rPr>
            <w:rStyle w:val="Hyperlink"/>
          </w:rPr>
          <w:t xml:space="preserve">Grondelaers &amp; Gent, 2019</w:t>
        </w:r>
      </w:hyperlink>
      <w:r>
        <w:t xml:space="preserve">; e.g.</w:t>
      </w:r>
      <w:r>
        <w:t xml:space="preserve"> </w:t>
      </w:r>
      <w:hyperlink w:anchor="ref-pharaoKristiansen2019">
        <w:r>
          <w:rPr>
            <w:rStyle w:val="Hyperlink"/>
          </w:rPr>
          <w:t xml:space="preserve">Pharao &amp; Kristiansen, 2019</w:t>
        </w:r>
      </w:hyperlink>
      <w:r>
        <w:t xml:space="preserve">)</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w:t>
      </w:r>
      <w:hyperlink w:anchor="ref-mcgowanBabel2020">
        <w:r>
          <w:rPr>
            <w:rStyle w:val="Hyperlink"/>
          </w:rPr>
          <w:t xml:space="preserve">2020</w:t>
        </w:r>
      </w:hyperlink>
      <w:r>
        <w:t xml:space="preserve">)</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w:t>
      </w:r>
      <w:hyperlink w:anchor="ref-mcgowanBabel2020">
        <w:r>
          <w:rPr>
            <w:rStyle w:val="Hyperlink"/>
          </w:rPr>
          <w:t xml:space="preserve">2020</w:t>
        </w:r>
      </w:hyperlink>
      <w:r>
        <w:t xml:space="preserve">)</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w:t>
      </w:r>
      <w:hyperlink w:anchor="ref-BabelVolume">
        <w:r>
          <w:rPr>
            <w:rStyle w:val="Hyperlink"/>
          </w:rPr>
          <w:t xml:space="preserve">A. Babel, this volume</w:t>
        </w:r>
      </w:hyperlink>
      <w:r>
        <w:t xml:space="preserv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w:t>
      </w:r>
      <w:hyperlink w:anchor="ref-strandJohnson1996">
        <w:r>
          <w:rPr>
            <w:rStyle w:val="Hyperlink"/>
          </w:rPr>
          <w:t xml:space="preserve">1996</w:t>
        </w:r>
      </w:hyperlink>
      <w:r>
        <w:t xml:space="preserve">)</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w:t>
      </w:r>
      <w:hyperlink w:anchor="ref-steckerDOnofrioVolume">
        <w:r>
          <w:rPr>
            <w:rStyle w:val="Hyperlink"/>
          </w:rPr>
          <w:t xml:space="preserve">Stecker &amp; D’Onofrio, this volume</w:t>
        </w:r>
      </w:hyperlink>
      <w:r>
        <w:t xml:space="preserve">;</w:t>
      </w:r>
      <w:r>
        <w:t xml:space="preserve"> </w:t>
      </w:r>
      <w:hyperlink w:anchor="ref-trippMunson2022">
        <w:r>
          <w:rPr>
            <w:rStyle w:val="Hyperlink"/>
          </w:rPr>
          <w:t xml:space="preserve">Tripp &amp; Munson, 2022</w:t>
        </w:r>
      </w:hyperlink>
      <w:r>
        <w:t xml:space="preserv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w:t>
      </w:r>
      <w:hyperlink w:anchor="ref-bouavichithEtAl2019">
        <w:r>
          <w:rPr>
            <w:rStyle w:val="Hyperlink"/>
          </w:rPr>
          <w:t xml:space="preserve">Bouavichith et al., 2019</w:t>
        </w:r>
      </w:hyperlink>
      <w:r>
        <w:t xml:space="preserve">)</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w:t>
      </w:r>
      <w:hyperlink w:anchor="ref-campbell-kibler2020">
        <w:r>
          <w:rPr>
            <w:rStyle w:val="Hyperlink"/>
          </w:rPr>
          <w:t xml:space="preserve">Campbell-Kibler, 2021</w:t>
        </w:r>
      </w:hyperlink>
      <w:r>
        <w:t xml:space="preserve">)</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6"/>
    <w:bookmarkEnd w:id="27"/>
    <w:bookmarkStart w:id="38" w:name="method"/>
    <w:p>
      <w:pPr>
        <w:pStyle w:val="Heading1"/>
      </w:pPr>
      <w:r>
        <w:t xml:space="preserve">Method</w:t>
      </w:r>
    </w:p>
    <w:bookmarkStart w:id="28"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8"/>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w:t>
      </w:r>
      <w:hyperlink w:anchor="ref-bouavichithEtAl2019">
        <w:r>
          <w:rPr>
            <w:rStyle w:val="Hyperlink"/>
          </w:rPr>
          <w:t xml:space="preserve">Bouavichith et al., 2019</w:t>
        </w:r>
      </w:hyperlink>
      <w:r>
        <w:t xml:space="preserve">)</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w:t>
      </w:r>
      <w:hyperlink w:anchor="ref-praat2001">
        <w:r>
          <w:rPr>
            <w:rStyle w:val="Hyperlink"/>
          </w:rPr>
          <w:t xml:space="preserve">Boersma, 2001</w:t>
        </w:r>
      </w:hyperlink>
      <w:r>
        <w:t xml:space="preserve">)</w:t>
      </w:r>
      <w:r>
        <w:t xml:space="preserve"> </w:t>
      </w:r>
      <w:r>
        <w:t xml:space="preserve">using parameters identical to</w:t>
      </w:r>
      <w:r>
        <w:t xml:space="preserve"> </w:t>
      </w:r>
      <w:r>
        <w:t xml:space="preserve">(</w:t>
      </w:r>
      <w:hyperlink w:anchor="ref-Munson2011">
        <w:r>
          <w:rPr>
            <w:rStyle w:val="Hyperlink"/>
            <w:b/>
            <w:bCs/>
          </w:rPr>
          <w:t xml:space="preserve">Munson2011?</w:t>
        </w:r>
      </w:hyperlink>
      <w:r>
        <w:t xml:space="preserve">)</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w:t>
      </w:r>
      <w:hyperlink w:anchor="ref-strandJohnson1996">
        <w:r>
          <w:rPr>
            <w:rStyle w:val="Hyperlink"/>
          </w:rPr>
          <w:t xml:space="preserve">1996</w:t>
        </w:r>
      </w:hyperlink>
      <w:r>
        <w:t xml:space="preserve">)</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 Figure</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w:t>
      </w:r>
      <w:r>
        <w:t xml:space="preserve"> </w:t>
      </w:r>
      <w:hyperlink w:anchor="ref-wright2023">
        <w:r>
          <w:rPr>
            <w:rStyle w:val="Hyperlink"/>
          </w:rPr>
          <w:t xml:space="preserve">Wright, 2023</w:t>
        </w:r>
      </w:hyperlink>
      <w:r>
        <w:t xml:space="preserve">)</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bookmarkEnd w:id="29"/>
    <w:bookmarkEnd w:id="30"/>
    <w:bookmarkStart w:id="35"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w:t>
      </w:r>
      <w:hyperlink w:anchor="ref-zimman2018">
        <w:r>
          <w:rPr>
            <w:rStyle w:val="Hyperlink"/>
          </w:rPr>
          <w:t xml:space="preserve">2018</w:t>
        </w:r>
      </w:hyperlink>
      <w:r>
        <w:t xml:space="preserve">)</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4"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w:t>
      </w:r>
      <w:hyperlink w:anchor="ref-bouavichithEtAl2019">
        <w:r>
          <w:rPr>
            <w:rStyle w:val="Hyperlink"/>
          </w:rPr>
          <w:t xml:space="preserve">Bouavichith et al., 2019</w:t>
        </w:r>
      </w:hyperlink>
      <w:r>
        <w:t xml:space="preserve">)</w:t>
      </w:r>
      <w:r>
        <w:t xml:space="preserve">, are shown in Figure</w:t>
      </w:r>
      <w:r>
        <w:t xml:space="preserve"> </w:t>
      </w:r>
      <w:hyperlink w:anchor="fig:stim">
        <w:r>
          <w:rPr>
            <w:rStyle w:val="Hyperlink"/>
          </w:rPr>
          <w:t xml:space="preserve">[fig:stim]</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w:t>
      </w:r>
      <w:hyperlink w:anchor="ref-ChicagoFaceDatabase">
        <w:r>
          <w:rPr>
            <w:rStyle w:val="Hyperlink"/>
          </w:rPr>
          <w:t xml:space="preserve">Ma et al., 2015</w:t>
        </w:r>
      </w:hyperlink>
      <w:r>
        <w:t xml:space="preserve">)</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w:t>
      </w:r>
      <w:hyperlink w:anchor="ref-imagemagick">
        <w:r>
          <w:rPr>
            <w:rStyle w:val="Hyperlink"/>
          </w:rPr>
          <w:t xml:space="preserve">LLC, 2023</w:t>
        </w:r>
      </w:hyperlink>
      <w:r>
        <w:t xml:space="preserve">)</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p>
      <w:pPr>
        <w:pStyle w:val="CaptionedFigure"/>
      </w:pPr>
      <w:r>
        <w:drawing>
          <wp:inline>
            <wp:extent cx="4754880" cy="4754880"/>
            <wp:effectExtent b="0" l="0" r="0" t="0"/>
            <wp:docPr descr="Stimuli comprised shack and sack targets (top) and a gender-protypical ‘male’ and ‘female’ face (bottom)"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pStyle w:val="ImageCaption"/>
      </w:pPr>
      <w:r>
        <w:t xml:space="preserve">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bookmarkEnd w:id="35"/>
    <w:bookmarkStart w:id="37" w:name="procedure"/>
    <w:p>
      <w:pPr>
        <w:pStyle w:val="Heading2"/>
      </w:pPr>
      <w:r>
        <w:t xml:space="preserve">Procedure</w:t>
      </w:r>
    </w:p>
    <w:p>
      <w:pPr>
        <w:pStyle w:val="FirstParagraph"/>
      </w:pPr>
      <w:r>
        <w:t xml:space="preserve">The experiment was created in OpenSesame v3.3</w:t>
      </w:r>
      <w:r>
        <w:t xml:space="preserve"> </w:t>
      </w:r>
      <w:r>
        <w:t xml:space="preserve">(</w:t>
      </w:r>
      <w:hyperlink w:anchor="ref-opensesame">
        <w:r>
          <w:rPr>
            <w:rStyle w:val="Hyperlink"/>
          </w:rPr>
          <w:t xml:space="preserve">Mathôt et al., 2012</w:t>
        </w:r>
      </w:hyperlink>
      <w:r>
        <w:t xml:space="preserve">)</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w:t>
      </w:r>
      <w:hyperlink w:anchor="ref-JATOS">
        <w:r>
          <w:rPr>
            <w:rStyle w:val="Hyperlink"/>
          </w:rPr>
          <w:t xml:space="preserve">Lange et al., 2015</w:t>
        </w:r>
      </w:hyperlink>
      <w:r>
        <w:t xml:space="preserve">)</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w:t>
      </w:r>
      <w:hyperlink w:anchor="ref-bouavichithEtAl2019">
        <w:r>
          <w:rPr>
            <w:rStyle w:val="Hyperlink"/>
          </w:rPr>
          <w:t xml:space="preserve">Bouavichith et al., 2019</w:t>
        </w:r>
      </w:hyperlink>
      <w:r>
        <w:t xml:space="preserve">)</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w:t>
      </w:r>
      <w:hyperlink w:anchor="ref-McGowan2015">
        <w:r>
          <w:rPr>
            <w:rStyle w:val="Hyperlink"/>
          </w:rPr>
          <w:t xml:space="preserve">McGowan, 2015</w:t>
        </w:r>
      </w:hyperlink>
      <w:r>
        <w:t xml:space="preserve">)</w:t>
      </w:r>
      <w:r>
        <w:rPr>
          <w:rStyle w:val="FootnoteReference"/>
        </w:rPr>
        <w:footnoteReference w:id="36"/>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7"/>
    <w:bookmarkEnd w:id="38"/>
    <w:bookmarkStart w:id="42" w:name="predicted-results"/>
    <w:p>
      <w:pPr>
        <w:pStyle w:val="Heading1"/>
      </w:pPr>
      <w:r>
        <w:t xml:space="preserve">Predicted Results</w:t>
      </w:r>
    </w:p>
    <w:bookmarkStart w:id="39"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39"/>
    <w:bookmarkStart w:id="40"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w:t>
      </w:r>
      <w:hyperlink w:anchor="ref-johnsonstranddimperio1999">
        <w:r>
          <w:rPr>
            <w:rStyle w:val="Hyperlink"/>
          </w:rPr>
          <w:t xml:space="preserve">Johnson et al., 1999</w:t>
        </w:r>
      </w:hyperlink>
      <w:r>
        <w:t xml:space="preserve">)</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w:t>
      </w:r>
      <w:hyperlink w:anchor="ref-johnsonstranddimperio1999">
        <w:r>
          <w:rPr>
            <w:rStyle w:val="Hyperlink"/>
          </w:rPr>
          <w:t xml:space="preserve">Johnson et al., 1999, p. 376</w:t>
        </w:r>
      </w:hyperlink>
      <w:r>
        <w:t xml:space="preserve">,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w:t>
      </w:r>
      <w:hyperlink w:anchor="ref-king2021">
        <w:r>
          <w:rPr>
            <w:rStyle w:val="Hyperlink"/>
          </w:rPr>
          <w:t xml:space="preserve">King, 2021</w:t>
        </w:r>
      </w:hyperlink>
      <w:r>
        <w:t xml:space="preserve">)</w:t>
      </w:r>
      <w:r>
        <w:t xml:space="preserve">.</w:t>
      </w:r>
    </w:p>
    <w:p>
      <w:pPr>
        <w:pStyle w:val="BodyText"/>
      </w:pPr>
      <w:r>
        <w:t xml:space="preserve">We make a similar prediction for reaction times.</w:t>
      </w:r>
      <w:r>
        <w:t xml:space="preserve"> </w:t>
      </w:r>
      <w:r>
        <w:t xml:space="preserve">(</w:t>
      </w:r>
      <w:hyperlink w:anchor="ref-johnsonstranddimperio1999">
        <w:r>
          <w:rPr>
            <w:rStyle w:val="Hyperlink"/>
          </w:rPr>
          <w:t xml:space="preserve">Johnson et al., 1999</w:t>
        </w:r>
      </w:hyperlink>
      <w:r>
        <w:t xml:space="preserve">)</w:t>
      </w:r>
      <w:r>
        <w:t xml:space="preserve"> </w:t>
      </w:r>
      <w:r>
        <w:t xml:space="preserve">did not collect reaction time data, but</w:t>
      </w:r>
      <w:r>
        <w:t xml:space="preserve"> </w:t>
      </w:r>
      <w:r>
        <w:t xml:space="preserve">(</w:t>
      </w:r>
      <w:hyperlink w:anchor="ref-McGowan2011">
        <w:r>
          <w:rPr>
            <w:rStyle w:val="Hyperlink"/>
          </w:rPr>
          <w:t xml:space="preserve">McGowan, 2011</w:t>
        </w:r>
      </w:hyperlink>
      <w:r>
        <w:t xml:space="preserve">)</w:t>
      </w:r>
      <w:r>
        <w:t xml:space="preserve"> </w:t>
      </w:r>
      <w:r>
        <w:t xml:space="preserve">reports longer reaction times for incongruous trials,</w:t>
      </w:r>
      <w:r>
        <w:t xml:space="preserve"> </w:t>
      </w:r>
      <w:r>
        <w:t xml:space="preserve">albeit in a very different task, and</w:t>
      </w:r>
      <w:r>
        <w:t xml:space="preserve"> </w:t>
      </w:r>
      <w:r>
        <w:t xml:space="preserve">(</w:t>
      </w:r>
      <w:hyperlink w:anchor="ref-whalen1984">
        <w:r>
          <w:rPr>
            <w:rStyle w:val="Hyperlink"/>
          </w:rPr>
          <w:t xml:space="preserve">Whalen, 1984</w:t>
        </w:r>
      </w:hyperlink>
      <w:r>
        <w:t xml:space="preserve">)</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w:t>
      </w:r>
      <w:hyperlink w:anchor="ref-bouavichithEtAl2019">
        <w:r>
          <w:rPr>
            <w:rStyle w:val="Hyperlink"/>
          </w:rPr>
          <w:t xml:space="preserve">Bouavichith et al., 2019, p. 1040</w:t>
        </w:r>
      </w:hyperlink>
      <w:r>
        <w:t xml:space="preserve">,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0"/>
    <w:bookmarkStart w:id="41"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1"/>
    <w:bookmarkEnd w:id="42"/>
    <w:bookmarkStart w:id="58"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49" w:name="ʃ-s-percepts"/>
    <w:p>
      <w:pPr>
        <w:pStyle w:val="Heading2"/>
      </w:pPr>
      <w:r>
        <w:t xml:space="preserve">[ʃ]-[s] Percepts</w:t>
      </w:r>
    </w:p>
    <w:p>
      <w:pPr>
        <w:pStyle w:val="CaptionedFigure"/>
      </w:pPr>
      <w:r>
        <w:drawing>
          <wp:inline>
            <wp:extent cx="4754880" cy="2937285"/>
            <wp:effectExtent b="0" l="0" r="0" t="0"/>
            <wp:docPr descr="‘sack’ responses plotted as a function of [ʃ]-[s] fricative (Onset) continuum steps and purported gender presented by the face." title="" id="44" name="Picture"/>
            <a:graphic>
              <a:graphicData uri="http://schemas.openxmlformats.org/drawingml/2006/picture">
                <pic:pic>
                  <pic:nvPicPr>
                    <pic:cNvPr descr="images/Scurve.png" id="45" name="Picture"/>
                    <pic:cNvPicPr>
                      <a:picLocks noChangeArrowheads="1" noChangeAspect="1"/>
                    </pic:cNvPicPr>
                  </pic:nvPicPr>
                  <pic:blipFill>
                    <a:blip r:embed="rId43"/>
                    <a:stretch>
                      <a:fillRect/>
                    </a:stretch>
                  </pic:blipFill>
                  <pic:spPr bwMode="auto">
                    <a:xfrm>
                      <a:off x="0" y="0"/>
                      <a:ext cx="4754880" cy="2937285"/>
                    </a:xfrm>
                    <a:prstGeom prst="rect">
                      <a:avLst/>
                    </a:prstGeom>
                    <a:noFill/>
                    <a:ln w="9525">
                      <a:noFill/>
                      <a:headEnd/>
                      <a:tailEnd/>
                    </a:ln>
                  </pic:spPr>
                </pic:pic>
              </a:graphicData>
            </a:graphic>
          </wp:inline>
        </w:drawing>
      </w:r>
    </w:p>
    <w:p>
      <w:pPr>
        <w:pStyle w:val="ImageCaption"/>
      </w:pPr>
      <w:r>
        <w:t xml:space="preserve">‘sack’</w:t>
      </w:r>
      <w:r>
        <w:t xml:space="preserve"> </w:t>
      </w:r>
      <w:r>
        <w:t xml:space="preserve">responses plotted as a function of [ʃ]-[s] fricative (Onset)</w:t>
      </w:r>
      <w:r>
        <w:t xml:space="preserve"> </w:t>
      </w:r>
      <w:r>
        <w:t xml:space="preserve">continuum steps and purported gender presented by the face.</w:t>
      </w:r>
    </w:p>
    <w:p>
      <w:pPr>
        <w:pStyle w:val="BodyText"/>
      </w:pPr>
      <w:r>
        <w:t xml:space="preserve">Figure</w:t>
      </w:r>
      <w:r>
        <w:t xml:space="preserve"> </w:t>
      </w:r>
      <w:hyperlink w:anchor="fig:scurve">
        <w:r>
          <w:rPr>
            <w:rStyle w:val="Hyperlink"/>
          </w:rPr>
          <w:t xml:space="preserve">[fig:scurve]</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 Figure</w:t>
      </w:r>
      <w:r>
        <w:t xml:space="preserve"> </w:t>
      </w:r>
      <w:hyperlink w:anchor="fig:scurve">
        <w:r>
          <w:rPr>
            <w:rStyle w:val="Hyperlink"/>
          </w:rPr>
          <w:t xml:space="preserve">[fig:scurve]</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 Figure</w:t>
      </w:r>
      <w:r>
        <w:t xml:space="preserve"> </w:t>
      </w:r>
      <w:hyperlink w:anchor="fig:scurve">
        <w:r>
          <w:rPr>
            <w:rStyle w:val="Hyperlink"/>
          </w:rPr>
          <w:t xml:space="preserve">[fig:scurve]</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p>
      <w:pPr>
        <w:pStyle w:val="CaptionedFigure"/>
      </w:pPr>
      <w:r>
        <w:drawing>
          <wp:inline>
            <wp:extent cx="4754880" cy="2937285"/>
            <wp:effectExtent b="0" l="0" r="0" t="0"/>
            <wp:docPr descr="‘sack’ responses on ambiguous fricative trials plotted as a function of CV rime continuum steps and gender identity of stimulus talker." title="" id="47" name="Picture"/>
            <a:graphic>
              <a:graphicData uri="http://schemas.openxmlformats.org/drawingml/2006/picture">
                <pic:pic>
                  <pic:nvPicPr>
                    <pic:cNvPr descr="images/ambiguous-by-rime-step.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pStyle w:val="ImageCaption"/>
      </w:pP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 Figure</w:t>
      </w:r>
      <w:r>
        <w:t xml:space="preserve"> </w:t>
      </w:r>
      <w:hyperlink w:anchor="fig:rimes">
        <w:r>
          <w:rPr>
            <w:rStyle w:val="Hyperlink"/>
          </w:rPr>
          <w:t xml:space="preserve">[fig:rimes]</w:t>
        </w:r>
      </w:hyperlink>
      <w:r>
        <w:t xml:space="preserve"> </w:t>
      </w:r>
      <w:r>
        <w:t xml:space="preserve">suggests that this prediction is at least</w:t>
      </w:r>
      <w:r>
        <w:t xml:space="preserve"> </w:t>
      </w:r>
      <w:r>
        <w:t xml:space="preserve">partially borne out. Figure</w:t>
      </w:r>
      <w:r>
        <w:t xml:space="preserve"> </w:t>
      </w:r>
      <w:hyperlink w:anchor="fig:rimes">
        <w:r>
          <w:rPr>
            <w:rStyle w:val="Hyperlink"/>
          </w:rPr>
          <w:t xml:space="preserve">[fig:rimes]</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 figure</w:t>
      </w:r>
      <w:r>
        <w:t xml:space="preserve"> </w:t>
      </w:r>
      <w:hyperlink w:anchor="fig:rimes">
        <w:r>
          <w:rPr>
            <w:rStyle w:val="Hyperlink"/>
          </w:rPr>
          <w:t xml:space="preserve">[fig:rimes]</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 figure</w:t>
      </w:r>
      <w:r>
        <w:t xml:space="preserve"> </w:t>
      </w:r>
      <w:hyperlink w:anchor="fig:scurve">
        <w:r>
          <w:rPr>
            <w:rStyle w:val="Hyperlink"/>
          </w:rPr>
          <w:t xml:space="preserve">[fig:scurve]</w:t>
        </w:r>
      </w:hyperlink>
      <w:r>
        <w:t xml:space="preserve">. It is not clear from Figure</w:t>
      </w:r>
      <w:r>
        <w:t xml:space="preserve"> </w:t>
      </w:r>
      <w:hyperlink w:anchor="fig:rimes">
        <w:r>
          <w:rPr>
            <w:rStyle w:val="Hyperlink"/>
          </w:rPr>
          <w:t xml:space="preserve">[fig:rimes]</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figures</w:t>
      </w:r>
      <w:r>
        <w:t xml:space="preserve"> </w:t>
      </w:r>
      <w:hyperlink w:anchor="fig:scurve">
        <w:r>
          <w:rPr>
            <w:rStyle w:val="Hyperlink"/>
          </w:rPr>
          <w:t xml:space="preserve">[fig:scurve]</w:t>
        </w:r>
      </w:hyperlink>
      <w:r>
        <w:t xml:space="preserve"> </w:t>
      </w:r>
      <w:r>
        <w:t xml:space="preserve">and</w:t>
      </w:r>
      <w:r>
        <w:t xml:space="preserve"> </w:t>
      </w:r>
      <w:hyperlink w:anchor="fig:rimes">
        <w:r>
          <w:rPr>
            <w:rStyle w:val="Hyperlink"/>
          </w:rPr>
          <w:t xml:space="preserve">[fig:rimes]</w:t>
        </w:r>
      </w:hyperlink>
      <w:r>
        <w:t xml:space="preserve"> </w:t>
      </w:r>
      <w:r>
        <w:t xml:space="preserve">is how the apparent influence of gender information flips between</w:t>
      </w:r>
      <w:r>
        <w:t xml:space="preserve"> </w:t>
      </w:r>
      <w:r>
        <w:t xml:space="preserve">congruous and incongruous conditions in the former but remains</w:t>
      </w:r>
      <w:r>
        <w:t xml:space="preserve"> </w:t>
      </w:r>
      <w:r>
        <w:t xml:space="preserve">essentially constant in the latter. Taken together, these plots suggest</w:t>
      </w:r>
      <w:r>
        <w:t xml:space="preserve"> </w:t>
      </w:r>
      <w:r>
        <w:t xml:space="preserve">that cues to gender in F0 is a stronger predictor of listeners’ reported</w:t>
      </w:r>
      <w:r>
        <w:t xml:space="preserve"> </w:t>
      </w:r>
      <w:r>
        <w:t xml:space="preserve">percept in this matched guise task than just the purported gender of the</w:t>
      </w:r>
      <w:r>
        <w:t xml:space="preserve"> </w:t>
      </w:r>
      <w:r>
        <w:t xml:space="preserve">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49"/>
    <w:bookmarkStart w:id="53"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w:t>
      </w:r>
      <w:hyperlink w:anchor="ref-lme4">
        <w:r>
          <w:rPr>
            <w:rStyle w:val="Hyperlink"/>
          </w:rPr>
          <w:t xml:space="preserve">Bates et al., 2011</w:t>
        </w:r>
      </w:hyperlink>
      <w:r>
        <w:t xml:space="preserve">)</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p>
      <w:pPr>
        <w:pStyle w:val="CaptionedFigure"/>
      </w:pPr>
      <w:r>
        <w:drawing>
          <wp:inline>
            <wp:extent cx="4754880" cy="3169919"/>
            <wp:effectExtent b="0" l="0" r="0" t="0"/>
            <wp:docPr descr="Beta coefficients for listener responses in the Congruous (black) and Incongruous (gray) logistic regression models plotted with 95% confidence intervals." title="" id="51" name="Picture"/>
            <a:graphic>
              <a:graphicData uri="http://schemas.openxmlformats.org/drawingml/2006/picture">
                <pic:pic>
                  <pic:nvPicPr>
                    <pic:cNvPr descr="images/coefs_instruction.png" id="52" name="Picture"/>
                    <pic:cNvPicPr>
                      <a:picLocks noChangeArrowheads="1" noChangeAspect="1"/>
                    </pic:cNvPicPr>
                  </pic:nvPicPr>
                  <pic:blipFill>
                    <a:blip r:embed="rId50"/>
                    <a:stretch>
                      <a:fillRect/>
                    </a:stretch>
                  </pic:blipFill>
                  <pic:spPr bwMode="auto">
                    <a:xfrm>
                      <a:off x="0" y="0"/>
                      <a:ext cx="4754880" cy="3169919"/>
                    </a:xfrm>
                    <a:prstGeom prst="rect">
                      <a:avLst/>
                    </a:prstGeom>
                    <a:noFill/>
                    <a:ln w="9525">
                      <a:noFill/>
                      <a:headEnd/>
                      <a:tailEnd/>
                    </a:ln>
                  </pic:spPr>
                </pic:pic>
              </a:graphicData>
            </a:graphic>
          </wp:inline>
        </w:drawing>
      </w:r>
    </w:p>
    <w:p>
      <w:pPr>
        <w:pStyle w:val="ImageCaption"/>
      </w:pPr>
      <w:r>
        <w:t xml:space="preserve">Beta coefficients for listener responses in the</w:t>
      </w:r>
      <w:r>
        <w:t xml:space="preserve"> </w:t>
      </w:r>
      <w:r>
        <w:t xml:space="preserve">Congruous (black) and Incongruous (gray) logistic regression models</w:t>
      </w:r>
      <w:r>
        <w:t xml:space="preserve"> </w:t>
      </w:r>
      <w:r>
        <w:t xml:space="preserve">plotted with 95% confidence intervals.</w:t>
      </w:r>
    </w:p>
    <w:p>
      <w:pPr>
        <w:pStyle w:val="BodyText"/>
      </w:pPr>
      <w:r>
        <w:t xml:space="preserve">Beta coefficients for the two separate logistic mixed models are plotted</w:t>
      </w:r>
      <w:r>
        <w:t xml:space="preserve"> </w:t>
      </w:r>
      <w:r>
        <w:t xml:space="preserve">together in Figure</w:t>
      </w:r>
      <w:r>
        <w:t xml:space="preserve"> </w:t>
      </w:r>
      <w:hyperlink w:anchor="fig:coefs">
        <w:r>
          <w:rPr>
            <w:rStyle w:val="Hyperlink"/>
          </w:rPr>
          <w:t xml:space="preserve">[fig:coefs]</w:t>
        </w:r>
      </w:hyperlink>
      <w:r>
        <w:t xml:space="preserve">. Terms plotted to the left of the dashed zero</w:t>
      </w:r>
      <w:r>
        <w:t xml:space="preserve"> </w:t>
      </w:r>
      <w:r>
        <w:t xml:space="preserve">line have a negative influence on</w:t>
      </w:r>
      <w:r>
        <w:t xml:space="preserve"> </w:t>
      </w:r>
      <w:r>
        <w:t xml:space="preserve">‘sack’</w:t>
      </w:r>
      <w:r>
        <w:t xml:space="preserve"> </w:t>
      </w:r>
      <w:r>
        <w:t xml:space="preserve">percepts in the model while</w:t>
      </w:r>
      <w:r>
        <w:t xml:space="preserve"> </w:t>
      </w:r>
      <w:r>
        <w:t xml:space="preserve">terms plotted to the right have a positive influence. As a consistency</w:t>
      </w:r>
      <w:r>
        <w:t xml:space="preserve"> </w:t>
      </w:r>
      <w:r>
        <w:t xml:space="preserve">check we can observe that the levels of the Onset continuum behave in</w:t>
      </w:r>
      <w:r>
        <w:t xml:space="preserve"> </w:t>
      </w:r>
      <w:r>
        <w:t xml:space="preserve">precisely the expected ways and all levels are statistically significant</w:t>
      </w:r>
      <w:r>
        <w:t xml:space="preserve"> </w:t>
      </w:r>
      <w:r>
        <w:t xml:space="preserve">predictors of percept in both models. Onset step 1 ([ʃ]) is negatively</w:t>
      </w:r>
      <w:r>
        <w:t xml:space="preserve"> </w:t>
      </w:r>
      <w:r>
        <w:t xml:space="preserve">associated with</w:t>
      </w:r>
      <w:r>
        <w:t xml:space="preserve"> </w:t>
      </w:r>
      <w:r>
        <w:t xml:space="preserve">‘sack’</w:t>
      </w:r>
      <w:r>
        <w:t xml:space="preserve"> </w:t>
      </w:r>
      <w:r>
        <w:t xml:space="preserve">responses and significant in both the Congruous</w:t>
      </w:r>
      <w:r>
        <w:t xml:space="preserve"> </w:t>
      </w:r>
      <w:r>
        <w:t xml:space="preserve">(</w:t>
      </w:r>
      <m:oMath>
        <m:r>
          <m:t>β</m:t>
        </m:r>
        <m:r>
          <m:rPr>
            <m:sty m:val="p"/>
          </m:rPr>
          <m:t>=</m:t>
        </m:r>
        <m:r>
          <m:rPr>
            <m:sty m:val="p"/>
          </m:rPr>
          <m:t>−</m:t>
        </m:r>
        <m:r>
          <m:t>5.00</m:t>
        </m:r>
        <m:r>
          <m:rPr>
            <m:sty m:val="p"/>
          </m:rPr>
          <m:t>,</m:t>
        </m:r>
        <m:r>
          <m:t>S</m:t>
        </m:r>
        <m:r>
          <m:t>E</m:t>
        </m:r>
        <m:r>
          <m:rPr>
            <m:sty m:val="p"/>
          </m:rPr>
          <m:t>=</m:t>
        </m:r>
        <m:r>
          <m:t>0.28</m:t>
        </m:r>
        <m:r>
          <m:rPr>
            <m:sty m:val="p"/>
          </m:rPr>
          <m:t>,</m:t>
        </m:r>
        <m:r>
          <m:t>p</m:t>
        </m:r>
        <m:r>
          <m:rPr>
            <m:sty m:val="p"/>
          </m:rPr>
          <m:t>&lt;</m:t>
        </m:r>
        <m:r>
          <m:t>0.001</m:t>
        </m:r>
      </m:oMath>
      <w:r>
        <w:t xml:space="preserve">) and Incongruous</w:t>
      </w:r>
      <w:r>
        <w:t xml:space="preserve"> </w:t>
      </w:r>
      <w:r>
        <w:t xml:space="preserve">(</w:t>
      </w:r>
      <m:oMath>
        <m:r>
          <m:t>β</m:t>
        </m:r>
        <m:r>
          <m:rPr>
            <m:sty m:val="p"/>
          </m:rPr>
          <m:t>=</m:t>
        </m:r>
        <m:r>
          <m:rPr>
            <m:sty m:val="p"/>
          </m:rPr>
          <m:t>−</m:t>
        </m:r>
        <m:r>
          <m:t>4.84</m:t>
        </m:r>
        <m:r>
          <m:rPr>
            <m:sty m:val="p"/>
          </m:rPr>
          <m:t>,</m:t>
        </m:r>
        <m:r>
          <m:t>S</m:t>
        </m:r>
        <m:r>
          <m:t>E</m:t>
        </m:r>
        <m:r>
          <m:rPr>
            <m:sty m:val="p"/>
          </m:rPr>
          <m:t>=</m:t>
        </m:r>
        <m:r>
          <m:t>0.24</m:t>
        </m:r>
        <m:r>
          <m:rPr>
            <m:sty m:val="p"/>
          </m:rPr>
          <m:t>,</m:t>
        </m:r>
        <m:r>
          <m:t>p</m:t>
        </m:r>
        <m:r>
          <m:rPr>
            <m:sty m:val="p"/>
          </m:rPr>
          <m:t>&lt;</m:t>
        </m:r>
        <m:r>
          <m:t>0.001</m:t>
        </m:r>
      </m:oMath>
      <w:r>
        <w:t xml:space="preserve">) models. Onset step 5 ([s]) is</w:t>
      </w:r>
      <w:r>
        <w:t xml:space="preserve"> </w:t>
      </w:r>
      <w:r>
        <w:t xml:space="preserve">positively associated with</w:t>
      </w:r>
      <w:r>
        <w:t xml:space="preserve"> </w:t>
      </w:r>
      <w:r>
        <w:t xml:space="preserve">‘sack’</w:t>
      </w:r>
      <w:r>
        <w:t xml:space="preserve"> </w:t>
      </w:r>
      <w:r>
        <w:t xml:space="preserve">responses and significant in both the</w:t>
      </w:r>
      <w:r>
        <w:t xml:space="preserve"> </w:t>
      </w:r>
      <w:r>
        <w:t xml:space="preserve">Congruous (</w:t>
      </w:r>
      <m:oMath>
        <m:r>
          <m:t>β</m:t>
        </m:r>
        <m:r>
          <m:rPr>
            <m:sty m:val="p"/>
          </m:rPr>
          <m:t>=</m:t>
        </m:r>
        <m:r>
          <m:t>4.35</m:t>
        </m:r>
        <m:r>
          <m:rPr>
            <m:sty m:val="p"/>
          </m:rPr>
          <m:t>,</m:t>
        </m:r>
        <m:r>
          <m:t>S</m:t>
        </m:r>
        <m:r>
          <m:t>E</m:t>
        </m:r>
        <m:r>
          <m:rPr>
            <m:sty m:val="p"/>
          </m:rPr>
          <m:t>=</m:t>
        </m:r>
        <m:r>
          <m:rPr>
            <m:sty m:val="p"/>
          </m:rPr>
          <m:t>,</m:t>
        </m:r>
        <m:r>
          <m:t>p</m:t>
        </m:r>
        <m:r>
          <m:rPr>
            <m:sty m:val="p"/>
          </m:rPr>
          <m:t>&lt;</m:t>
        </m:r>
        <m:r>
          <m:t>0.001</m:t>
        </m:r>
      </m:oMath>
      <w:r>
        <w:t xml:space="preserve">) and Incongruous</w:t>
      </w:r>
      <w:r>
        <w:t xml:space="preserve"> </w:t>
      </w:r>
      <w:r>
        <w:t xml:space="preserve">(</w:t>
      </w:r>
      <m:oMath>
        <m:r>
          <m:t>β</m:t>
        </m:r>
        <m:r>
          <m:rPr>
            <m:sty m:val="p"/>
          </m:rPr>
          <m:t>=</m:t>
        </m:r>
        <m:r>
          <m:t>4.12</m:t>
        </m:r>
        <m:r>
          <m:rPr>
            <m:sty m:val="p"/>
          </m:rPr>
          <m:t>,</m:t>
        </m:r>
        <m:r>
          <m:t>S</m:t>
        </m:r>
        <m:r>
          <m:t>E</m:t>
        </m:r>
        <m:r>
          <m:rPr>
            <m:sty m:val="p"/>
          </m:rPr>
          <m:t>=</m:t>
        </m:r>
        <m:r>
          <m:t>0.19</m:t>
        </m:r>
        <m:r>
          <m:rPr>
            <m:sty m:val="p"/>
          </m:rPr>
          <m:t>,</m:t>
        </m:r>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r>
          <m:rPr>
            <m:sty m:val="p"/>
          </m:rPr>
          <m:t>,</m:t>
        </m:r>
        <m:r>
          <m:t>S</m:t>
        </m:r>
        <m:r>
          <m:t>E</m:t>
        </m:r>
        <m:r>
          <m:rPr>
            <m:sty m:val="p"/>
          </m:rPr>
          <m:t>=</m:t>
        </m:r>
        <m:r>
          <m:t>0.11</m:t>
        </m:r>
        <m:r>
          <m:rPr>
            <m:sty m:val="p"/>
          </m:rPr>
          <m:t>,</m:t>
        </m:r>
        <m:r>
          <m:t>p</m:t>
        </m:r>
        <m:r>
          <m:rPr>
            <m:sty m:val="p"/>
          </m:rPr>
          <m:t>&lt;</m:t>
        </m:r>
        <m:r>
          <m:t>0.001</m:t>
        </m:r>
      </m:oMath>
      <w:r>
        <w:t xml:space="preserve">) and, to a lesser extent, 4</w:t>
      </w:r>
      <w:r>
        <w:t xml:space="preserve"> </w:t>
      </w:r>
      <w:r>
        <w:t xml:space="preserve">(</w:t>
      </w:r>
      <m:oMath>
        <m:r>
          <m:t>β</m:t>
        </m:r>
        <m:r>
          <m:rPr>
            <m:sty m:val="p"/>
          </m:rPr>
          <m:t>=</m:t>
        </m:r>
        <m:r>
          <m:rPr>
            <m:sty m:val="p"/>
          </m:rPr>
          <m:t>−</m:t>
        </m:r>
        <m:r>
          <m:t>0.23</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r>
          <m:rPr>
            <m:sty m:val="p"/>
          </m:rPr>
          <m:t>,</m:t>
        </m:r>
        <m:r>
          <m:t>S</m:t>
        </m:r>
        <m:r>
          <m:t>E</m:t>
        </m:r>
        <m:r>
          <m:rPr>
            <m:sty m:val="p"/>
          </m:rPr>
          <m:t>=</m:t>
        </m:r>
        <m:r>
          <m:t>0.10</m:t>
        </m:r>
        <m:r>
          <m:rPr>
            <m:sty m:val="p"/>
          </m:rPr>
          <m:t>,</m:t>
        </m:r>
        <m:r>
          <m:t>p</m:t>
        </m:r>
        <m:r>
          <m:rPr>
            <m:sty m:val="p"/>
          </m:rPr>
          <m:t>&lt;</m:t>
        </m:r>
        <m:r>
          <m:t>0.001</m:t>
        </m:r>
      </m:oMath>
      <w:r>
        <w:t xml:space="preserve">) as is</w:t>
      </w:r>
      <w:r>
        <w:t xml:space="preserve"> </w:t>
      </w:r>
      <w:r>
        <w:t xml:space="preserve">Rime level 2 (</w:t>
      </w:r>
      <m:oMath>
        <m:r>
          <m:t>β</m:t>
        </m:r>
        <m:r>
          <m:rPr>
            <m:sty m:val="p"/>
          </m:rPr>
          <m:t>=</m:t>
        </m:r>
        <m:r>
          <m:t>0.52</m:t>
        </m:r>
        <m:r>
          <m:rPr>
            <m:sty m:val="p"/>
          </m:rPr>
          <m:t>,</m:t>
        </m:r>
        <m:r>
          <m:t>S</m:t>
        </m:r>
        <m:r>
          <m:t>E</m:t>
        </m:r>
        <m:r>
          <m:rPr>
            <m:sty m:val="p"/>
          </m:rPr>
          <m:t>=</m:t>
        </m:r>
        <m:r>
          <m:t>0.10</m:t>
        </m:r>
        <m:r>
          <m:rPr>
            <m:sty m:val="p"/>
          </m:rPr>
          <m:t>,</m:t>
        </m:r>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 Figure</w:t>
      </w:r>
      <w:r>
        <w:t xml:space="preserve"> </w:t>
      </w:r>
      <w:hyperlink w:anchor="fig:scurve">
        <w:r>
          <w:rPr>
            <w:rStyle w:val="Hyperlink"/>
          </w:rPr>
          <w:t xml:space="preserve">[fig:scurve]</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r>
          <m:rPr>
            <m:sty m:val="p"/>
          </m:rPr>
          <m:t>,</m:t>
        </m:r>
        <m:r>
          <m:t>S</m:t>
        </m:r>
        <m:r>
          <m:t>E</m:t>
        </m:r>
        <m:r>
          <m:rPr>
            <m:sty m:val="p"/>
          </m:rPr>
          <m:t>=</m:t>
        </m:r>
        <m:r>
          <m:t>0.24</m:t>
        </m:r>
        <m:r>
          <m:rPr>
            <m:sty m:val="p"/>
          </m:rPr>
          <m:t>,</m:t>
        </m:r>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r>
          <m:rPr>
            <m:sty m:val="p"/>
          </m:rPr>
          <m:t>,</m:t>
        </m:r>
        <m:r>
          <m:t>S</m:t>
        </m:r>
        <m:r>
          <m:t>E</m:t>
        </m:r>
        <m:r>
          <m:rPr>
            <m:sty m:val="p"/>
          </m:rPr>
          <m:t>=</m:t>
        </m:r>
        <m:r>
          <m:t>0.10</m:t>
        </m:r>
        <m:r>
          <m:rPr>
            <m:sty m:val="p"/>
          </m:rPr>
          <m:t>,</m:t>
        </m:r>
        <m:r>
          <m:t>p</m:t>
        </m:r>
        <m:r>
          <m:rPr>
            <m:sty m:val="p"/>
          </m:rPr>
          <m:t>&lt;</m:t>
        </m:r>
        <m:r>
          <m:t>0.001</m:t>
        </m:r>
      </m:oMath>
      <w:r>
        <w:t xml:space="preserve">) as is Rime level 2</w:t>
      </w:r>
      <w:r>
        <w:t xml:space="preserve"> </w:t>
      </w:r>
      <w:r>
        <w:t xml:space="preserve">(</w:t>
      </w:r>
      <m:oMath>
        <m:r>
          <m:t>β</m:t>
        </m:r>
        <m:r>
          <m:rPr>
            <m:sty m:val="p"/>
          </m:rPr>
          <m:t>=</m:t>
        </m:r>
        <m:r>
          <m:t>0.41</m:t>
        </m:r>
        <m:r>
          <m:rPr>
            <m:sty m:val="p"/>
          </m:rPr>
          <m:t>,</m:t>
        </m:r>
        <m:r>
          <m:t>S</m:t>
        </m:r>
        <m:r>
          <m:t>E</m:t>
        </m:r>
        <m:r>
          <m:rPr>
            <m:sty m:val="p"/>
          </m:rPr>
          <m:t>=</m:t>
        </m:r>
        <m:r>
          <m:t>0.10</m:t>
        </m:r>
        <m:r>
          <m:rPr>
            <m:sty m:val="p"/>
          </m:rPr>
          <m:t>,</m:t>
        </m:r>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Finally, the quantitative analysis of the primary objective of this</w:t>
      </w:r>
      <w:r>
        <w:t xml:space="preserve"> </w:t>
      </w:r>
      <w:r>
        <w:t xml:space="preserve">experiment, exploring the effect of unhiding the matched guise</w:t>
      </w:r>
      <w:r>
        <w:t xml:space="preserve"> </w:t>
      </w:r>
      <w:r>
        <w:t xml:space="preserve">manipulation from participants, largely supports the qualitative</w:t>
      </w:r>
      <w:r>
        <w:t xml:space="preserve"> </w:t>
      </w:r>
      <w:r>
        <w:t xml:space="preserve">analysis. As can be observed in Figure</w:t>
      </w:r>
      <w:r>
        <w:t xml:space="preserve"> </w:t>
      </w:r>
      <w:hyperlink w:anchor="fig:coefs">
        <w:r>
          <w:rPr>
            <w:rStyle w:val="Hyperlink"/>
          </w:rPr>
          <w:t xml:space="preserve">[fig:coefs]</w:t>
        </w:r>
      </w:hyperlink>
      <w:r>
        <w:t xml:space="preserve">,</w:t>
      </w:r>
      <w:r>
        <w:t xml:space="preserve"> </w:t>
      </w:r>
      <w:r>
        <w:t xml:space="preserve">there is no significant main effect of Instruction condition in either</w:t>
      </w:r>
      <w:r>
        <w:t xml:space="preserve"> </w:t>
      </w:r>
      <w:r>
        <w:t xml:space="preserve">model. Still, a somewhat more nuanced picture emerges from the</w:t>
      </w:r>
      <w:r>
        <w:t xml:space="preserve"> </w:t>
      </w:r>
      <w:r>
        <w:t xml:space="preserve">interactions of Instruction condition with Onset and the 3 way</w:t>
      </w:r>
      <w:r>
        <w:t xml:space="preserve"> </w:t>
      </w:r>
      <w:r>
        <w:t xml:space="preserve">interaction of Instruction, Onset, and Face in the Congruous trials. The</w:t>
      </w:r>
      <w:r>
        <w:t xml:space="preserve"> </w:t>
      </w:r>
      <w:r>
        <w:t xml:space="preserve">interaction of Instruction with Onset is significant, or nearly so, at</w:t>
      </w:r>
      <w:r>
        <w:t xml:space="preserve"> </w:t>
      </w:r>
      <w:r>
        <w:t xml:space="preserve">every step of the fricative continuum other than the most significant.</w:t>
      </w:r>
      <w:r>
        <w:t xml:space="preserve"> </w:t>
      </w:r>
      <w:r>
        <w:t xml:space="preserve">In the [ʃ]-like portion of the continuum, the interaction with face is</w:t>
      </w:r>
      <w:r>
        <w:t xml:space="preserve"> </w:t>
      </w:r>
      <w:r>
        <w:t xml:space="preserve">positively associated with</w:t>
      </w:r>
      <w:r>
        <w:t xml:space="preserve"> </w:t>
      </w:r>
      <w:r>
        <w:t xml:space="preserve">‘sack’</w:t>
      </w:r>
      <w:r>
        <w:t xml:space="preserve"> </w:t>
      </w:r>
      <w:r>
        <w:t xml:space="preserve">responses at step 1</w:t>
      </w:r>
      <w:r>
        <w:t xml:space="preserve"> </w:t>
      </w:r>
      <w:r>
        <w:t xml:space="preserve">(</w:t>
      </w:r>
      <m:oMath>
        <m:r>
          <m:t>β</m:t>
        </m:r>
        <m:r>
          <m:rPr>
            <m:sty m:val="p"/>
          </m:rPr>
          <m:t>=</m:t>
        </m:r>
        <m:r>
          <m:t>0.65</m:t>
        </m:r>
        <m:r>
          <m:rPr>
            <m:sty m:val="p"/>
          </m:rPr>
          <m:t>,</m:t>
        </m:r>
        <m:r>
          <m:t>S</m:t>
        </m:r>
        <m:r>
          <m:t>E</m:t>
        </m:r>
        <m:r>
          <m:rPr>
            <m:sty m:val="p"/>
          </m:rPr>
          <m:t>=</m:t>
        </m:r>
        <m:r>
          <m:t>0.28</m:t>
        </m:r>
        <m:r>
          <m:rPr>
            <m:sty m:val="p"/>
          </m:rPr>
          <m:t>,</m:t>
        </m:r>
        <m:r>
          <m:t>p</m:t>
        </m:r>
        <m:r>
          <m:rPr>
            <m:sty m:val="p"/>
          </m:rPr>
          <m:t>&lt;</m:t>
        </m:r>
        <m:r>
          <m:t>0.05</m:t>
        </m:r>
      </m:oMath>
      <w:r>
        <w:t xml:space="preserve">) and 2 (</w:t>
      </w:r>
      <m:oMath>
        <m:r>
          <m:t>β</m:t>
        </m:r>
        <m:r>
          <m:rPr>
            <m:sty m:val="p"/>
          </m:rPr>
          <m:t>=</m:t>
        </m:r>
        <m:r>
          <m:t>0.44</m:t>
        </m:r>
        <m:r>
          <m:rPr>
            <m:sty m:val="p"/>
          </m:rPr>
          <m:t>,</m:t>
        </m:r>
        <m:r>
          <m:t>S</m:t>
        </m:r>
        <m:r>
          <m:t>E</m:t>
        </m:r>
        <m:r>
          <m:rPr>
            <m:sty m:val="p"/>
          </m:rPr>
          <m:t>=</m:t>
        </m:r>
        <m:r>
          <m:t>0.18</m:t>
        </m:r>
        <m:r>
          <m:rPr>
            <m:sty m:val="p"/>
          </m:rPr>
          <m:t>,</m:t>
        </m:r>
        <m:r>
          <m:t>p</m:t>
        </m:r>
        <m:r>
          <m:rPr>
            <m:sty m:val="p"/>
          </m:rPr>
          <m:t>&lt;</m:t>
        </m:r>
        <m:r>
          <m:t>0.05</m:t>
        </m:r>
      </m:oMath>
      <w:r>
        <w:t xml:space="preserve">). The</w:t>
      </w:r>
      <w:r>
        <w:t xml:space="preserve"> </w:t>
      </w:r>
      <w:r>
        <w:t xml:space="preserve">interaction of guise with the most ambiguous onset step is not</w:t>
      </w:r>
      <w:r>
        <w:t xml:space="preserve"> </w:t>
      </w:r>
      <w:r>
        <w:t xml:space="preserve">significant (</w:t>
      </w:r>
      <m:oMath>
        <m:r>
          <m:t>β</m:t>
        </m:r>
        <m:r>
          <m:rPr>
            <m:sty m:val="p"/>
          </m:rPr>
          <m:t>=</m:t>
        </m:r>
        <m:r>
          <m:t>0.011</m:t>
        </m:r>
        <m:r>
          <m:rPr>
            <m:sty m:val="p"/>
          </m:rPr>
          <m:t>,</m:t>
        </m:r>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w:t>
      </w:r>
      <w:r>
        <w:t xml:space="preserve"> </w:t>
      </w:r>
      <w:r>
        <w:t xml:space="preserve">(</w:t>
      </w:r>
      <m:oMath>
        <m:r>
          <m:t>β</m:t>
        </m:r>
        <m:r>
          <m:rPr>
            <m:sty m:val="p"/>
          </m:rPr>
          <m:t>=</m:t>
        </m:r>
        <m:r>
          <m:rPr>
            <m:sty m:val="p"/>
          </m:rPr>
          <m:t>−</m:t>
        </m:r>
        <m:r>
          <m:t>0.43</m:t>
        </m:r>
        <m:r>
          <m:rPr>
            <m:sty m:val="p"/>
          </m:rPr>
          <m:t>,</m:t>
        </m:r>
        <m:r>
          <m:t>S</m:t>
        </m:r>
        <m:r>
          <m:t>E</m:t>
        </m:r>
        <m:r>
          <m:rPr>
            <m:sty m:val="p"/>
          </m:rPr>
          <m:t>=</m:t>
        </m:r>
        <m:r>
          <m:t>0.12</m:t>
        </m:r>
        <m:r>
          <m:rPr>
            <m:sty m:val="p"/>
          </m:rPr>
          <m:t>,</m:t>
        </m:r>
        <m:r>
          <m:t>p</m:t>
        </m:r>
        <m:r>
          <m:rPr>
            <m:sty m:val="p"/>
          </m:rPr>
          <m:t>&lt;</m:t>
        </m:r>
        <m:r>
          <m:t>0.001</m:t>
        </m:r>
      </m:oMath>
      <w:r>
        <w:t xml:space="preserve">). Instruction x Onset step4 is also</w:t>
      </w:r>
      <w:r>
        <w:t xml:space="preserve"> </w:t>
      </w:r>
      <w:r>
        <w:t xml:space="preserve">negatively associated with</w:t>
      </w:r>
      <w:r>
        <w:t xml:space="preserve"> </w:t>
      </w:r>
      <w:r>
        <w:t xml:space="preserve">‘sack’</w:t>
      </w:r>
      <w:r>
        <w:t xml:space="preserve"> </w:t>
      </w:r>
      <w:r>
        <w:t xml:space="preserve">responses but does not reach</w:t>
      </w:r>
      <w:r>
        <w:t xml:space="preserve"> </w:t>
      </w:r>
      <w:r>
        <w:t xml:space="preserve">significance at the standard alpha level</w:t>
      </w:r>
      <w:r>
        <w:t xml:space="preserve"> </w:t>
      </w:r>
      <w:r>
        <w:t xml:space="preserve">(</w:t>
      </w:r>
      <m:oMath>
        <m:r>
          <m:t>β</m:t>
        </m:r>
        <m:r>
          <m:rPr>
            <m:sty m:val="p"/>
          </m:rPr>
          <m:t>=</m:t>
        </m:r>
        <m:r>
          <m:rPr>
            <m:sty m:val="p"/>
          </m:rPr>
          <m:t>−</m:t>
        </m:r>
        <m:r>
          <m:t>0.40</m:t>
        </m:r>
        <m:r>
          <m:rPr>
            <m:sty m:val="p"/>
          </m:rPr>
          <m:t>,</m:t>
        </m:r>
        <m:r>
          <m:t>S</m:t>
        </m:r>
        <m:r>
          <m:t>E</m:t>
        </m:r>
        <m:r>
          <m:rPr>
            <m:sty m:val="p"/>
          </m:rPr>
          <m:t>=</m:t>
        </m:r>
        <m:r>
          <m:t>0.22</m:t>
        </m:r>
        <m:r>
          <m:rPr>
            <m:sty m:val="p"/>
          </m:rPr>
          <m:t>,</m:t>
        </m:r>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r>
          <m:rPr>
            <m:sty m:val="p"/>
          </m:rPr>
          <m:t>,</m:t>
        </m:r>
        <m:r>
          <m:t>S</m:t>
        </m:r>
        <m:r>
          <m:t>E</m:t>
        </m:r>
        <m:r>
          <m:rPr>
            <m:sty m:val="p"/>
          </m:rPr>
          <m:t>=</m:t>
        </m:r>
        <m:r>
          <m:t>0.17</m:t>
        </m:r>
        <m:r>
          <m:rPr>
            <m:sty m:val="p"/>
          </m:rPr>
          <m:t>,</m:t>
        </m:r>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w:t>
      </w:r>
      <w:r>
        <w:t xml:space="preserve"> </w:t>
      </w:r>
      <w:r>
        <w:t xml:space="preserve">(</w:t>
      </w:r>
      <m:oMath>
        <m:r>
          <m:t>β</m:t>
        </m:r>
        <m:r>
          <m:rPr>
            <m:sty m:val="p"/>
          </m:rPr>
          <m:t>=</m:t>
        </m:r>
        <m:r>
          <m:rPr>
            <m:sty m:val="p"/>
          </m:rPr>
          <m:t>−</m:t>
        </m:r>
        <m:r>
          <m:t>0.38</m:t>
        </m:r>
        <m:r>
          <m:rPr>
            <m:sty m:val="p"/>
          </m:rPr>
          <m:t>,</m:t>
        </m:r>
        <m:r>
          <m:t>S</m:t>
        </m:r>
        <m:r>
          <m:t>E</m:t>
        </m:r>
        <m:r>
          <m:rPr>
            <m:sty m:val="p"/>
          </m:rPr>
          <m:t>=</m:t>
        </m:r>
        <m:r>
          <m:t>0.21</m:t>
        </m:r>
        <m:r>
          <m:rPr>
            <m:sty m:val="p"/>
          </m:rPr>
          <m:t>,</m:t>
        </m:r>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r>
          <m:rPr>
            <m:sty m:val="p"/>
          </m:rPr>
          <m:t>,</m:t>
        </m:r>
        <m:r>
          <m:t>S</m:t>
        </m:r>
        <m:r>
          <m:t>E</m:t>
        </m:r>
        <m:r>
          <m:rPr>
            <m:sty m:val="p"/>
          </m:rPr>
          <m:t>=</m:t>
        </m:r>
        <m:r>
          <m:t>0.21</m:t>
        </m:r>
        <m:r>
          <m:rPr>
            <m:sty m:val="p"/>
          </m:rPr>
          <m:t>,</m:t>
        </m:r>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r>
          <m:rPr>
            <m:sty m:val="p"/>
          </m:rPr>
          <m:t>,</m:t>
        </m:r>
        <m:r>
          <m:t>S</m:t>
        </m:r>
        <m:r>
          <m:t>E</m:t>
        </m:r>
        <m:r>
          <m:rPr>
            <m:sty m:val="p"/>
          </m:rPr>
          <m:t>=</m:t>
        </m:r>
        <m:r>
          <m:t>0.11</m:t>
        </m:r>
        <m:r>
          <m:rPr>
            <m:sty m:val="p"/>
          </m:rPr>
          <m:t>,</m:t>
        </m:r>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r>
          <m:rPr>
            <m:sty m:val="p"/>
          </m:rPr>
          <m:t>,</m:t>
        </m:r>
        <m:r>
          <m:t>S</m:t>
        </m:r>
        <m:r>
          <m:t>E</m:t>
        </m:r>
        <m:r>
          <m:rPr>
            <m:sty m:val="p"/>
          </m:rPr>
          <m:t>=</m:t>
        </m:r>
        <m:r>
          <m:t>0.19</m:t>
        </m:r>
        <m:r>
          <m:rPr>
            <m:sty m:val="p"/>
          </m:rPr>
          <m:t>,</m:t>
        </m:r>
        <m:r>
          <m:t>p</m:t>
        </m:r>
        <m:r>
          <m:rPr>
            <m:sty m:val="p"/>
          </m:rPr>
          <m:t>=</m:t>
        </m:r>
        <m:r>
          <m:t>0.086</m:t>
        </m:r>
      </m:oMath>
      <w:r>
        <w:t xml:space="preserve">).</w:t>
      </w:r>
    </w:p>
    <w:bookmarkEnd w:id="53"/>
    <w:bookmarkStart w:id="57"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w:t>
      </w:r>
      <w:hyperlink w:anchor="ref-lme4">
        <w:r>
          <w:rPr>
            <w:rStyle w:val="Hyperlink"/>
          </w:rPr>
          <w:t xml:space="preserve">Bates et al., 2011</w:t>
        </w:r>
      </w:hyperlink>
      <w:r>
        <w:t xml:space="preserve">)</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 Figure</w:t>
      </w:r>
      <w:r>
        <w:t xml:space="preserve"> </w:t>
      </w:r>
      <w:hyperlink w:anchor="fig:coefs:logRT">
        <w:r>
          <w:rPr>
            <w:rStyle w:val="Hyperlink"/>
          </w:rPr>
          <w:t xml:space="preserve">[fig:coefs:logRT]</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 Figure</w:t>
      </w:r>
      <w:r>
        <w:t xml:space="preserve"> </w:t>
      </w:r>
      <w:hyperlink w:anchor="fig:coefs:logRT">
        <w:r>
          <w:rPr>
            <w:rStyle w:val="Hyperlink"/>
          </w:rPr>
          <w:t xml:space="preserve">[fig:coefs:logRT]</w:t>
        </w:r>
      </w:hyperlink>
      <w:r>
        <w:t xml:space="preserve">).</w:t>
      </w:r>
    </w:p>
    <w:p>
      <w:pPr>
        <w:pStyle w:val="CaptionedFigure"/>
      </w:pPr>
      <w:r>
        <w:drawing>
          <wp:inline>
            <wp:extent cx="4754880" cy="3169919"/>
            <wp:effectExtent b="0" l="0" r="0" t="0"/>
            <wp:docPr descr="Beta coefficients for log-transformed response times in the Congruous (black) and Incongruous (gray) linear regression models plotted with 95% confidence intervals." title="" id="55" name="Picture"/>
            <a:graphic>
              <a:graphicData uri="http://schemas.openxmlformats.org/drawingml/2006/picture">
                <pic:pic>
                  <pic:nvPicPr>
                    <pic:cNvPr descr="images/coefs-logRT_instructions.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pStyle w:val="ImageCaption"/>
      </w:pPr>
      <w:r>
        <w:t xml:space="preserve">Beta coefficients for log-transformed response</w:t>
      </w:r>
      <w:r>
        <w:t xml:space="preserve"> </w:t>
      </w:r>
      <w:r>
        <w:t xml:space="preserve">times in the Congruous (black) and Incongruous (gray) linear regression</w:t>
      </w:r>
      <w:r>
        <w:t xml:space="preserve"> </w:t>
      </w:r>
      <w:r>
        <w:t xml:space="preserve">models plotted with 95% confidence intervals.</w:t>
      </w:r>
    </w:p>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r>
          <m:rPr>
            <m:sty m:val="p"/>
          </m:rPr>
          <m:t>,</m:t>
        </m:r>
        <m:r>
          <m:t>S</m:t>
        </m:r>
        <m:r>
          <m:t>E</m:t>
        </m:r>
        <m:r>
          <m:rPr>
            <m:sty m:val="p"/>
          </m:rPr>
          <m:t>=</m:t>
        </m:r>
        <m:r>
          <m:t>0.007</m:t>
        </m:r>
        <m:r>
          <m:rPr>
            <m:sty m:val="p"/>
          </m:rPr>
          <m:t>,</m:t>
        </m:r>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r>
          <m:rPr>
            <m:sty m:val="p"/>
          </m:rPr>
          <m:t>,</m:t>
        </m:r>
        <m:r>
          <m:t>S</m:t>
        </m:r>
        <m:r>
          <m:t>E</m:t>
        </m:r>
        <m:r>
          <m:rPr>
            <m:sty m:val="p"/>
          </m:rPr>
          <m:t>=</m:t>
        </m:r>
        <m:r>
          <m:t>0.007</m:t>
        </m:r>
        <m:r>
          <m:rPr>
            <m:sty m:val="p"/>
          </m:rPr>
          <m:t>,</m:t>
        </m:r>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r>
          <m:rPr>
            <m:sty m:val="p"/>
          </m:rPr>
          <m:t>,</m:t>
        </m:r>
        <m:r>
          <m:t>S</m:t>
        </m:r>
        <m:r>
          <m:t>E</m:t>
        </m:r>
        <m:r>
          <m:rPr>
            <m:sty m:val="p"/>
          </m:rPr>
          <m:t>=</m:t>
        </m:r>
        <m:r>
          <m:t>0.007</m:t>
        </m:r>
        <m:r>
          <m:rPr>
            <m:sty m:val="p"/>
          </m:rPr>
          <m:t>,</m:t>
        </m:r>
        <m:r>
          <m:t>p</m:t>
        </m:r>
        <m:r>
          <m:rPr>
            <m:sty m:val="p"/>
          </m:rPr>
          <m:t>&lt;</m:t>
        </m:r>
        <m:r>
          <m:t>0.01</m:t>
        </m:r>
      </m:oMath>
      <w:r>
        <w:t xml:space="preserve">)</w:t>
      </w:r>
      <w:r>
        <w:t xml:space="preserve"> </w:t>
      </w:r>
      <w:r>
        <w:t xml:space="preserve">but longer given Onset step 4 * Face (</w:t>
      </w:r>
      <m:oMath>
        <m:r>
          <m:t>β</m:t>
        </m:r>
        <m:r>
          <m:rPr>
            <m:sty m:val="p"/>
          </m:rPr>
          <m:t>=</m:t>
        </m:r>
        <m:r>
          <m:t>0.04</m:t>
        </m:r>
        <m:r>
          <m:rPr>
            <m:sty m:val="p"/>
          </m:rPr>
          <m:t>,</m:t>
        </m:r>
        <m:r>
          <m:t>S</m:t>
        </m:r>
        <m:r>
          <m:t>E</m:t>
        </m:r>
        <m:r>
          <m:rPr>
            <m:sty m:val="p"/>
          </m:rPr>
          <m:t>=</m:t>
        </m:r>
        <m:r>
          <m:t>0.007</m:t>
        </m:r>
        <m:r>
          <m:rPr>
            <m:sty m:val="p"/>
          </m:rPr>
          <m:t>,</m:t>
        </m:r>
        <m:r>
          <m:t>p</m:t>
        </m:r>
        <m:r>
          <m:rPr>
            <m:sty m:val="p"/>
          </m:rPr>
          <m:t>&lt;</m:t>
        </m:r>
        <m:r>
          <m:t>0.001</m:t>
        </m:r>
      </m:oMath>
      <w:r>
        <w:t xml:space="preserve">).</w:t>
      </w:r>
      <w:r>
        <w:t xml:space="preserve"> </w:t>
      </w:r>
      <w:r>
        <w:t xml:space="preserve">These crossing patterns can be seen in Figure</w:t>
      </w:r>
      <w:r>
        <w:t xml:space="preserve"> </w:t>
      </w:r>
      <w:hyperlink w:anchor="fig:coefs:logRT">
        <w:r>
          <w:rPr>
            <w:rStyle w:val="Hyperlink"/>
          </w:rPr>
          <w:t xml:space="preserve">[fig:coefs:logRT]</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r>
          <m:rPr>
            <m:sty m:val="p"/>
          </m:rPr>
          <m:t>,</m:t>
        </m:r>
        <m:r>
          <m:t>S</m:t>
        </m:r>
        <m:r>
          <m:t>E</m:t>
        </m:r>
        <m:r>
          <m:rPr>
            <m:sty m:val="p"/>
          </m:rPr>
          <m:t>=</m:t>
        </m:r>
        <m:r>
          <m:t>0.08</m:t>
        </m:r>
        <m:r>
          <m:rPr>
            <m:sty m:val="p"/>
          </m:rPr>
          <m:t>,</m:t>
        </m:r>
        <m:r>
          <m:t>p</m:t>
        </m:r>
        <m:r>
          <m:rPr>
            <m:sty m:val="p"/>
          </m:rPr>
          <m:t>&lt;</m:t>
        </m:r>
        <m:r>
          <m:t>0.05</m:t>
        </m:r>
      </m:oMath>
      <w:r>
        <w:t xml:space="preserve">) and not significant in the Incongruous</w:t>
      </w:r>
      <w:r>
        <w:t xml:space="preserve"> </w:t>
      </w:r>
      <w:r>
        <w:t xml:space="preserve">model.</w:t>
      </w:r>
    </w:p>
    <w:bookmarkEnd w:id="57"/>
    <w:bookmarkEnd w:id="58"/>
    <w:bookmarkStart w:id="59"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w:t>
      </w:r>
      <w:hyperlink w:anchor="ref-campbell-kibler2016">
        <w:r>
          <w:rPr>
            <w:rStyle w:val="Hyperlink"/>
          </w:rPr>
          <w:t xml:space="preserve">Campbell-Kibler, 2016</w:t>
        </w:r>
      </w:hyperlink>
      <w:r>
        <w:t xml:space="preserve">)</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w:t>
      </w:r>
      <w:hyperlink w:anchor="ref-campbell-kibler2020">
        <w:r>
          <w:rPr>
            <w:rStyle w:val="Hyperlink"/>
          </w:rPr>
          <w:t xml:space="preserve">Campbell-Kibler, 2021</w:t>
        </w:r>
      </w:hyperlink>
      <w:r>
        <w:t xml:space="preserve">)</w:t>
      </w:r>
      <w:r>
        <w:t xml:space="preserve">. A similar result may be present, for social</w:t>
      </w:r>
      <w:r>
        <w:t xml:space="preserve"> </w:t>
      </w:r>
      <w:r>
        <w:t xml:space="preserve">information, in the within-participants guise manipulation of</w:t>
      </w:r>
      <w:r>
        <w:t xml:space="preserve"> </w:t>
      </w:r>
      <w:r>
        <w:t xml:space="preserve">(</w:t>
      </w:r>
      <w:hyperlink w:anchor="ref-mcgowanBabel2020">
        <w:r>
          <w:rPr>
            <w:rStyle w:val="Hyperlink"/>
          </w:rPr>
          <w:t xml:space="preserve">McGowan &amp; Babel, 2020</w:t>
        </w:r>
      </w:hyperlink>
      <w:r>
        <w:t xml:space="preserve">)</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w:t>
      </w:r>
      <w:hyperlink w:anchor="ref-haynolandrager2006">
        <w:r>
          <w:rPr>
            <w:rStyle w:val="Hyperlink"/>
          </w:rPr>
          <w:t xml:space="preserve">Hay et al., 2006</w:t>
        </w:r>
      </w:hyperlink>
      <w:r>
        <w:t xml:space="preserve">;</w:t>
      </w:r>
      <w:r>
        <w:t xml:space="preserve"> </w:t>
      </w:r>
      <w:hyperlink w:anchor="ref-HayDrager2010">
        <w:r>
          <w:rPr>
            <w:rStyle w:val="Hyperlink"/>
          </w:rPr>
          <w:t xml:space="preserve">Hay &amp; Drager, 2010</w:t>
        </w:r>
      </w:hyperlink>
      <w:r>
        <w:t xml:space="preserve">;</w:t>
      </w:r>
      <w:r>
        <w:t xml:space="preserve"> </w:t>
      </w:r>
      <w:hyperlink w:anchor="ref-Niedzielski1999">
        <w:r>
          <w:rPr>
            <w:rStyle w:val="Hyperlink"/>
          </w:rPr>
          <w:t xml:space="preserve">Niedzielski, 1999</w:t>
        </w:r>
      </w:hyperlink>
      <w:r>
        <w:t xml:space="preserve">)</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w:t>
      </w:r>
      <w:hyperlink w:anchor="ref-McGurkMacDonald1976">
        <w:r>
          <w:rPr>
            <w:rStyle w:val="Hyperlink"/>
          </w:rPr>
          <w:t xml:space="preserve">McGurk &amp; MacDonald, 1976</w:t>
        </w:r>
      </w:hyperlink>
      <w:r>
        <w:t xml:space="preserve">)</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w:t>
      </w:r>
      <w:hyperlink w:anchor="ref-GreenEtAl1991">
        <w:r>
          <w:rPr>
            <w:rStyle w:val="Hyperlink"/>
          </w:rPr>
          <w:t xml:space="preserve">Green et al., 1991b</w:t>
        </w:r>
      </w:hyperlink>
      <w:r>
        <w:t xml:space="preserve">)</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w:t>
      </w:r>
      <w:hyperlink w:anchor="ref-strandJohnson1996">
        <w:r>
          <w:rPr>
            <w:rStyle w:val="Hyperlink"/>
          </w:rPr>
          <w:t xml:space="preserve">Strand &amp; Johnson, 1996</w:t>
        </w:r>
      </w:hyperlink>
      <w:r>
        <w:t xml:space="preserve">)</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w:t>
      </w:r>
      <w:hyperlink w:anchor="ref-schellingerMunsonEdwards2017">
        <w:r>
          <w:rPr>
            <w:rStyle w:val="Hyperlink"/>
          </w:rPr>
          <w:t xml:space="preserve">Schellinger et al., 2017</w:t>
        </w:r>
      </w:hyperlink>
      <w:r>
        <w:t xml:space="preserve">;</w:t>
      </w:r>
      <w:r>
        <w:t xml:space="preserve"> </w:t>
      </w:r>
      <w:hyperlink w:anchor="ref-wilbanks2022">
        <w:r>
          <w:rPr>
            <w:rStyle w:val="Hyperlink"/>
          </w:rPr>
          <w:t xml:space="preserve">Wilbanks, 2022</w:t>
        </w:r>
      </w:hyperlink>
      <w:r>
        <w:t xml:space="preserve">)</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w:t>
      </w:r>
      <w:hyperlink w:anchor="ref-lisker1986">
        <w:r>
          <w:rPr>
            <w:rStyle w:val="Hyperlink"/>
          </w:rPr>
          <w:t xml:space="preserve">Lisker, 1986</w:t>
        </w:r>
      </w:hyperlink>
      <w:r>
        <w:t xml:space="preserve">)</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t>
      </w:r>
      <w:hyperlink w:anchor="ref-whalen1984">
        <w:r>
          <w:rPr>
            <w:rStyle w:val="Hyperlink"/>
          </w:rPr>
          <w:t xml:space="preserve">Whalen, 1984</w:t>
        </w:r>
      </w:hyperlink>
      <w:r>
        <w:t xml:space="preserve">)</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59"/>
    <w:bookmarkStart w:id="153" w:name="conclusion"/>
    <w:p>
      <w:pPr>
        <w:pStyle w:val="Heading1"/>
      </w:pPr>
      <w:r>
        <w:t xml:space="preserve">Conclusion</w:t>
      </w:r>
    </w:p>
    <w:p>
      <w:pPr>
        <w:pStyle w:val="FirstParagraph"/>
      </w:pPr>
      <w:r>
        <w:t xml:space="preserve">Decades of research since</w:t>
      </w:r>
      <w:r>
        <w:t xml:space="preserve"> </w:t>
      </w:r>
      <w:r>
        <w:t xml:space="preserve">(</w:t>
      </w:r>
      <w:hyperlink w:anchor="ref-strandJohnson1996">
        <w:r>
          <w:rPr>
            <w:rStyle w:val="Hyperlink"/>
          </w:rPr>
          <w:t xml:space="preserve">Strand &amp; Johnson, 1996</w:t>
        </w:r>
      </w:hyperlink>
      <w:r>
        <w:t xml:space="preserve">)</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w:t>
      </w:r>
      <w:hyperlink w:anchor="ref-bouavichithEtAl2019">
        <w:r>
          <w:rPr>
            <w:rStyle w:val="Hyperlink"/>
          </w:rPr>
          <w:t xml:space="preserve">Bouavichith et al., 2019</w:t>
        </w:r>
      </w:hyperlink>
      <w:r>
        <w:t xml:space="preserve">)</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w:t>
      </w:r>
      <w:hyperlink w:anchor="ref-campbell-kibler2020">
        <w:r>
          <w:rPr>
            <w:rStyle w:val="Hyperlink"/>
          </w:rPr>
          <w:t xml:space="preserve">Campbell-Kibler, 2021</w:t>
        </w:r>
      </w:hyperlink>
      <w:r>
        <w:t xml:space="preserve">)</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w:t>
      </w:r>
      <w:hyperlink w:anchor="ref-johnsonstranddimperio1999">
        <w:r>
          <w:rPr>
            <w:rStyle w:val="Hyperlink"/>
          </w:rPr>
          <w:t xml:space="preserve">Johnson et al., 1999</w:t>
        </w:r>
      </w:hyperlink>
      <w:r>
        <w:t xml:space="preserve">)</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w:t>
      </w:r>
      <w:hyperlink w:anchor="ref-BabelVolume">
        <w:r>
          <w:rPr>
            <w:rStyle w:val="Hyperlink"/>
          </w:rPr>
          <w:t xml:space="preserve">A. Babel, this volume</w:t>
        </w:r>
      </w:hyperlink>
      <w:r>
        <w:t xml:space="preserv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w:t>
      </w:r>
      <w:hyperlink w:anchor="ref-barrett2014">
        <w:r>
          <w:rPr>
            <w:rStyle w:val="Hyperlink"/>
          </w:rPr>
          <w:t xml:space="preserve">Barrett, 2014, p. 205</w:t>
        </w:r>
      </w:hyperlink>
      <w:r>
        <w:t xml:space="preserve">)</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w:t>
      </w:r>
      <w:hyperlink w:anchor="ref-May1976">
        <w:r>
          <w:rPr>
            <w:rStyle w:val="Hyperlink"/>
          </w:rPr>
          <w:t xml:space="preserve">May, 1976b</w:t>
        </w:r>
      </w:hyperlink>
      <w:r>
        <w:t xml:space="preserve">)</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2" w:name="references"/>
    <w:p>
      <w:pPr>
        <w:pStyle w:val="Heading2"/>
      </w:pPr>
      <w:r>
        <w:t xml:space="preserve">References</w:t>
      </w:r>
    </w:p>
    <w:bookmarkStart w:id="147" w:name="refs"/>
    <w:bookmarkStart w:id="60" w:name="ref-alpert2014"/>
    <w:p>
      <w:pPr>
        <w:pStyle w:val="Bibliography"/>
      </w:pPr>
      <w:r>
        <w:t xml:space="preserve">Alpert, E. R. (2014).</w:t>
      </w:r>
      <w:r>
        <w:t xml:space="preserve"> </w:t>
      </w:r>
      <w:r>
        <w:rPr>
          <w:i/>
          <w:iCs/>
        </w:rPr>
        <w:t xml:space="preserve">Language, gender, and ideology in japanese professional matchmaking.</w:t>
      </w:r>
      <w:r>
        <w:t xml:space="preserve"> </w:t>
      </w:r>
      <w:r>
        <w:t xml:space="preserve">[PhD thesis]. University of Michigan, Department of Anthropology.</w:t>
      </w:r>
    </w:p>
    <w:bookmarkEnd w:id="60"/>
    <w:bookmarkStart w:id="61" w:name="ref-BabelVolume"/>
    <w:p>
      <w:pPr>
        <w:pStyle w:val="Bibliography"/>
      </w:pPr>
      <w:r>
        <w:t xml:space="preserve">Babel, A. (this volume). A semiotic approach to awareness and control.</w:t>
      </w:r>
      <w:r>
        <w:t xml:space="preserve"> </w:t>
      </w:r>
      <w:r>
        <w:rPr>
          <w:i/>
          <w:iCs/>
        </w:rPr>
        <w:t xml:space="preserve">Journal of Sociolinguistics</w:t>
      </w:r>
      <w:r>
        <w:t xml:space="preserve">,</w:t>
      </w:r>
      <w:r>
        <w:t xml:space="preserve"> </w:t>
      </w:r>
      <w:r>
        <w:rPr>
          <w:i/>
          <w:iCs/>
        </w:rPr>
        <w:t xml:space="preserve">42</w:t>
      </w:r>
      <w:r>
        <w:t xml:space="preserve">(1).</w:t>
      </w:r>
    </w:p>
    <w:bookmarkEnd w:id="61"/>
    <w:bookmarkStart w:id="62" w:name="ref-babelCampbell-kiblerMcGowanVolume"/>
    <w:p>
      <w:pPr>
        <w:pStyle w:val="Bibliography"/>
      </w:pPr>
      <w:r>
        <w:t xml:space="preserve">Babel, A. M., Campbell-Kibler, K., &amp; McGowan, K. B. (this volume). Introduction to the thematic issue.</w:t>
      </w:r>
      <w:r>
        <w:t xml:space="preserve"> </w:t>
      </w:r>
      <w:r>
        <w:rPr>
          <w:i/>
          <w:iCs/>
        </w:rPr>
        <w:t xml:space="preserve">Journal of Sociolinguistics</w:t>
      </w:r>
      <w:r>
        <w:t xml:space="preserve">,</w:t>
      </w:r>
      <w:r>
        <w:t xml:space="preserve"> </w:t>
      </w:r>
      <w:r>
        <w:rPr>
          <w:i/>
          <w:iCs/>
        </w:rPr>
        <w:t xml:space="preserve">42</w:t>
      </w:r>
      <w:r>
        <w:t xml:space="preserve">(1).</w:t>
      </w:r>
    </w:p>
    <w:bookmarkEnd w:id="62"/>
    <w:bookmarkStart w:id="63" w:name="ref-barrett2014"/>
    <w:p>
      <w:pPr>
        <w:pStyle w:val="Bibliography"/>
      </w:pPr>
      <w:r>
        <w:t xml:space="preserve">Barrett, R. (2014). The emergence of the unmarked. In L. Zimman, J. Davis, &amp; J. Raclaw (Eds.),</w:t>
      </w:r>
      <w:r>
        <w:t xml:space="preserve"> </w:t>
      </w:r>
      <w:r>
        <w:rPr>
          <w:i/>
          <w:iCs/>
        </w:rPr>
        <w:t xml:space="preserve">Queer excursions: Retheorizing binaries in language, gender, and sexuality</w:t>
      </w:r>
      <w:r>
        <w:t xml:space="preserve"> </w:t>
      </w:r>
      <w:r>
        <w:t xml:space="preserve">(pp. 195–223). Oxford University Press.</w:t>
      </w:r>
    </w:p>
    <w:bookmarkEnd w:id="63"/>
    <w:bookmarkStart w:id="65" w:name="ref-lme4"/>
    <w:p>
      <w:pPr>
        <w:pStyle w:val="Bibliography"/>
      </w:pPr>
      <w:r>
        <w:t xml:space="preserve">Bates, D., Maechler, M., &amp; Bolker, B. (2011).</w:t>
      </w:r>
      <w:r>
        <w:t xml:space="preserve"> </w:t>
      </w:r>
      <w:r>
        <w:rPr>
          <w:i/>
          <w:iCs/>
        </w:rPr>
        <w:t xml:space="preserve">lme4: Linear mixed-effects models using S4 classes</w:t>
      </w:r>
      <w:r>
        <w:t xml:space="preserve">.</w:t>
      </w:r>
      <w:r>
        <w:t xml:space="preserve"> </w:t>
      </w:r>
      <w:hyperlink r:id="rId64">
        <w:r>
          <w:rPr>
            <w:rStyle w:val="Hyperlink"/>
          </w:rPr>
          <w:t xml:space="preserve">http://CRAN.R-project.org/package=lme4</w:t>
        </w:r>
      </w:hyperlink>
    </w:p>
    <w:bookmarkEnd w:id="65"/>
    <w:bookmarkStart w:id="66" w:name="ref-praat2001"/>
    <w:p>
      <w:pPr>
        <w:pStyle w:val="Bibliography"/>
      </w:pPr>
      <w:r>
        <w:t xml:space="preserve">Boersma, P. (2001). 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341–345.</w:t>
      </w:r>
    </w:p>
    <w:bookmarkEnd w:id="66"/>
    <w:bookmarkStart w:id="68" w:name="ref-bouavichithEtAl2019"/>
    <w:p>
      <w:pPr>
        <w:pStyle w:val="Bibliography"/>
      </w:pPr>
      <w:r>
        <w:t xml:space="preserve">Bouavichith, D. A., Calloway, I. C., Craft, J. T., Hildebrandt, T., Tobin, S. J., &amp; Beddor, P. S. (2019). Bidirectional effects of priming in speech perception: Social-to-lexical and lexical-to-social.</w:t>
      </w:r>
      <w:r>
        <w:t xml:space="preserve"> </w:t>
      </w:r>
      <w:r>
        <w:rPr>
          <w:i/>
          <w:iCs/>
        </w:rPr>
        <w:t xml:space="preserve">The Journal of the Acoustical Society of America</w:t>
      </w:r>
      <w:r>
        <w:t xml:space="preserve">,</w:t>
      </w:r>
      <w:r>
        <w:t xml:space="preserve"> </w:t>
      </w:r>
      <w:r>
        <w:rPr>
          <w:i/>
          <w:iCs/>
        </w:rPr>
        <w:t xml:space="preserve">145</w:t>
      </w:r>
      <w:r>
        <w:t xml:space="preserve">.</w:t>
      </w:r>
      <w:r>
        <w:t xml:space="preserve"> </w:t>
      </w:r>
      <w:hyperlink r:id="rId67">
        <w:r>
          <w:rPr>
            <w:rStyle w:val="Hyperlink"/>
          </w:rPr>
          <w:t xml:space="preserve">https://doi.org/10.1121/1.5101933</w:t>
        </w:r>
      </w:hyperlink>
    </w:p>
    <w:bookmarkEnd w:id="68"/>
    <w:bookmarkStart w:id="70" w:name="ref-boydfruehwaldhall-lew_2021"/>
    <w:p>
      <w:pPr>
        <w:pStyle w:val="Bibliography"/>
      </w:pPr>
      <w:r>
        <w:t xml:space="preserve">Boyd, Z., Fruehwald, J., &amp; Hall-Lew, L. (2021). Crosslinguistic perceptions of /s/ among english, french, and german listeners.</w:t>
      </w:r>
      <w:r>
        <w:t xml:space="preserve"> </w:t>
      </w:r>
      <w:r>
        <w:rPr>
          <w:i/>
          <w:iCs/>
        </w:rPr>
        <w:t xml:space="preserve">Language Variation and Change</w:t>
      </w:r>
      <w:r>
        <w:t xml:space="preserve">,</w:t>
      </w:r>
      <w:r>
        <w:t xml:space="preserve"> </w:t>
      </w:r>
      <w:r>
        <w:rPr>
          <w:i/>
          <w:iCs/>
        </w:rPr>
        <w:t xml:space="preserve">33</w:t>
      </w:r>
      <w:r>
        <w:t xml:space="preserve">(2), 165–191.</w:t>
      </w:r>
      <w:r>
        <w:t xml:space="preserve"> </w:t>
      </w:r>
      <w:hyperlink r:id="rId69">
        <w:r>
          <w:rPr>
            <w:rStyle w:val="Hyperlink"/>
          </w:rPr>
          <w:t xml:space="preserve">https://doi.org/10.1017/S0954394521000089</w:t>
        </w:r>
      </w:hyperlink>
    </w:p>
    <w:bookmarkEnd w:id="70"/>
    <w:bookmarkStart w:id="71" w:name="ref-bucholtz2002"/>
    <w:p>
      <w:pPr>
        <w:pStyle w:val="Bibliography"/>
      </w:pPr>
      <w:r>
        <w:t xml:space="preserve">Bucholtz, M. (2002). 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w:t>
      </w:r>
      <w:r>
        <w:t xml:space="preserve"> </w:t>
      </w:r>
      <w:r>
        <w:rPr>
          <w:i/>
          <w:iCs/>
        </w:rPr>
        <w:t xml:space="preserve">8</w:t>
      </w:r>
      <w:r>
        <w:t xml:space="preserve">(3), 33–45.</w:t>
      </w:r>
    </w:p>
    <w:bookmarkEnd w:id="71"/>
    <w:bookmarkStart w:id="72" w:name="ref-bucholtzHall2016"/>
    <w:p>
      <w:pPr>
        <w:pStyle w:val="Bibliography"/>
      </w:pPr>
      <w:r>
        <w:t xml:space="preserve">Bucholtz, M., &amp; Hall, K. (2016). Embodied sociolinguistics.</w:t>
      </w:r>
      <w:r>
        <w:t xml:space="preserve"> </w:t>
      </w:r>
      <w:r>
        <w:rPr>
          <w:i/>
          <w:iCs/>
        </w:rPr>
        <w:t xml:space="preserve">Sociolinguistics: Theoretical Debates</w:t>
      </w:r>
      <w:r>
        <w:t xml:space="preserve">,</w:t>
      </w:r>
      <w:r>
        <w:t xml:space="preserve"> </w:t>
      </w:r>
      <w:r>
        <w:rPr>
          <w:i/>
          <w:iCs/>
        </w:rPr>
        <w:t xml:space="preserve">1</w:t>
      </w:r>
      <w:r>
        <w:t xml:space="preserve">(1), 173–200.</w:t>
      </w:r>
    </w:p>
    <w:bookmarkEnd w:id="72"/>
    <w:bookmarkStart w:id="73" w:name="ref-calder2018"/>
    <w:p>
      <w:pPr>
        <w:pStyle w:val="Bibliography"/>
      </w:pPr>
      <w:r>
        <w:t xml:space="preserve">Calder, J. (2018). From</w:t>
      </w:r>
      <w:r>
        <w:t xml:space="preserve"> </w:t>
      </w:r>
      <w:r>
        <w:t xml:space="preserve">“gay lisp”</w:t>
      </w:r>
      <w:r>
        <w:t xml:space="preserve"> </w:t>
      </w:r>
      <w:r>
        <w:t xml:space="preserve">to</w:t>
      </w:r>
      <w:r>
        <w:t xml:space="preserve"> </w:t>
      </w:r>
      <w:r>
        <w:t xml:space="preserve">“fierce queen”</w:t>
      </w:r>
      <w:r>
        <w:t xml:space="preserve">: The sociophonetics of sexuality’s most iconic variable. In K. Hall &amp; R. Barrett (Eds.),</w:t>
      </w:r>
      <w:r>
        <w:t xml:space="preserve"> </w:t>
      </w:r>
      <w:r>
        <w:rPr>
          <w:i/>
          <w:iCs/>
        </w:rPr>
        <w:t xml:space="preserve">The oxford handbook of language and sexuality</w:t>
      </w:r>
      <w:r>
        <w:t xml:space="preserve"> </w:t>
      </w:r>
      <w:r>
        <w:t xml:space="preserve">(pp. 1–23).</w:t>
      </w:r>
    </w:p>
    <w:bookmarkEnd w:id="73"/>
    <w:bookmarkStart w:id="74" w:name="ref-campbell-kibler2005"/>
    <w:p>
      <w:pPr>
        <w:pStyle w:val="Bibliography"/>
      </w:pPr>
      <w:r>
        <w:t xml:space="preserve">Campbell-Kibler, K. (2005).</w:t>
      </w:r>
      <w:r>
        <w:t xml:space="preserve"> </w:t>
      </w:r>
      <w:r>
        <w:rPr>
          <w:i/>
          <w:iCs/>
        </w:rPr>
        <w:t xml:space="preserve">Listener perceptions of sociolinguistic variables: The case of (ING)</w:t>
      </w:r>
      <w:r>
        <w:t xml:space="preserve"> </w:t>
      </w:r>
      <w:r>
        <w:t xml:space="preserve">[PhD thesis]. Stanford University.</w:t>
      </w:r>
    </w:p>
    <w:bookmarkEnd w:id="74"/>
    <w:bookmarkStart w:id="75" w:name="ref-campbell-kibler2007"/>
    <w:p>
      <w:pPr>
        <w:pStyle w:val="Bibliography"/>
      </w:pPr>
      <w:r>
        <w:t xml:space="preserve">Campbell-Kibler, K. (2007). Accent,(ING), and the social logic of listener perceptions.</w:t>
      </w:r>
      <w:r>
        <w:t xml:space="preserve"> </w:t>
      </w:r>
      <w:r>
        <w:rPr>
          <w:i/>
          <w:iCs/>
        </w:rPr>
        <w:t xml:space="preserve">American Speech</w:t>
      </w:r>
      <w:r>
        <w:t xml:space="preserve">,</w:t>
      </w:r>
      <w:r>
        <w:t xml:space="preserve"> </w:t>
      </w:r>
      <w:r>
        <w:rPr>
          <w:i/>
          <w:iCs/>
        </w:rPr>
        <w:t xml:space="preserve">82</w:t>
      </w:r>
      <w:r>
        <w:t xml:space="preserve">(1), 32–64.</w:t>
      </w:r>
    </w:p>
    <w:bookmarkEnd w:id="75"/>
    <w:bookmarkStart w:id="76" w:name="ref-campbell-kibler2016"/>
    <w:p>
      <w:pPr>
        <w:pStyle w:val="Bibliography"/>
      </w:pPr>
      <w:r>
        <w:t xml:space="preserve">Campbell-Kibler, K. (2016). Toward a cognitively realistic model of meaningful sociolinguistic variation. In A. Babel (Ed.),</w:t>
      </w:r>
      <w:r>
        <w:t xml:space="preserve"> </w:t>
      </w:r>
      <w:r>
        <w:rPr>
          <w:i/>
          <w:iCs/>
        </w:rPr>
        <w:t xml:space="preserve">Awareness and control in sociolinguistic research</w:t>
      </w:r>
      <w:r>
        <w:t xml:space="preserve"> </w:t>
      </w:r>
      <w:r>
        <w:t xml:space="preserve">(pp. 123–151).</w:t>
      </w:r>
    </w:p>
    <w:bookmarkEnd w:id="76"/>
    <w:bookmarkStart w:id="77" w:name="ref-campbell-kibler2020"/>
    <w:p>
      <w:pPr>
        <w:pStyle w:val="Bibliography"/>
      </w:pPr>
      <w:r>
        <w:t xml:space="preserve">Campbell-Kibler, K. (2021). Deliberative control in audiovisual sociolinguistic perception.</w:t>
      </w:r>
      <w:r>
        <w:t xml:space="preserve"> </w:t>
      </w:r>
      <w:r>
        <w:rPr>
          <w:i/>
          <w:iCs/>
        </w:rPr>
        <w:t xml:space="preserve">Journal of Sociolinguistics</w:t>
      </w:r>
      <w:r>
        <w:t xml:space="preserve">,</w:t>
      </w:r>
      <w:r>
        <w:t xml:space="preserve"> </w:t>
      </w:r>
      <w:r>
        <w:rPr>
          <w:i/>
          <w:iCs/>
        </w:rPr>
        <w:t xml:space="preserve">25</w:t>
      </w:r>
      <w:r>
        <w:t xml:space="preserve">(2), 253–271.</w:t>
      </w:r>
    </w:p>
    <w:bookmarkEnd w:id="77"/>
    <w:bookmarkStart w:id="78" w:name="ref-chan2021"/>
    <w:p>
      <w:pPr>
        <w:pStyle w:val="Bibliography"/>
      </w:pPr>
      <w:r>
        <w:t xml:space="preserve">CHAN, K. L. R. (2021). Verbal guise test: Problems and solutions.</w:t>
      </w:r>
      <w:r>
        <w:t xml:space="preserve"> </w:t>
      </w:r>
      <w:r>
        <w:rPr>
          <w:i/>
          <w:iCs/>
        </w:rPr>
        <w:t xml:space="preserve">Academia Letters</w:t>
      </w:r>
      <w:r>
        <w:t xml:space="preserve">.</w:t>
      </w:r>
    </w:p>
    <w:bookmarkEnd w:id="78"/>
    <w:bookmarkStart w:id="79" w:name="ref-daniel2007"/>
    <w:p>
      <w:pPr>
        <w:pStyle w:val="Bibliography"/>
      </w:pPr>
      <w:r>
        <w:t xml:space="preserve">Daniel, M. M., Lorenzi, M. C., Costa Leite, C. da, &amp; Lorenzi-Filho, G. (2007). Pharyngeal dimensions in healthy men and women.</w:t>
      </w:r>
      <w:r>
        <w:t xml:space="preserve"> </w:t>
      </w:r>
      <w:r>
        <w:rPr>
          <w:i/>
          <w:iCs/>
        </w:rPr>
        <w:t xml:space="preserve">Clinics</w:t>
      </w:r>
      <w:r>
        <w:t xml:space="preserve">,</w:t>
      </w:r>
      <w:r>
        <w:t xml:space="preserve"> </w:t>
      </w:r>
      <w:r>
        <w:rPr>
          <w:i/>
          <w:iCs/>
        </w:rPr>
        <w:t xml:space="preserve">62</w:t>
      </w:r>
      <w:r>
        <w:t xml:space="preserve">(1), 5–10.</w:t>
      </w:r>
    </w:p>
    <w:bookmarkEnd w:id="79"/>
    <w:bookmarkStart w:id="80" w:name="ref-drager2013"/>
    <w:p>
      <w:pPr>
        <w:pStyle w:val="Bibliography"/>
      </w:pPr>
      <w:r>
        <w:t xml:space="preserve">Drager, K. (2013). Experimental methods in sociolinguistics. In J. Holmes &amp; K. Hazen (Eds.),</w:t>
      </w:r>
      <w:r>
        <w:t xml:space="preserve"> </w:t>
      </w:r>
      <w:r>
        <w:rPr>
          <w:i/>
          <w:iCs/>
        </w:rPr>
        <w:t xml:space="preserve">Research methods in sociolinguistics: A practical guide</w:t>
      </w:r>
      <w:r>
        <w:t xml:space="preserve"> </w:t>
      </w:r>
      <w:r>
        <w:t xml:space="preserve">(pp. 58–73). Wiley Blackwell.</w:t>
      </w:r>
    </w:p>
    <w:bookmarkEnd w:id="80"/>
    <w:bookmarkStart w:id="81" w:name="ref-eckert2008"/>
    <w:p>
      <w:pPr>
        <w:pStyle w:val="Bibliography"/>
      </w:pPr>
      <w:r>
        <w:t xml:space="preserve">Eckert, P. (2008). Variation and the indexical field 1.</w:t>
      </w:r>
      <w:r>
        <w:t xml:space="preserve"> </w:t>
      </w:r>
      <w:r>
        <w:rPr>
          <w:i/>
          <w:iCs/>
        </w:rPr>
        <w:t xml:space="preserve">Journal of Sociolinguistics</w:t>
      </w:r>
      <w:r>
        <w:t xml:space="preserve">,</w:t>
      </w:r>
      <w:r>
        <w:t xml:space="preserve"> </w:t>
      </w:r>
      <w:r>
        <w:rPr>
          <w:i/>
          <w:iCs/>
        </w:rPr>
        <w:t xml:space="preserve">12</w:t>
      </w:r>
      <w:r>
        <w:t xml:space="preserve">(4), 453–476.</w:t>
      </w:r>
    </w:p>
    <w:bookmarkEnd w:id="81"/>
    <w:bookmarkStart w:id="82" w:name="ref-eckert2012"/>
    <w:p>
      <w:pPr>
        <w:pStyle w:val="Bibliography"/>
      </w:pPr>
      <w:r>
        <w:t xml:space="preserve">Eckert, P. (2012). 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w:t>
      </w:r>
      <w:r>
        <w:t xml:space="preserve"> </w:t>
      </w:r>
      <w:r>
        <w:rPr>
          <w:i/>
          <w:iCs/>
        </w:rPr>
        <w:t xml:space="preserve">41</w:t>
      </w:r>
      <w:r>
        <w:t xml:space="preserve">(1), 87–100.</w:t>
      </w:r>
    </w:p>
    <w:bookmarkEnd w:id="82"/>
    <w:bookmarkStart w:id="83" w:name="ref-eckertPodesva2021"/>
    <w:p>
      <w:pPr>
        <w:pStyle w:val="Bibliography"/>
      </w:pPr>
      <w:r>
        <w:t xml:space="preserve">Eckert, P., &amp; Podesva, R. J. (2021). Non-binary approaches to gender and sexuality.</w:t>
      </w:r>
      <w:r>
        <w:t xml:space="preserve"> </w:t>
      </w:r>
      <w:r>
        <w:rPr>
          <w:i/>
          <w:iCs/>
        </w:rPr>
        <w:t xml:space="preserve">The Routledge Handbook of Language, Gender, and Sexuality</w:t>
      </w:r>
      <w:r>
        <w:t xml:space="preserve">, 25–36.</w:t>
      </w:r>
    </w:p>
    <w:bookmarkEnd w:id="83"/>
    <w:bookmarkStart w:id="84" w:name="ref-fant1960"/>
    <w:p>
      <w:pPr>
        <w:pStyle w:val="Bibliography"/>
      </w:pPr>
      <w:r>
        <w:t xml:space="preserve">Fant, G. (1960).</w:t>
      </w:r>
      <w:r>
        <w:t xml:space="preserve"> </w:t>
      </w:r>
      <w:r>
        <w:rPr>
          <w:i/>
          <w:iCs/>
        </w:rPr>
        <w:t xml:space="preserve">Acoustic theory of speech production</w:t>
      </w:r>
      <w:r>
        <w:t xml:space="preserve">. Mouton.</w:t>
      </w:r>
    </w:p>
    <w:bookmarkEnd w:id="84"/>
    <w:bookmarkStart w:id="85" w:name="ref-foulkesDocherty2006"/>
    <w:p>
      <w:pPr>
        <w:pStyle w:val="Bibliography"/>
      </w:pPr>
      <w:r>
        <w:t xml:space="preserve">Foulkes, P., &amp; Docherty, G. (2006). The social life of phonetics and phonology.</w:t>
      </w:r>
      <w:r>
        <w:t xml:space="preserve"> </w:t>
      </w:r>
      <w:r>
        <w:rPr>
          <w:i/>
          <w:iCs/>
        </w:rPr>
        <w:t xml:space="preserve">Journal of Phonetics</w:t>
      </w:r>
      <w:r>
        <w:t xml:space="preserve">,</w:t>
      </w:r>
      <w:r>
        <w:t xml:space="preserve"> </w:t>
      </w:r>
      <w:r>
        <w:rPr>
          <w:i/>
          <w:iCs/>
        </w:rPr>
        <w:t xml:space="preserve">34</w:t>
      </w:r>
      <w:r>
        <w:t xml:space="preserve">, 409–438.</w:t>
      </w:r>
    </w:p>
    <w:bookmarkEnd w:id="85"/>
    <w:bookmarkStart w:id="86" w:name="ref-gnevsheva2017"/>
    <w:p>
      <w:pPr>
        <w:pStyle w:val="Bibliography"/>
      </w:pPr>
      <w:r>
        <w:t xml:space="preserve">Gnevsheva, K. (2017). Within-speaker variation in passing for a native speaker.</w:t>
      </w:r>
      <w:r>
        <w:t xml:space="preserve"> </w:t>
      </w:r>
      <w:r>
        <w:rPr>
          <w:i/>
          <w:iCs/>
        </w:rPr>
        <w:t xml:space="preserve">International Journal of Bilingualism</w:t>
      </w:r>
      <w:r>
        <w:t xml:space="preserve">,</w:t>
      </w:r>
      <w:r>
        <w:t xml:space="preserve"> </w:t>
      </w:r>
      <w:r>
        <w:rPr>
          <w:i/>
          <w:iCs/>
        </w:rPr>
        <w:t xml:space="preserve">21</w:t>
      </w:r>
      <w:r>
        <w:t xml:space="preserve">(2), 213–227.</w:t>
      </w:r>
    </w:p>
    <w:bookmarkEnd w:id="86"/>
    <w:bookmarkStart w:id="88" w:name="ref-GreenEtAl1991"/>
    <w:p>
      <w:pPr>
        <w:pStyle w:val="Bibliography"/>
      </w:pPr>
      <w:r>
        <w:t xml:space="preserve">Green, K., Kuhl, P., Meltzoff, A., &amp; Stevens, E. (1991b). Integrating speech information across talkers, gender, and sensory modality: Female faces and male voices in the McGurk effect.</w:t>
      </w:r>
      <w:r>
        <w:t xml:space="preserve"> </w:t>
      </w:r>
      <w:r>
        <w:rPr>
          <w:i/>
          <w:iCs/>
        </w:rPr>
        <w:t xml:space="preserve">Attention, Perception, &amp; Psychophysics</w:t>
      </w:r>
      <w:r>
        <w:t xml:space="preserve">,</w:t>
      </w:r>
      <w:r>
        <w:t xml:space="preserve"> </w:t>
      </w:r>
      <w:r>
        <w:rPr>
          <w:i/>
          <w:iCs/>
        </w:rPr>
        <w:t xml:space="preserve">50</w:t>
      </w:r>
      <w:r>
        <w:t xml:space="preserve">, 524–536.</w:t>
      </w:r>
      <w:r>
        <w:t xml:space="preserve"> </w:t>
      </w:r>
      <w:hyperlink r:id="rId87">
        <w:r>
          <w:rPr>
            <w:rStyle w:val="Hyperlink"/>
          </w:rPr>
          <w:t xml:space="preserve">http://dx.doi.org/10.3758/BF03207536</w:t>
        </w:r>
      </w:hyperlink>
    </w:p>
    <w:bookmarkEnd w:id="88"/>
    <w:bookmarkStart w:id="89" w:name="ref-greenKuhlMeltzoffStevens1991"/>
    <w:p>
      <w:pPr>
        <w:pStyle w:val="Bibliography"/>
      </w:pPr>
      <w:r>
        <w:t xml:space="preserve">Green, K., Kuhl, P., Meltzoff, A., &amp; Stevens, E. (1991a). 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w:t>
      </w:r>
      <w:r>
        <w:t xml:space="preserve"> </w:t>
      </w:r>
      <w:r>
        <w:rPr>
          <w:i/>
          <w:iCs/>
        </w:rPr>
        <w:t xml:space="preserve">50</w:t>
      </w:r>
      <w:r>
        <w:t xml:space="preserve">(6), 524–536.</w:t>
      </w:r>
      <w:r>
        <w:t xml:space="preserve"> </w:t>
      </w:r>
      <w:hyperlink r:id="rId87">
        <w:r>
          <w:rPr>
            <w:rStyle w:val="Hyperlink"/>
          </w:rPr>
          <w:t xml:space="preserve">http://dx.doi.org/10.3758/BF03207536</w:t>
        </w:r>
      </w:hyperlink>
    </w:p>
    <w:bookmarkEnd w:id="89"/>
    <w:bookmarkStart w:id="90" w:name="ref-grondelaersVanGent2019"/>
    <w:p>
      <w:pPr>
        <w:pStyle w:val="Bibliography"/>
      </w:pPr>
      <w:r>
        <w:t xml:space="preserve">Grondelaers, S., &amp; Gent, P. van. (2019). 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w:t>
      </w:r>
      <w:r>
        <w:t xml:space="preserve"> </w:t>
      </w:r>
      <w:r>
        <w:rPr>
          <w:i/>
          <w:iCs/>
        </w:rPr>
        <w:t xml:space="preserve">5</w:t>
      </w:r>
      <w:r>
        <w:t xml:space="preserve">(s1).</w:t>
      </w:r>
    </w:p>
    <w:bookmarkEnd w:id="90"/>
    <w:bookmarkStart w:id="91" w:name="ref-hadodoVolume"/>
    <w:p>
      <w:pPr>
        <w:pStyle w:val="Bibliography"/>
      </w:pPr>
      <w:r>
        <w:t xml:space="preserve">Hadodo, M. (this volume). Situating experience in social meaning: Ethnography, experiments and exemplars in the enregisterment of istanbul greek.</w:t>
      </w:r>
      <w:r>
        <w:t xml:space="preserve"> </w:t>
      </w:r>
      <w:r>
        <w:rPr>
          <w:i/>
          <w:iCs/>
        </w:rPr>
        <w:t xml:space="preserve">Journal of Sociolinguistics</w:t>
      </w:r>
      <w:r>
        <w:t xml:space="preserve">,</w:t>
      </w:r>
      <w:r>
        <w:t xml:space="preserve"> </w:t>
      </w:r>
      <w:r>
        <w:rPr>
          <w:i/>
          <w:iCs/>
        </w:rPr>
        <w:t xml:space="preserve">42</w:t>
      </w:r>
      <w:r>
        <w:t xml:space="preserve">(1).</w:t>
      </w:r>
    </w:p>
    <w:bookmarkEnd w:id="91"/>
    <w:bookmarkStart w:id="92" w:name="ref-hall2021language"/>
    <w:p>
      <w:pPr>
        <w:pStyle w:val="Bibliography"/>
      </w:pPr>
      <w:r>
        <w:t xml:space="preserve">Hall, K., Borba, R., &amp; Hiramoto, M. (2021). Language and gender.</w:t>
      </w:r>
      <w:r>
        <w:t xml:space="preserve"> </w:t>
      </w:r>
      <w:r>
        <w:rPr>
          <w:i/>
          <w:iCs/>
        </w:rPr>
        <w:t xml:space="preserve">The International Encyclopedia of Linguistic Anthropology</w:t>
      </w:r>
      <w:r>
        <w:t xml:space="preserve">, 892–912.</w:t>
      </w:r>
    </w:p>
    <w:bookmarkEnd w:id="92"/>
    <w:bookmarkStart w:id="93" w:name="ref-HayDrager2010"/>
    <w:p>
      <w:pPr>
        <w:pStyle w:val="Bibliography"/>
      </w:pPr>
      <w:r>
        <w:t xml:space="preserve">Hay, J., &amp; Drager, K. (2010). Stuffed toys and speech perception.</w:t>
      </w:r>
      <w:r>
        <w:t xml:space="preserve"> </w:t>
      </w:r>
      <w:r>
        <w:rPr>
          <w:i/>
          <w:iCs/>
        </w:rPr>
        <w:t xml:space="preserve">Linguistics</w:t>
      </w:r>
      <w:r>
        <w:t xml:space="preserve">,</w:t>
      </w:r>
      <w:r>
        <w:t xml:space="preserve"> </w:t>
      </w:r>
      <w:r>
        <w:rPr>
          <w:i/>
          <w:iCs/>
        </w:rPr>
        <w:t xml:space="preserve">48</w:t>
      </w:r>
      <w:r>
        <w:t xml:space="preserve">(4), 865–892.</w:t>
      </w:r>
    </w:p>
    <w:bookmarkEnd w:id="93"/>
    <w:bookmarkStart w:id="94" w:name="ref-haynolandrager2006"/>
    <w:p>
      <w:pPr>
        <w:pStyle w:val="Bibliography"/>
      </w:pPr>
      <w:r>
        <w:t xml:space="preserve">Hay, J., Nolan, A., &amp; Drager, K. (2006). From fush to feesh: Exemplar priming in speech perception.</w:t>
      </w:r>
      <w:r>
        <w:t xml:space="preserve"> </w:t>
      </w:r>
      <w:r>
        <w:rPr>
          <w:i/>
          <w:iCs/>
        </w:rPr>
        <w:t xml:space="preserve">The Linguistic Review</w:t>
      </w:r>
      <w:r>
        <w:t xml:space="preserve">,</w:t>
      </w:r>
      <w:r>
        <w:t xml:space="preserve"> </w:t>
      </w:r>
      <w:r>
        <w:rPr>
          <w:i/>
          <w:iCs/>
        </w:rPr>
        <w:t xml:space="preserve">23</w:t>
      </w:r>
      <w:r>
        <w:t xml:space="preserve">(3), 351–379.</w:t>
      </w:r>
    </w:p>
    <w:bookmarkEnd w:id="94"/>
    <w:bookmarkStart w:id="95" w:name="ref-johnson2005"/>
    <w:p>
      <w:pPr>
        <w:pStyle w:val="Bibliography"/>
      </w:pPr>
      <w:r>
        <w:t xml:space="preserve">Johnson, K. (2005). Speaker normalization in speech perception. In D. B. Pisoni &amp; R. Remez (Eds.),</w:t>
      </w:r>
      <w:r>
        <w:t xml:space="preserve"> </w:t>
      </w:r>
      <w:r>
        <w:rPr>
          <w:i/>
          <w:iCs/>
        </w:rPr>
        <w:t xml:space="preserve">The handbook of speech perception</w:t>
      </w:r>
      <w:r>
        <w:t xml:space="preserve"> </w:t>
      </w:r>
      <w:r>
        <w:t xml:space="preserve">(pp. 363–389).</w:t>
      </w:r>
    </w:p>
    <w:bookmarkEnd w:id="95"/>
    <w:bookmarkStart w:id="96" w:name="ref-Johnson2006"/>
    <w:p>
      <w:pPr>
        <w:pStyle w:val="Bibliography"/>
      </w:pPr>
      <w:r>
        <w:t xml:space="preserve">Johnson, K. (2006). Resonance in an exemplar-based lexicon: The emergence of social identity and phonology.</w:t>
      </w:r>
      <w:r>
        <w:t xml:space="preserve"> </w:t>
      </w:r>
      <w:r>
        <w:rPr>
          <w:i/>
          <w:iCs/>
        </w:rPr>
        <w:t xml:space="preserve">Journal of Phonetics</w:t>
      </w:r>
      <w:r>
        <w:t xml:space="preserve">,</w:t>
      </w:r>
      <w:r>
        <w:t xml:space="preserve"> </w:t>
      </w:r>
      <w:r>
        <w:rPr>
          <w:i/>
          <w:iCs/>
        </w:rPr>
        <w:t xml:space="preserve">34</w:t>
      </w:r>
      <w:r>
        <w:t xml:space="preserve">, 485–499.</w:t>
      </w:r>
    </w:p>
    <w:bookmarkEnd w:id="96"/>
    <w:bookmarkStart w:id="97" w:name="ref-johnsonstranddimperio1999"/>
    <w:p>
      <w:pPr>
        <w:pStyle w:val="Bibliography"/>
      </w:pPr>
      <w:r>
        <w:t xml:space="preserve">Johnson, K., Strand, E. A., &amp; D’Imperio, M. (1999). Auditory–visual integration of talker gender in vowel perception.</w:t>
      </w:r>
      <w:r>
        <w:t xml:space="preserve"> </w:t>
      </w:r>
      <w:r>
        <w:rPr>
          <w:i/>
          <w:iCs/>
        </w:rPr>
        <w:t xml:space="preserve">Journal of Phonetics</w:t>
      </w:r>
      <w:r>
        <w:t xml:space="preserve">,</w:t>
      </w:r>
      <w:r>
        <w:t xml:space="preserve"> </w:t>
      </w:r>
      <w:r>
        <w:rPr>
          <w:i/>
          <w:iCs/>
        </w:rPr>
        <w:t xml:space="preserve">27</w:t>
      </w:r>
      <w:r>
        <w:t xml:space="preserve">(4), 359–384.</w:t>
      </w:r>
    </w:p>
    <w:bookmarkEnd w:id="97"/>
    <w:bookmarkStart w:id="98" w:name="ref-kang2013"/>
    <w:p>
      <w:pPr>
        <w:pStyle w:val="Bibliography"/>
      </w:pPr>
      <w:r>
        <w:t xml:space="preserve">Käng, D. B. (2013). Conceptualizing thai genderscapes: Transformation and continuity in the thai sex/gender system. In</w:t>
      </w:r>
      <w:r>
        <w:t xml:space="preserve"> </w:t>
      </w:r>
      <w:r>
        <w:rPr>
          <w:i/>
          <w:iCs/>
        </w:rPr>
        <w:t xml:space="preserve">Contemporary socio-cultural and political perspectives in thailand</w:t>
      </w:r>
      <w:r>
        <w:t xml:space="preserve"> </w:t>
      </w:r>
      <w:r>
        <w:t xml:space="preserve">(pp. 409–429). Springer.</w:t>
      </w:r>
    </w:p>
    <w:bookmarkEnd w:id="98"/>
    <w:bookmarkStart w:id="99" w:name="ref-king2021"/>
    <w:p>
      <w:pPr>
        <w:pStyle w:val="Bibliography"/>
      </w:pPr>
      <w:r>
        <w:t xml:space="preserve">King, E. T. (2021).</w:t>
      </w:r>
      <w:r>
        <w:t xml:space="preserve"> </w:t>
      </w:r>
      <w:r>
        <w:rPr>
          <w:i/>
          <w:iCs/>
        </w:rPr>
        <w:t xml:space="preserve">Speaker and group specificity in spoken word recognition</w:t>
      </w:r>
      <w:r>
        <w:t xml:space="preserve"> </w:t>
      </w:r>
      <w:r>
        <w:t xml:space="preserve">[PhD thesis]. Stanford University.</w:t>
      </w:r>
    </w:p>
    <w:bookmarkEnd w:id="99"/>
    <w:bookmarkStart w:id="100" w:name="ref-kunisakifujisaki1977"/>
    <w:p>
      <w:pPr>
        <w:pStyle w:val="Bibliography"/>
      </w:pPr>
      <w:r>
        <w:t xml:space="preserve">Kunisaki, O., &amp; Fujisaki, H. (1977). On the influence of context upon perception of voiceless fricative consonants.</w:t>
      </w:r>
      <w:r>
        <w:t xml:space="preserve"> </w:t>
      </w:r>
      <w:r>
        <w:rPr>
          <w:i/>
          <w:iCs/>
        </w:rPr>
        <w:t xml:space="preserve">Annual Bulletin</w:t>
      </w:r>
      <w:r>
        <w:t xml:space="preserve">,</w:t>
      </w:r>
      <w:r>
        <w:t xml:space="preserve"> </w:t>
      </w:r>
      <w:r>
        <w:rPr>
          <w:i/>
          <w:iCs/>
        </w:rPr>
        <w:t xml:space="preserve">11</w:t>
      </w:r>
      <w:r>
        <w:t xml:space="preserve">, 85–91.</w:t>
      </w:r>
    </w:p>
    <w:bookmarkEnd w:id="100"/>
    <w:bookmarkStart w:id="101" w:name="ref-labovEtAl2011"/>
    <w:p>
      <w:pPr>
        <w:pStyle w:val="Bibliography"/>
      </w:pPr>
      <w:r>
        <w:t xml:space="preserve">Labov, W., Ash, S., Ravindranath, M., Weldon, T., Baranowski, M., &amp; Nagy, N. (2011). Properties of the sociolinguistic monitor.</w:t>
      </w:r>
      <w:r>
        <w:t xml:space="preserve"> </w:t>
      </w:r>
      <w:r>
        <w:rPr>
          <w:i/>
          <w:iCs/>
        </w:rPr>
        <w:t xml:space="preserve">Journal of Sociolinguistics</w:t>
      </w:r>
      <w:r>
        <w:t xml:space="preserve">,</w:t>
      </w:r>
      <w:r>
        <w:t xml:space="preserve"> </w:t>
      </w:r>
      <w:r>
        <w:rPr>
          <w:i/>
          <w:iCs/>
        </w:rPr>
        <w:t xml:space="preserve">15</w:t>
      </w:r>
      <w:r>
        <w:t xml:space="preserve">(4), 431–463.</w:t>
      </w:r>
    </w:p>
    <w:bookmarkEnd w:id="101"/>
    <w:bookmarkStart w:id="102" w:name="ref-lambertEtAl1960"/>
    <w:p>
      <w:pPr>
        <w:pStyle w:val="Bibliography"/>
      </w:pPr>
      <w:r>
        <w:t xml:space="preserve">Lambert, W. E., Hodgson, R. C., Gardner, R. C., &amp; Fillenbaum, S. (1960). Evaluational reactions to spoken languages.</w:t>
      </w:r>
      <w:r>
        <w:t xml:space="preserve"> </w:t>
      </w:r>
      <w:r>
        <w:rPr>
          <w:i/>
          <w:iCs/>
        </w:rPr>
        <w:t xml:space="preserve">The Journal of Abnormal and Social Psychology</w:t>
      </w:r>
      <w:r>
        <w:t xml:space="preserve">,</w:t>
      </w:r>
      <w:r>
        <w:t xml:space="preserve"> </w:t>
      </w:r>
      <w:r>
        <w:rPr>
          <w:i/>
          <w:iCs/>
        </w:rPr>
        <w:t xml:space="preserve">60</w:t>
      </w:r>
      <w:r>
        <w:t xml:space="preserve">(1), 44.</w:t>
      </w:r>
    </w:p>
    <w:bookmarkEnd w:id="102"/>
    <w:bookmarkStart w:id="104" w:name="ref-JATOS"/>
    <w:p>
      <w:pPr>
        <w:pStyle w:val="Bibliography"/>
      </w:pPr>
      <w:r>
        <w:t xml:space="preserve">Lange, K., Kuhn, S., &amp; Filevich, E. (2015). "Just another tool for online studies” (JATOS): An easy solution for setup and management of web servers supporting online studies.</w:t>
      </w:r>
      <w:r>
        <w:t xml:space="preserve"> </w:t>
      </w:r>
      <w:r>
        <w:rPr>
          <w:i/>
          <w:iCs/>
        </w:rPr>
        <w:t xml:space="preserve">PLOS ONE</w:t>
      </w:r>
      <w:r>
        <w:t xml:space="preserve">,</w:t>
      </w:r>
      <w:r>
        <w:t xml:space="preserve"> </w:t>
      </w:r>
      <w:r>
        <w:rPr>
          <w:i/>
          <w:iCs/>
        </w:rPr>
        <w:t xml:space="preserve">10</w:t>
      </w:r>
      <w:r>
        <w:t xml:space="preserve">(6), 1–14.</w:t>
      </w:r>
      <w:r>
        <w:t xml:space="preserve"> </w:t>
      </w:r>
      <w:hyperlink r:id="rId103">
        <w:r>
          <w:rPr>
            <w:rStyle w:val="Hyperlink"/>
          </w:rPr>
          <w:t xml:space="preserve">https://doi.org/10.1371/journal.pone.0130834</w:t>
        </w:r>
      </w:hyperlink>
    </w:p>
    <w:bookmarkEnd w:id="104"/>
    <w:bookmarkStart w:id="105" w:name="ref-lisker1986"/>
    <w:p>
      <w:pPr>
        <w:pStyle w:val="Bibliography"/>
      </w:pPr>
      <w:r>
        <w:t xml:space="preserve">Lisker, L. (1986).</w:t>
      </w:r>
      <w:r>
        <w:t xml:space="preserve"> </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w:t>
      </w:r>
      <w:r>
        <w:t xml:space="preserve"> </w:t>
      </w:r>
      <w:r>
        <w:rPr>
          <w:i/>
          <w:iCs/>
        </w:rPr>
        <w:t xml:space="preserve">29</w:t>
      </w:r>
      <w:r>
        <w:t xml:space="preserve">(1), 3–11.</w:t>
      </w:r>
    </w:p>
    <w:bookmarkEnd w:id="105"/>
    <w:bookmarkStart w:id="107" w:name="ref-imagemagick"/>
    <w:p>
      <w:pPr>
        <w:pStyle w:val="Bibliography"/>
      </w:pPr>
      <w:r>
        <w:t xml:space="preserve">LLC, I. S. (2023).</w:t>
      </w:r>
      <w:r>
        <w:t xml:space="preserve"> </w:t>
      </w:r>
      <w:r>
        <w:rPr>
          <w:i/>
          <w:iCs/>
        </w:rPr>
        <w:t xml:space="preserve">ImageMagick</w:t>
      </w:r>
      <w:r>
        <w:t xml:space="preserve"> </w:t>
      </w:r>
      <w:r>
        <w:t xml:space="preserve">(Version 7.0.10).</w:t>
      </w:r>
      <w:r>
        <w:t xml:space="preserve"> </w:t>
      </w:r>
      <w:hyperlink r:id="rId106">
        <w:r>
          <w:rPr>
            <w:rStyle w:val="Hyperlink"/>
          </w:rPr>
          <w:t xml:space="preserve">https://imagemagick.org</w:t>
        </w:r>
      </w:hyperlink>
    </w:p>
    <w:bookmarkEnd w:id="107"/>
    <w:bookmarkStart w:id="109" w:name="ref-ChicagoFaceDatabase"/>
    <w:p>
      <w:pPr>
        <w:pStyle w:val="Bibliography"/>
      </w:pPr>
      <w:r>
        <w:t xml:space="preserve">Ma, D. S., Correll, J., &amp; Wittenbrink, B. (2015). The chicago face database: A free stimulus set of faces and norming data.</w:t>
      </w:r>
      <w:r>
        <w:t xml:space="preserve"> </w:t>
      </w:r>
      <w:r>
        <w:rPr>
          <w:i/>
          <w:iCs/>
        </w:rPr>
        <w:t xml:space="preserve">Behavior Research Methods</w:t>
      </w:r>
      <w:r>
        <w:t xml:space="preserve">,</w:t>
      </w:r>
      <w:r>
        <w:t xml:space="preserve"> </w:t>
      </w:r>
      <w:r>
        <w:rPr>
          <w:i/>
          <w:iCs/>
        </w:rPr>
        <w:t xml:space="preserve">47</w:t>
      </w:r>
      <w:r>
        <w:t xml:space="preserve">(4), 1122–1135.</w:t>
      </w:r>
      <w:r>
        <w:t xml:space="preserve"> </w:t>
      </w:r>
      <w:hyperlink r:id="rId108">
        <w:r>
          <w:rPr>
            <w:rStyle w:val="Hyperlink"/>
          </w:rPr>
          <w:t xml:space="preserve">https://doi.org/10.3758/s13428-014-0532-5</w:t>
        </w:r>
      </w:hyperlink>
    </w:p>
    <w:bookmarkEnd w:id="109"/>
    <w:bookmarkStart w:id="110" w:name="ref-mackMunson2012b"/>
    <w:p>
      <w:pPr>
        <w:pStyle w:val="Bibliography"/>
      </w:pPr>
      <w:r>
        <w:t xml:space="preserve">Mack, S., &amp; Munson, B. (2012). The association between/s/quality and perceived sexual orientation of men’s voices: Implicit and explicit measures.</w:t>
      </w:r>
      <w:r>
        <w:t xml:space="preserve"> </w:t>
      </w:r>
      <w:r>
        <w:rPr>
          <w:i/>
          <w:iCs/>
        </w:rPr>
        <w:t xml:space="preserve">Journal of Phonetics</w:t>
      </w:r>
      <w:r>
        <w:t xml:space="preserve">,</w:t>
      </w:r>
      <w:r>
        <w:t xml:space="preserve"> </w:t>
      </w:r>
      <w:r>
        <w:rPr>
          <w:i/>
          <w:iCs/>
        </w:rPr>
        <w:t xml:space="preserve">40</w:t>
      </w:r>
      <w:r>
        <w:t xml:space="preserve">(1), 198–212.</w:t>
      </w:r>
    </w:p>
    <w:bookmarkEnd w:id="110"/>
    <w:bookmarkStart w:id="111" w:name="ref-MannRepp1980"/>
    <w:p>
      <w:pPr>
        <w:pStyle w:val="Bibliography"/>
      </w:pPr>
      <w:r>
        <w:t xml:space="preserve">Mann, V. A., &amp; Repp, B. H. (1980). Influence of vocalic context on perception of the [ʃ]-[s] distinction.</w:t>
      </w:r>
      <w:r>
        <w:t xml:space="preserve"> </w:t>
      </w:r>
      <w:r>
        <w:rPr>
          <w:i/>
          <w:iCs/>
        </w:rPr>
        <w:t xml:space="preserve">Perception &amp; Psychophysics</w:t>
      </w:r>
      <w:r>
        <w:t xml:space="preserve">,</w:t>
      </w:r>
      <w:r>
        <w:t xml:space="preserve"> </w:t>
      </w:r>
      <w:r>
        <w:rPr>
          <w:i/>
          <w:iCs/>
        </w:rPr>
        <w:t xml:space="preserve">28</w:t>
      </w:r>
      <w:r>
        <w:t xml:space="preserve">(3), 213–228.</w:t>
      </w:r>
    </w:p>
    <w:bookmarkEnd w:id="111"/>
    <w:bookmarkStart w:id="112" w:name="ref-opensesame"/>
    <w:p>
      <w:pPr>
        <w:pStyle w:val="Bibliography"/>
      </w:pPr>
      <w:r>
        <w:t xml:space="preserve">Mathôt, S., Schreij, D., &amp; Theeuwes, J. (2012). Opensesame: An 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p>
    <w:bookmarkEnd w:id="112"/>
    <w:bookmarkStart w:id="113" w:name="ref-May1976"/>
    <w:p>
      <w:pPr>
        <w:pStyle w:val="Bibliography"/>
      </w:pPr>
      <w:r>
        <w:t xml:space="preserve">May, J. (1976b).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113"/>
    <w:bookmarkStart w:id="114" w:name="ref-may1976"/>
    <w:p>
      <w:pPr>
        <w:pStyle w:val="Bibliography"/>
      </w:pPr>
      <w:r>
        <w:t xml:space="preserve">May, J. (1976a).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114"/>
    <w:bookmarkStart w:id="115" w:name="ref-McGowan2011"/>
    <w:p>
      <w:pPr>
        <w:pStyle w:val="Bibliography"/>
      </w:pPr>
      <w:r>
        <w:t xml:space="preserve">McGowan, K. B. (2011).</w:t>
      </w:r>
      <w:r>
        <w:t xml:space="preserve"> </w:t>
      </w:r>
      <w:r>
        <w:rPr>
          <w:i/>
          <w:iCs/>
        </w:rPr>
        <w:t xml:space="preserve">The role of socioindexical expectation in speech perception</w:t>
      </w:r>
      <w:r>
        <w:t xml:space="preserve"> </w:t>
      </w:r>
      <w:r>
        <w:t xml:space="preserve">[PhD thesis]. University of Michigan.</w:t>
      </w:r>
    </w:p>
    <w:bookmarkEnd w:id="115"/>
    <w:bookmarkStart w:id="116" w:name="ref-McGowan2015"/>
    <w:p>
      <w:pPr>
        <w:pStyle w:val="Bibliography"/>
      </w:pPr>
      <w:r>
        <w:t xml:space="preserve">McGowan, K. B. (2015). Social expectation improves speech perception in noise.</w:t>
      </w:r>
      <w:r>
        <w:t xml:space="preserve"> </w:t>
      </w:r>
      <w:r>
        <w:rPr>
          <w:i/>
          <w:iCs/>
        </w:rPr>
        <w:t xml:space="preserve">Language and Speech</w:t>
      </w:r>
      <w:r>
        <w:t xml:space="preserve">,</w:t>
      </w:r>
      <w:r>
        <w:t xml:space="preserve"> </w:t>
      </w:r>
      <w:r>
        <w:rPr>
          <w:i/>
          <w:iCs/>
        </w:rPr>
        <w:t xml:space="preserve">58</w:t>
      </w:r>
      <w:r>
        <w:t xml:space="preserve">(4), 502–521.</w:t>
      </w:r>
    </w:p>
    <w:bookmarkEnd w:id="116"/>
    <w:bookmarkStart w:id="117" w:name="ref-mcgowanBabel2020"/>
    <w:p>
      <w:pPr>
        <w:pStyle w:val="Bibliography"/>
      </w:pPr>
      <w:r>
        <w:t xml:space="preserve">McGowan, K. B., &amp; Babel, A. M. (2020). Perceiving isn’t believing: Divergence in levels of sociolinguistic awareness.</w:t>
      </w:r>
      <w:r>
        <w:t xml:space="preserve"> </w:t>
      </w:r>
      <w:r>
        <w:rPr>
          <w:i/>
          <w:iCs/>
        </w:rPr>
        <w:t xml:space="preserve">Language in Society</w:t>
      </w:r>
      <w:r>
        <w:t xml:space="preserve">,</w:t>
      </w:r>
      <w:r>
        <w:t xml:space="preserve"> </w:t>
      </w:r>
      <w:r>
        <w:rPr>
          <w:i/>
          <w:iCs/>
        </w:rPr>
        <w:t xml:space="preserve">49</w:t>
      </w:r>
      <w:r>
        <w:t xml:space="preserve">(2), 231–256.</w:t>
      </w:r>
    </w:p>
    <w:bookmarkEnd w:id="117"/>
    <w:bookmarkStart w:id="118" w:name="ref-McGurkMacDonald1976"/>
    <w:p>
      <w:pPr>
        <w:pStyle w:val="Bibliography"/>
      </w:pPr>
      <w:r>
        <w:t xml:space="preserve">McGurk, H., &amp; MacDonald, J. (1976). Hearing lips and seeing voices.</w:t>
      </w:r>
      <w:r>
        <w:t xml:space="preserve"> </w:t>
      </w:r>
      <w:r>
        <w:rPr>
          <w:i/>
          <w:iCs/>
        </w:rPr>
        <w:t xml:space="preserve">Nature</w:t>
      </w:r>
      <w:r>
        <w:t xml:space="preserve">,</w:t>
      </w:r>
      <w:r>
        <w:t xml:space="preserve"> </w:t>
      </w:r>
      <w:r>
        <w:rPr>
          <w:i/>
          <w:iCs/>
        </w:rPr>
        <w:t xml:space="preserve">264</w:t>
      </w:r>
      <w:r>
        <w:t xml:space="preserve">, 746–748.</w:t>
      </w:r>
    </w:p>
    <w:bookmarkEnd w:id="118"/>
    <w:bookmarkStart w:id="119" w:name="ref-munson2011"/>
    <w:p>
      <w:pPr>
        <w:pStyle w:val="Bibliography"/>
      </w:pPr>
      <w:r>
        <w:t xml:space="preserve">Munson, B. (2011). The influence of actual and imputed talker gender on fricative perception, revisited (l).</w:t>
      </w:r>
      <w:r>
        <w:t xml:space="preserve"> </w:t>
      </w:r>
      <w:r>
        <w:rPr>
          <w:i/>
          <w:iCs/>
        </w:rPr>
        <w:t xml:space="preserve">The Journal of the Acoustical Society of America</w:t>
      </w:r>
      <w:r>
        <w:t xml:space="preserve">,</w:t>
      </w:r>
      <w:r>
        <w:t xml:space="preserve"> </w:t>
      </w:r>
      <w:r>
        <w:rPr>
          <w:i/>
          <w:iCs/>
        </w:rPr>
        <w:t xml:space="preserve">130</w:t>
      </w:r>
      <w:r>
        <w:t xml:space="preserve">(5), 2631–2634.</w:t>
      </w:r>
    </w:p>
    <w:bookmarkEnd w:id="119"/>
    <w:bookmarkStart w:id="120" w:name="ref-Niedzielski1999"/>
    <w:p>
      <w:pPr>
        <w:pStyle w:val="Bibliography"/>
      </w:pPr>
      <w:r>
        <w:t xml:space="preserve">Niedzielski, N. (1999). The effect of social information on the perception of sociolinguistic variables.</w:t>
      </w:r>
      <w:r>
        <w:t xml:space="preserve"> </w:t>
      </w:r>
      <w:r>
        <w:rPr>
          <w:i/>
          <w:iCs/>
        </w:rPr>
        <w:t xml:space="preserve">Journal of Language and Social Psychology</w:t>
      </w:r>
      <w:r>
        <w:t xml:space="preserve">,</w:t>
      </w:r>
      <w:r>
        <w:t xml:space="preserve"> </w:t>
      </w:r>
      <w:r>
        <w:rPr>
          <w:i/>
          <w:iCs/>
        </w:rPr>
        <w:t xml:space="preserve">18</w:t>
      </w:r>
      <w:r>
        <w:t xml:space="preserve">(1), 62–85.</w:t>
      </w:r>
    </w:p>
    <w:bookmarkEnd w:id="120"/>
    <w:bookmarkStart w:id="121" w:name="ref-nygaard1994"/>
    <w:p>
      <w:pPr>
        <w:pStyle w:val="Bibliography"/>
      </w:pPr>
      <w:r>
        <w:t xml:space="preserve">Nygaard, L. C., Sommers, M. S., &amp; Pisoni, D. B. (1994). Speech perception as a talker-contingent process.</w:t>
      </w:r>
      <w:r>
        <w:t xml:space="preserve"> </w:t>
      </w:r>
      <w:r>
        <w:rPr>
          <w:i/>
          <w:iCs/>
        </w:rPr>
        <w:t xml:space="preserve">Psychological Science</w:t>
      </w:r>
      <w:r>
        <w:t xml:space="preserve">,</w:t>
      </w:r>
      <w:r>
        <w:t xml:space="preserve"> </w:t>
      </w:r>
      <w:r>
        <w:rPr>
          <w:i/>
          <w:iCs/>
        </w:rPr>
        <w:t xml:space="preserve">5</w:t>
      </w:r>
      <w:r>
        <w:t xml:space="preserve">(1), 42–46.</w:t>
      </w:r>
    </w:p>
    <w:bookmarkEnd w:id="121"/>
    <w:bookmarkStart w:id="122" w:name="ref-ohala1984"/>
    <w:p>
      <w:pPr>
        <w:pStyle w:val="Bibliography"/>
      </w:pPr>
      <w:r>
        <w:t xml:space="preserve">Ohala, J. J. (1984). An ethological perspective on common cross-language utilization of F₀ of voice.</w:t>
      </w:r>
      <w:r>
        <w:t xml:space="preserve"> </w:t>
      </w:r>
      <w:r>
        <w:rPr>
          <w:i/>
          <w:iCs/>
        </w:rPr>
        <w:t xml:space="preserve">Phonetica</w:t>
      </w:r>
      <w:r>
        <w:t xml:space="preserve">,</w:t>
      </w:r>
      <w:r>
        <w:t xml:space="preserve"> </w:t>
      </w:r>
      <w:r>
        <w:rPr>
          <w:i/>
          <w:iCs/>
        </w:rPr>
        <w:t xml:space="preserve">41</w:t>
      </w:r>
      <w:r>
        <w:t xml:space="preserve">(1), 1–16.</w:t>
      </w:r>
    </w:p>
    <w:bookmarkEnd w:id="122"/>
    <w:bookmarkStart w:id="123" w:name="ref-ohala1994"/>
    <w:p>
      <w:pPr>
        <w:pStyle w:val="Bibliography"/>
      </w:pPr>
      <w:r>
        <w:t xml:space="preserve">Ohala, J. J. (1994). The frequency code underlies the sound-symbolic use of voice pitch.</w:t>
      </w:r>
      <w:r>
        <w:t xml:space="preserve"> </w:t>
      </w:r>
      <w:r>
        <w:rPr>
          <w:i/>
          <w:iCs/>
        </w:rPr>
        <w:t xml:space="preserve">Sound Symbolism</w:t>
      </w:r>
      <w:r>
        <w:t xml:space="preserve">, 325–347.</w:t>
      </w:r>
    </w:p>
    <w:bookmarkEnd w:id="123"/>
    <w:bookmarkStart w:id="124" w:name="ref-perryOhdeAshmead2001"/>
    <w:p>
      <w:pPr>
        <w:pStyle w:val="Bibliography"/>
      </w:pPr>
      <w:r>
        <w:t xml:space="preserve">Perry, T. L., Ohde, R. N., &amp; Ashmead, D. H. (2001). The acoustic bases for gender identification from children’s voices.</w:t>
      </w:r>
      <w:r>
        <w:t xml:space="preserve"> </w:t>
      </w:r>
      <w:r>
        <w:rPr>
          <w:i/>
          <w:iCs/>
        </w:rPr>
        <w:t xml:space="preserve">The Journal of the Acoustical Society of America</w:t>
      </w:r>
      <w:r>
        <w:t xml:space="preserve">,</w:t>
      </w:r>
      <w:r>
        <w:t xml:space="preserve"> </w:t>
      </w:r>
      <w:r>
        <w:rPr>
          <w:i/>
          <w:iCs/>
        </w:rPr>
        <w:t xml:space="preserve">109</w:t>
      </w:r>
      <w:r>
        <w:t xml:space="preserve">(6), 2988–2998.</w:t>
      </w:r>
    </w:p>
    <w:bookmarkEnd w:id="124"/>
    <w:bookmarkStart w:id="125" w:name="ref-pharaoKristiansen2019"/>
    <w:p>
      <w:pPr>
        <w:pStyle w:val="Bibliography"/>
      </w:pPr>
      <w:r>
        <w:t xml:space="preserve">Pharao, N., &amp; Kristiansen, T. (2019). Reflections on the relation between direct/indirect methods and explicit/implicit attitudes.</w:t>
      </w:r>
      <w:r>
        <w:t xml:space="preserve"> </w:t>
      </w:r>
      <w:r>
        <w:rPr>
          <w:i/>
          <w:iCs/>
        </w:rPr>
        <w:t xml:space="preserve">Linguistics Vanguard</w:t>
      </w:r>
      <w:r>
        <w:t xml:space="preserve">,</w:t>
      </w:r>
      <w:r>
        <w:t xml:space="preserve"> </w:t>
      </w:r>
      <w:r>
        <w:rPr>
          <w:i/>
          <w:iCs/>
        </w:rPr>
        <w:t xml:space="preserve">5</w:t>
      </w:r>
      <w:r>
        <w:t xml:space="preserve">(s1).</w:t>
      </w:r>
    </w:p>
    <w:bookmarkEnd w:id="125"/>
    <w:bookmarkStart w:id="126" w:name="ref-podesvakajino2014"/>
    <w:p>
      <w:pPr>
        <w:pStyle w:val="Bibliography"/>
      </w:pPr>
      <w:r>
        <w:t xml:space="preserve">Podesva, R. J., &amp; Kajino, S. (2014b). Sociophonetics, gender, and sexuality.</w:t>
      </w:r>
      <w:r>
        <w:t xml:space="preserve"> </w:t>
      </w:r>
      <w:r>
        <w:rPr>
          <w:i/>
          <w:iCs/>
        </w:rPr>
        <w:t xml:space="preserve">The Handbook of Language, Gender, and Sexuality</w:t>
      </w:r>
      <w:r>
        <w:t xml:space="preserve">, 103–122.</w:t>
      </w:r>
    </w:p>
    <w:bookmarkEnd w:id="126"/>
    <w:bookmarkStart w:id="128" w:name="ref-podesvaKajino2014"/>
    <w:p>
      <w:pPr>
        <w:pStyle w:val="Bibliography"/>
      </w:pPr>
      <w:r>
        <w:t xml:space="preserve">Podesva, R. J., &amp; Kajino, S. (2014a). Sociophonetics,</w:t>
      </w:r>
      <w:r>
        <w:t xml:space="preserve"> </w:t>
      </w:r>
      <w:r>
        <w:t xml:space="preserve">Gender</w:t>
      </w:r>
      <w:r>
        <w:t xml:space="preserve">, and</w:t>
      </w:r>
      <w:r>
        <w:t xml:space="preserve"> </w:t>
      </w:r>
      <w:r>
        <w:t xml:space="preserve">Sexuality</w:t>
      </w:r>
      <w:r>
        <w:t xml:space="preserve">. In S. Ehrlich, M. Meyerhoff, &amp; J. Holmes (Eds.),</w:t>
      </w:r>
      <w:r>
        <w:t xml:space="preserve"> </w:t>
      </w:r>
      <w:r>
        <w:rPr>
          <w:i/>
          <w:iCs/>
        </w:rPr>
        <w:t xml:space="preserve">The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w:t>
      </w:r>
      <w:r>
        <w:t xml:space="preserve">(pp. 103–122). John Wiley &amp; Sons, Inc.</w:t>
      </w:r>
      <w:r>
        <w:t xml:space="preserve"> </w:t>
      </w:r>
      <w:hyperlink r:id="rId127">
        <w:r>
          <w:rPr>
            <w:rStyle w:val="Hyperlink"/>
          </w:rPr>
          <w:t xml:space="preserve">https://doi.org/10.1002/9781118584248.ch5</w:t>
        </w:r>
      </w:hyperlink>
    </w:p>
    <w:bookmarkEnd w:id="128"/>
    <w:bookmarkStart w:id="129" w:name="ref-repp1982"/>
    <w:p>
      <w:pPr>
        <w:pStyle w:val="Bibliography"/>
      </w:pPr>
      <w:r>
        <w:t xml:space="preserve">Repp, B. H. (1982). Phonetic trading relations and context effects: New experimental evidence for a speech mode of perception.</w:t>
      </w:r>
      <w:r>
        <w:t xml:space="preserve"> </w:t>
      </w:r>
      <w:r>
        <w:rPr>
          <w:i/>
          <w:iCs/>
        </w:rPr>
        <w:t xml:space="preserve">Psychological Bulletin</w:t>
      </w:r>
      <w:r>
        <w:t xml:space="preserve">,</w:t>
      </w:r>
      <w:r>
        <w:t xml:space="preserve"> </w:t>
      </w:r>
      <w:r>
        <w:rPr>
          <w:i/>
          <w:iCs/>
        </w:rPr>
        <w:t xml:space="preserve">92</w:t>
      </w:r>
      <w:r>
        <w:t xml:space="preserve">(1), 81.</w:t>
      </w:r>
    </w:p>
    <w:bookmarkEnd w:id="129"/>
    <w:bookmarkStart w:id="130" w:name="ref-rosseelGrondelaers2019"/>
    <w:p>
      <w:pPr>
        <w:pStyle w:val="Bibliography"/>
      </w:pPr>
      <w:r>
        <w:t xml:space="preserve">Rosseel, L., &amp; Grondelaers, S. (2019). Implicitness and experimental methods in language variation research.</w:t>
      </w:r>
      <w:r>
        <w:t xml:space="preserve"> </w:t>
      </w:r>
      <w:r>
        <w:rPr>
          <w:i/>
          <w:iCs/>
        </w:rPr>
        <w:t xml:space="preserve">Linguistics Vanguard</w:t>
      </w:r>
      <w:r>
        <w:t xml:space="preserve">,</w:t>
      </w:r>
      <w:r>
        <w:t xml:space="preserve"> </w:t>
      </w:r>
      <w:r>
        <w:rPr>
          <w:i/>
          <w:iCs/>
        </w:rPr>
        <w:t xml:space="preserve">5</w:t>
      </w:r>
      <w:r>
        <w:t xml:space="preserve">(s1).</w:t>
      </w:r>
    </w:p>
    <w:bookmarkEnd w:id="130"/>
    <w:bookmarkStart w:id="131" w:name="ref-rubin1992"/>
    <w:p>
      <w:pPr>
        <w:pStyle w:val="Bibliography"/>
      </w:pPr>
      <w:r>
        <w:t xml:space="preserve">Rubin, D. L. (1992). Nonlanguage factors affecting undergraduates’ judgments of nonnative english-speaking teaching assistants.</w:t>
      </w:r>
      <w:r>
        <w:t xml:space="preserve"> </w:t>
      </w:r>
      <w:r>
        <w:rPr>
          <w:i/>
          <w:iCs/>
        </w:rPr>
        <w:t xml:space="preserve">Research in Higher Education</w:t>
      </w:r>
      <w:r>
        <w:t xml:space="preserve">,</w:t>
      </w:r>
      <w:r>
        <w:t xml:space="preserve"> </w:t>
      </w:r>
      <w:r>
        <w:rPr>
          <w:i/>
          <w:iCs/>
        </w:rPr>
        <w:t xml:space="preserve">33</w:t>
      </w:r>
      <w:r>
        <w:t xml:space="preserve">(4), 511–531.</w:t>
      </w:r>
    </w:p>
    <w:bookmarkEnd w:id="131"/>
    <w:bookmarkStart w:id="132" w:name="ref-samolinski2007"/>
    <w:p>
      <w:pPr>
        <w:pStyle w:val="Bibliography"/>
      </w:pPr>
      <w:r>
        <w:t xml:space="preserve">Samoliński, B. K., Grzanka, A., &amp; Gotlib, T. (2007). Changes in nasal cavity dimensions in children and adults by gender and age.</w:t>
      </w:r>
      <w:r>
        <w:t xml:space="preserve"> </w:t>
      </w:r>
      <w:r>
        <w:rPr>
          <w:i/>
          <w:iCs/>
        </w:rPr>
        <w:t xml:space="preserve">The Laryngoscope</w:t>
      </w:r>
      <w:r>
        <w:t xml:space="preserve">,</w:t>
      </w:r>
      <w:r>
        <w:t xml:space="preserve"> </w:t>
      </w:r>
      <w:r>
        <w:rPr>
          <w:i/>
          <w:iCs/>
        </w:rPr>
        <w:t xml:space="preserve">117</w:t>
      </w:r>
      <w:r>
        <w:t xml:space="preserve">(8), 1429–1433.</w:t>
      </w:r>
    </w:p>
    <w:bookmarkEnd w:id="132"/>
    <w:bookmarkStart w:id="133" w:name="ref-schellingerMunsonEdwards2017"/>
    <w:p>
      <w:pPr>
        <w:pStyle w:val="Bibliography"/>
      </w:pPr>
      <w:r>
        <w:t xml:space="preserve">Schellinger, S. K., Munson, B., &amp; Edwards, J. (2017). 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w:t>
      </w:r>
      <w:r>
        <w:t xml:space="preserve"> </w:t>
      </w:r>
      <w:r>
        <w:rPr>
          <w:i/>
          <w:iCs/>
        </w:rPr>
        <w:t xml:space="preserve">31</w:t>
      </w:r>
      <w:r>
        <w:t xml:space="preserve">(1), 80–103.</w:t>
      </w:r>
    </w:p>
    <w:bookmarkEnd w:id="133"/>
    <w:bookmarkStart w:id="134" w:name="ref-shadle1991"/>
    <w:p>
      <w:pPr>
        <w:pStyle w:val="Bibliography"/>
      </w:pPr>
      <w:r>
        <w:t xml:space="preserve">Shadle, C. H. (1991). The effect of geometry on source mechanisms of fricative consonants.</w:t>
      </w:r>
      <w:r>
        <w:t xml:space="preserve"> </w:t>
      </w:r>
      <w:r>
        <w:rPr>
          <w:i/>
          <w:iCs/>
        </w:rPr>
        <w:t xml:space="preserve">Journal of Phonetics</w:t>
      </w:r>
      <w:r>
        <w:t xml:space="preserve">,</w:t>
      </w:r>
      <w:r>
        <w:t xml:space="preserve"> </w:t>
      </w:r>
      <w:r>
        <w:rPr>
          <w:i/>
          <w:iCs/>
        </w:rPr>
        <w:t xml:space="preserve">19</w:t>
      </w:r>
      <w:r>
        <w:t xml:space="preserve">(3-4), 409–424.</w:t>
      </w:r>
    </w:p>
    <w:bookmarkEnd w:id="134"/>
    <w:bookmarkStart w:id="135" w:name="ref-steckerDOnofrioVolume"/>
    <w:p>
      <w:pPr>
        <w:pStyle w:val="Bibliography"/>
      </w:pPr>
      <w:r>
        <w:t xml:space="preserve">Stecker, A., &amp; D’Onofrio, A. (this volume). Recognizing uptalk: Memory and metalinguistic commentary for a sociolinguistic feature.</w:t>
      </w:r>
      <w:r>
        <w:t xml:space="preserve"> </w:t>
      </w:r>
      <w:r>
        <w:rPr>
          <w:i/>
          <w:iCs/>
        </w:rPr>
        <w:t xml:space="preserve">Journal of Sociolinguistics</w:t>
      </w:r>
      <w:r>
        <w:t xml:space="preserve">,</w:t>
      </w:r>
      <w:r>
        <w:t xml:space="preserve"> </w:t>
      </w:r>
      <w:r>
        <w:rPr>
          <w:i/>
          <w:iCs/>
        </w:rPr>
        <w:t xml:space="preserve">42</w:t>
      </w:r>
      <w:r>
        <w:t xml:space="preserve">(1).</w:t>
      </w:r>
    </w:p>
    <w:bookmarkEnd w:id="135"/>
    <w:bookmarkStart w:id="136" w:name="ref-strand1999"/>
    <w:p>
      <w:pPr>
        <w:pStyle w:val="Bibliography"/>
      </w:pPr>
      <w:r>
        <w:t xml:space="preserve">Strand, E. A. (1999). Uncovering the role of gender stereotypes in speech perception.</w:t>
      </w:r>
      <w:r>
        <w:t xml:space="preserve"> </w:t>
      </w:r>
      <w:r>
        <w:rPr>
          <w:i/>
          <w:iCs/>
        </w:rPr>
        <w:t xml:space="preserve">Journal of Language and Social Psychology</w:t>
      </w:r>
      <w:r>
        <w:t xml:space="preserve">,</w:t>
      </w:r>
      <w:r>
        <w:t xml:space="preserve"> </w:t>
      </w:r>
      <w:r>
        <w:rPr>
          <w:i/>
          <w:iCs/>
        </w:rPr>
        <w:t xml:space="preserve">18</w:t>
      </w:r>
      <w:r>
        <w:t xml:space="preserve">(1), 86–100.</w:t>
      </w:r>
    </w:p>
    <w:bookmarkEnd w:id="136"/>
    <w:bookmarkStart w:id="137" w:name="ref-strandJohnson1996"/>
    <w:p>
      <w:pPr>
        <w:pStyle w:val="Bibliography"/>
      </w:pPr>
      <w:r>
        <w:t xml:space="preserve">Strand, E. A., &amp; Johnson, K. (1996). Gradient and visual speaker normalization in the perception of fricatives.</w:t>
      </w:r>
      <w:r>
        <w:t xml:space="preserve"> </w:t>
      </w:r>
      <w:r>
        <w:rPr>
          <w:i/>
          <w:iCs/>
        </w:rPr>
        <w:t xml:space="preserve">KONVENS</w:t>
      </w:r>
      <w:r>
        <w:t xml:space="preserve">, 14–26.</w:t>
      </w:r>
    </w:p>
    <w:bookmarkEnd w:id="137"/>
    <w:bookmarkStart w:id="138" w:name="ref-trippMunson2022"/>
    <w:p>
      <w:pPr>
        <w:pStyle w:val="Bibliography"/>
      </w:pPr>
      <w:r>
        <w:t xml:space="preserve">Tripp, A., &amp; Munson, B. (2022). Perceiving gender while perceiving language: Integrating psycholinguistics and gender theory.</w:t>
      </w:r>
      <w:r>
        <w:t xml:space="preserve"> </w:t>
      </w:r>
      <w:r>
        <w:rPr>
          <w:i/>
          <w:iCs/>
        </w:rPr>
        <w:t xml:space="preserve">Wiley Interdisciplinary Reviews: Cognitive Science</w:t>
      </w:r>
      <w:r>
        <w:t xml:space="preserve">,</w:t>
      </w:r>
      <w:r>
        <w:t xml:space="preserve"> </w:t>
      </w:r>
      <w:r>
        <w:rPr>
          <w:i/>
          <w:iCs/>
        </w:rPr>
        <w:t xml:space="preserve">13</w:t>
      </w:r>
      <w:r>
        <w:t xml:space="preserve">(2), e1583.</w:t>
      </w:r>
    </w:p>
    <w:bookmarkEnd w:id="138"/>
    <w:bookmarkStart w:id="139" w:name="ref-walkerHay2011"/>
    <w:p>
      <w:pPr>
        <w:pStyle w:val="Bibliography"/>
      </w:pPr>
      <w:r>
        <w:t xml:space="preserve">Walker, A., &amp; Hay, J. (2011). Congruence between ‘word age’and ‘voice age’facilitates lexical access.</w:t>
      </w:r>
      <w:r>
        <w:t xml:space="preserve"> </w:t>
      </w:r>
      <w:r>
        <w:rPr>
          <w:i/>
          <w:iCs/>
        </w:rPr>
        <w:t xml:space="preserve">Laboratory Phonology</w:t>
      </w:r>
      <w:r>
        <w:t xml:space="preserve">,</w:t>
      </w:r>
      <w:r>
        <w:t xml:space="preserve"> </w:t>
      </w:r>
      <w:r>
        <w:rPr>
          <w:i/>
          <w:iCs/>
        </w:rPr>
        <w:t xml:space="preserve">2</w:t>
      </w:r>
      <w:r>
        <w:t xml:space="preserve">(1).</w:t>
      </w:r>
    </w:p>
    <w:bookmarkEnd w:id="139"/>
    <w:bookmarkStart w:id="140" w:name="ref-whalen1981"/>
    <w:p>
      <w:pPr>
        <w:pStyle w:val="Bibliography"/>
      </w:pPr>
      <w:r>
        <w:t xml:space="preserve">Whalen, D. H. (1981). 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w:t>
      </w:r>
      <w:r>
        <w:t xml:space="preserve"> </w:t>
      </w:r>
      <w:r>
        <w:rPr>
          <w:i/>
          <w:iCs/>
        </w:rPr>
        <w:t xml:space="preserve">69</w:t>
      </w:r>
      <w:r>
        <w:t xml:space="preserve">(1), 275–282.</w:t>
      </w:r>
    </w:p>
    <w:bookmarkEnd w:id="140"/>
    <w:bookmarkStart w:id="141" w:name="ref-whalen1984"/>
    <w:p>
      <w:pPr>
        <w:pStyle w:val="Bibliography"/>
      </w:pPr>
      <w:r>
        <w:t xml:space="preserve">Whalen, D. H. (1984). 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w:t>
      </w:r>
      <w:r>
        <w:t xml:space="preserve"> </w:t>
      </w:r>
      <w:r>
        <w:rPr>
          <w:i/>
          <w:iCs/>
        </w:rPr>
        <w:t xml:space="preserve">35</w:t>
      </w:r>
      <w:r>
        <w:t xml:space="preserve">, 49–64.</w:t>
      </w:r>
    </w:p>
    <w:bookmarkEnd w:id="141"/>
    <w:bookmarkStart w:id="142" w:name="ref-whalen1991"/>
    <w:p>
      <w:pPr>
        <w:pStyle w:val="Bibliography"/>
      </w:pPr>
      <w:r>
        <w:t xml:space="preserve">Whalen, D. H. (1991). 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w:t>
      </w:r>
      <w:r>
        <w:t xml:space="preserve"> </w:t>
      </w:r>
      <w:r>
        <w:rPr>
          <w:i/>
          <w:iCs/>
        </w:rPr>
        <w:t xml:space="preserve">90</w:t>
      </w:r>
      <w:r>
        <w:t xml:space="preserve">(4), 1776–1785.</w:t>
      </w:r>
    </w:p>
    <w:bookmarkEnd w:id="142"/>
    <w:bookmarkStart w:id="143" w:name="ref-wilbanks2022"/>
    <w:p>
      <w:pPr>
        <w:pStyle w:val="Bibliography"/>
      </w:pPr>
      <w:r>
        <w:t xml:space="preserve">Wilbanks, E. (2022).</w:t>
      </w:r>
      <w:r>
        <w:t xml:space="preserve"> </w:t>
      </w:r>
      <w:r>
        <w:rPr>
          <w:i/>
          <w:iCs/>
        </w:rPr>
        <w:t xml:space="preserve">The integration of social and acoustic cues during speech perception</w:t>
      </w:r>
      <w:r>
        <w:t xml:space="preserve"> </w:t>
      </w:r>
      <w:r>
        <w:t xml:space="preserve">[PhD thesis]. University of California, Berkeley.</w:t>
      </w:r>
    </w:p>
    <w:bookmarkEnd w:id="143"/>
    <w:bookmarkStart w:id="144" w:name="ref-wright2023"/>
    <w:p>
      <w:pPr>
        <w:pStyle w:val="Bibliography"/>
      </w:pPr>
      <w:r>
        <w:t xml:space="preserve">Wright, K. E. (2023). Housing policy and linguistic profiling: An audit study of three american dialects.</w:t>
      </w:r>
      <w:r>
        <w:t xml:space="preserve"> </w:t>
      </w:r>
      <w:r>
        <w:rPr>
          <w:i/>
          <w:iCs/>
        </w:rPr>
        <w:t xml:space="preserve">Language</w:t>
      </w:r>
      <w:r>
        <w:t xml:space="preserve">.</w:t>
      </w:r>
    </w:p>
    <w:bookmarkEnd w:id="144"/>
    <w:bookmarkStart w:id="145" w:name="ref-zimman2017"/>
    <w:p>
      <w:pPr>
        <w:pStyle w:val="Bibliography"/>
      </w:pPr>
      <w:r>
        <w:t xml:space="preserve">Zimman, L. (2017). Gender as stylistic bricolage: Transmasculine voices and the relationship between fundamental frequency and/s.</w:t>
      </w:r>
      <w:r>
        <w:t xml:space="preserve"> </w:t>
      </w:r>
      <w:r>
        <w:rPr>
          <w:i/>
          <w:iCs/>
        </w:rPr>
        <w:t xml:space="preserve">Language in Society</w:t>
      </w:r>
      <w:r>
        <w:t xml:space="preserve">,</w:t>
      </w:r>
      <w:r>
        <w:t xml:space="preserve"> </w:t>
      </w:r>
      <w:r>
        <w:rPr>
          <w:i/>
          <w:iCs/>
        </w:rPr>
        <w:t xml:space="preserve">46</w:t>
      </w:r>
      <w:r>
        <w:t xml:space="preserve">(3), 339–370.</w:t>
      </w:r>
    </w:p>
    <w:bookmarkEnd w:id="145"/>
    <w:bookmarkStart w:id="146" w:name="ref-zimman2018"/>
    <w:p>
      <w:pPr>
        <w:pStyle w:val="Bibliography"/>
      </w:pPr>
      <w:r>
        <w:t xml:space="preserve">Zimman, L. (2018). Transgender voices: Insights on identity, embodiment, and the gender of the voice.</w:t>
      </w:r>
      <w:r>
        <w:t xml:space="preserve"> </w:t>
      </w:r>
      <w:r>
        <w:rPr>
          <w:i/>
          <w:iCs/>
        </w:rPr>
        <w:t xml:space="preserve">Language and Linguistics Compass</w:t>
      </w:r>
      <w:r>
        <w:t xml:space="preserve">,</w:t>
      </w:r>
      <w:r>
        <w:t xml:space="preserve"> </w:t>
      </w:r>
      <w:r>
        <w:rPr>
          <w:i/>
          <w:iCs/>
        </w:rPr>
        <w:t xml:space="preserve">12</w:t>
      </w:r>
      <w:r>
        <w:t xml:space="preserve">(8), e12284.</w:t>
      </w:r>
    </w:p>
    <w:bookmarkEnd w:id="146"/>
    <w:bookmarkEnd w:id="147"/>
    <w:bookmarkStart w:id="151" w:name="fig-stimuli"/>
    <w:p>
      <w:pPr>
        <w:pStyle w:val="FigureTitle"/>
      </w:pPr>
      <w:r>
        <w:t xml:space="preserve">Figure 1</w:t>
      </w:r>
    </w:p>
    <w:p>
      <w:pPr>
        <w:pStyle w:val="Caption"/>
      </w:pPr>
      <w:r>
        <w:t xml:space="preserve">Bouavichith et al. (</w:t>
      </w:r>
      <w:hyperlink w:anchor="ref-bouavichithEtAl2019">
        <w:r>
          <w:rPr>
            <w:rStyle w:val="Hyperlink"/>
          </w:rPr>
          <w:t xml:space="preserve">2019</w:t>
        </w:r>
      </w:hyperlink>
      <w:r>
        <w:t xml:space="preserve">)</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p>
      <w:pPr>
        <w:pStyle w:val="FigureWithoutNote"/>
      </w:pPr>
      <w:r>
        <w:drawing>
          <wp:inline>
            <wp:extent cx="5943600" cy="4201755"/>
            <wp:effectExtent b="0" l="0" r="0" t="0"/>
            <wp:docPr descr="" title="" id="149" name="Picture"/>
            <a:graphic>
              <a:graphicData uri="http://schemas.openxmlformats.org/drawingml/2006/picture">
                <pic:pic>
                  <pic:nvPicPr>
                    <pic:cNvPr descr="images/figure1.png" id="150" name="Picture"/>
                    <pic:cNvPicPr>
                      <a:picLocks noChangeArrowheads="1" noChangeAspect="1"/>
                    </pic:cNvPicPr>
                  </pic:nvPicPr>
                  <pic:blipFill>
                    <a:blip r:embed="rId148"/>
                    <a:stretch>
                      <a:fillRect/>
                    </a:stretch>
                  </pic:blipFill>
                  <pic:spPr bwMode="auto">
                    <a:xfrm>
                      <a:off x="0" y="0"/>
                      <a:ext cx="5943600" cy="4201755"/>
                    </a:xfrm>
                    <a:prstGeom prst="rect">
                      <a:avLst/>
                    </a:prstGeom>
                    <a:noFill/>
                    <a:ln w="9525">
                      <a:noFill/>
                      <a:headEnd/>
                      <a:tailEnd/>
                    </a:ln>
                  </pic:spPr>
                </pic:pic>
              </a:graphicData>
            </a:graphic>
          </wp:inline>
        </w:drawing>
      </w:r>
    </w:p>
    <w:bookmarkEnd w:id="151"/>
    <w:p>
      <w:r>
        <w:br w:type="page"/>
      </w:r>
    </w:p>
    <w:bookmarkEnd w:id="152"/>
    <w:bookmarkEnd w:id="153"/>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w:t>
      </w:r>
      <w:hyperlink w:anchor="ref-schulman1974">
        <w:r>
          <w:rPr>
            <w:rStyle w:val="Hyperlink"/>
            <w:b/>
            <w:bCs/>
          </w:rPr>
          <w:t xml:space="preserve">schulman1974?</w:t>
        </w:r>
      </w:hyperlink>
      <w:r>
        <w:t xml:space="preserve">)</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31" Target="media/rId31.jpg" /><Relationship Type="http://schemas.openxmlformats.org/officeDocument/2006/relationships/image" Id="rId148" Target="media/rId148.png" /><Relationship Type="http://schemas.openxmlformats.org/officeDocument/2006/relationships/hyperlink" Id="rId64" Target="http://CRAN.R-project.org/package=lme4" TargetMode="External" /><Relationship Type="http://schemas.openxmlformats.org/officeDocument/2006/relationships/hyperlink" Id="rId87" Target="http://dx.doi.org/10.3758/BF03207536" TargetMode="External" /><Relationship Type="http://schemas.openxmlformats.org/officeDocument/2006/relationships/hyperlink" Id="rId127" Target="https://doi.org/10.1002/9781118584248.ch5" TargetMode="External" /><Relationship Type="http://schemas.openxmlformats.org/officeDocument/2006/relationships/hyperlink" Id="rId69" Target="https://doi.org/10.1017/S0954394521000089" TargetMode="External" /><Relationship Type="http://schemas.openxmlformats.org/officeDocument/2006/relationships/hyperlink" Id="rId67" Target="https://doi.org/10.1121/1.5101933" TargetMode="External" /><Relationship Type="http://schemas.openxmlformats.org/officeDocument/2006/relationships/hyperlink" Id="rId103" Target="https://doi.org/10.1371/journal.pone.0130834" TargetMode="External" /><Relationship Type="http://schemas.openxmlformats.org/officeDocument/2006/relationships/hyperlink" Id="rId108" Target="https://doi.org/10.3758/s13428-014-0532-5" TargetMode="External" /><Relationship Type="http://schemas.openxmlformats.org/officeDocument/2006/relationships/hyperlink" Id="rId10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4" Target="http://CRAN.R-project.org/package=lme4" TargetMode="External" /><Relationship Type="http://schemas.openxmlformats.org/officeDocument/2006/relationships/hyperlink" Id="rId87" Target="http://dx.doi.org/10.3758/BF03207536" TargetMode="External" /><Relationship Type="http://schemas.openxmlformats.org/officeDocument/2006/relationships/hyperlink" Id="rId127" Target="https://doi.org/10.1002/9781118584248.ch5" TargetMode="External" /><Relationship Type="http://schemas.openxmlformats.org/officeDocument/2006/relationships/hyperlink" Id="rId69" Target="https://doi.org/10.1017/S0954394521000089" TargetMode="External" /><Relationship Type="http://schemas.openxmlformats.org/officeDocument/2006/relationships/hyperlink" Id="rId67" Target="https://doi.org/10.1121/1.5101933" TargetMode="External" /><Relationship Type="http://schemas.openxmlformats.org/officeDocument/2006/relationships/hyperlink" Id="rId103" Target="https://doi.org/10.1371/journal.pone.0130834" TargetMode="External" /><Relationship Type="http://schemas.openxmlformats.org/officeDocument/2006/relationships/hyperlink" Id="rId108" Target="https://doi.org/10.3758/s13428-014-0532-5" TargetMode="External" /><Relationship Type="http://schemas.openxmlformats.org/officeDocument/2006/relationships/hyperlink" Id="rId10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REMOVING THE DISGUISE: THE MATCHED GUISE TECHNIQUE AND LISTENER AWARENESS</dc:description>
  <cp:keywords>awareness, control, inverse matched guise, sociophonetic perception</cp:keywords>
  <dcterms:created xsi:type="dcterms:W3CDTF">2024-10-23T16:11:45Z</dcterms:created>
  <dcterms:modified xsi:type="dcterms:W3CDTF">2024-10-23T16:11:45Z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1999; Strand &amp; Johnson, 1996).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5" name="apaauthor">
    <vt:lpwstr/>
  </property>
  <property fmtid="{D5CDD505-2E9C-101B-9397-08002B2CF9AE}" pid="6" name="apadate">
    <vt:lpwstr>2024-10-23</vt:lpwstr>
  </property>
  <property fmtid="{D5CDD505-2E9C-101B-9397-08002B2CF9AE}" pid="7" name="apatitle">
    <vt:lpwstr>REMOVING THE DISGUISE: THE MATCHED GUISE TECHNIQUE AND LISTENER AWARENESS</vt:lpwstr>
  </property>
  <property fmtid="{D5CDD505-2E9C-101B-9397-08002B2CF9AE}" pid="8" name="apatitledisplay">
    <vt:lpwstr>Removing the disguise: the matched guise technique and listener awareness</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itation">
    <vt:lpwstr/>
  </property>
  <property fmtid="{D5CDD505-2E9C-101B-9397-08002B2CF9AE}" pid="15" name="clear-hidden-classes">
    <vt:lpwstr>none</vt:lpwstr>
  </property>
  <property fmtid="{D5CDD505-2E9C-101B-9397-08002B2CF9AE}" pid="16" name="csl">
    <vt:lpwstr>_extensions/wjschne/apaquarto/apa.csl</vt:lpwstr>
  </property>
  <property fmtid="{D5CDD505-2E9C-101B-9397-08002B2CF9AE}" pid="17" name="documentmode">
    <vt:lpwstr>man</vt:lpwstr>
  </property>
  <property fmtid="{D5CDD505-2E9C-101B-9397-08002B2CF9AE}" pid="18" name="editor">
    <vt:lpwstr/>
  </property>
  <property fmtid="{D5CDD505-2E9C-101B-9397-08002B2CF9AE}" pid="19" name="fig-cap-location">
    <vt:lpwstr>top</vt:lpwstr>
  </property>
  <property fmtid="{D5CDD505-2E9C-101B-9397-08002B2CF9AE}" pid="20" name="google-scholar">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ey-points">
    <vt:lpwstr/>
  </property>
  <property fmtid="{D5CDD505-2E9C-101B-9397-08002B2CF9AE}" pid="25" name="knitr">
    <vt:lpwstr/>
  </property>
  <property fmtid="{D5CDD505-2E9C-101B-9397-08002B2CF9AE}" pid="26" name="labels">
    <vt:lpwstr/>
  </property>
  <property fmtid="{D5CDD505-2E9C-101B-9397-08002B2CF9AE}" pid="27" name="language">
    <vt:lpwstr/>
  </property>
  <property fmtid="{D5CDD505-2E9C-101B-9397-08002B2CF9AE}" pid="28" name="lightbox">
    <vt:lpwstr>auto</vt:lpwstr>
  </property>
  <property fmtid="{D5CDD505-2E9C-101B-9397-08002B2CF9AE}" pid="29" name="link-citations">
    <vt:lpwstr>True</vt:lpwstr>
  </property>
  <property fmtid="{D5CDD505-2E9C-101B-9397-08002B2CF9AE}" pid="30" name="manuscript">
    <vt:lpwstr/>
  </property>
  <property fmtid="{D5CDD505-2E9C-101B-9397-08002B2CF9AE}" pid="31" name="no-ampersand-parenthetical">
    <vt:lpwstr>False</vt:lpwstr>
  </property>
  <property fmtid="{D5CDD505-2E9C-101B-9397-08002B2CF9AE}" pid="32" name="notebook-preview-options">
    <vt:lpwstr/>
  </property>
  <property fmtid="{D5CDD505-2E9C-101B-9397-08002B2CF9AE}" pid="33" name="oneaffiliation">
    <vt:lpwstr>False</vt:lpwstr>
  </property>
  <property fmtid="{D5CDD505-2E9C-101B-9397-08002B2CF9AE}" pid="34" name="oneauthor">
    <vt:lpwstr>False</vt:lpwstr>
  </property>
  <property fmtid="{D5CDD505-2E9C-101B-9397-08002B2CF9AE}" pid="35" name="quarto-internal">
    <vt:lpwstr/>
  </property>
  <property fmtid="{D5CDD505-2E9C-101B-9397-08002B2CF9AE}" pid="36" name="references">
    <vt:lpwstr/>
  </property>
  <property fmtid="{D5CDD505-2E9C-101B-9397-08002B2CF9AE}" pid="37" name="remove-hidden">
    <vt:lpwstr>all</vt:lpwstr>
  </property>
  <property fmtid="{D5CDD505-2E9C-101B-9397-08002B2CF9AE}" pid="38" name="revealjs-plugins">
    <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emplate-partials">
    <vt:lpwstr/>
  </property>
  <property fmtid="{D5CDD505-2E9C-101B-9397-08002B2CF9AE}" pid="64" name="theme">
    <vt:lpwstr>cosmo</vt:lpwstr>
  </property>
  <property fmtid="{D5CDD505-2E9C-101B-9397-08002B2CF9AE}" pid="65" name="title-block-style">
    <vt:lpwstr>manuscript</vt:lpwstr>
  </property>
  <property fmtid="{D5CDD505-2E9C-101B-9397-08002B2CF9AE}" pid="66" name="toc-title">
    <vt:lpwstr>Table of contents</vt:lpwstr>
  </property>
  <property fmtid="{D5CDD505-2E9C-101B-9397-08002B2CF9AE}" pid="67" name="unroll-markdown-cells">
    <vt:lpwstr>True</vt:lpwstr>
  </property>
  <property fmtid="{D5CDD505-2E9C-101B-9397-08002B2CF9AE}" pid="68" name="zerocitations">
    <vt:lpwstr>False</vt:lpwstr>
  </property>
</Properties>
</file>