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2024-10-29</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et al.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2012a; Calder 2018)</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This observation remains true even if what the listener believes about the speaker is false; a monolingual American listener might expect a Beijing voice to be non-rhotic</w:t>
      </w:r>
      <w:r>
        <w:t xml:space="preserve"> </w:t>
      </w:r>
      <w:r>
        <w:t xml:space="preserve">(McGowan 2016)</w:t>
      </w:r>
      <w:r>
        <w:t xml:space="preserve"> </w:t>
      </w:r>
      <w:r>
        <w:t xml:space="preserve">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 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 Social meaning making occurs in interaction; a listener must be able to control,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(McGowan and Babel 2020)</w:t>
      </w:r>
      <w:r>
        <w:t xml:space="preserve">. Researchers, typically working within the fields of segmental speech perception or word recognition have used perception to describe a kind of low-level, implicit, processing of sensory input</w:t>
      </w:r>
      <w:r>
        <w:t xml:space="preserve"> </w:t>
      </w:r>
      <w:r>
        <w:t xml:space="preserve">(see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(see Evans 2008, ‘type 2’ processing)</w:t>
      </w:r>
      <w:r>
        <w:t xml:space="preserve">. This is the meaning of perception employed in folk linguistics</w:t>
      </w:r>
      <w:r>
        <w:t xml:space="preserve"> </w:t>
      </w:r>
      <w:r>
        <w:t xml:space="preserve">(Nancy 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earlier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pairs a single linguistic signal: such as an identical talker</w:t>
      </w:r>
      <w:r>
        <w:t xml:space="preserve"> </w:t>
      </w:r>
      <w:r>
        <w:t xml:space="preserve">(e.g. Giles 1970)</w:t>
      </w:r>
      <w:r>
        <w:t xml:space="preserve">, identical recordings</w:t>
      </w:r>
      <w:r>
        <w:t xml:space="preserve"> </w:t>
      </w:r>
      <w:r>
        <w:t xml:space="preserve">(e,g, N.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 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suggests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It has long been demonstrated that 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 making.</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English [ʃ] has a comparatively larger resonating chamber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w:t>
      </w:r>
      <w:r>
        <w:t xml:space="preserve">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p>
      <w:pPr>
        <w:pStyle w:val="BodyText"/>
      </w:pPr>
      <w:r>
        <w:t xml:space="preserve">One goal of the present study is to take advantage of this sociophonetic trading relation in listeners’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w:t>
      </w:r>
      <w:r>
        <w:t xml:space="preserve"> </w:t>
      </w:r>
      <w:r>
        <w:t xml:space="preserve">that listeners could simply normalize away</w:t>
      </w:r>
      <w:r>
        <w:t xml:space="preserve"> </w:t>
      </w:r>
      <w:r>
        <w:t xml:space="preserve">(Johnson 2005)</w:t>
      </w:r>
      <w:r>
        <w:t xml:space="preserve">. However, if these biological tendencies were essential and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fricative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 </w:t>
      </w:r>
      <w:r>
        <w:t xml:space="preserve">and other cues.</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And even in adult speakers, fundamental frequency is only a weak predictor of size, explaining less than 2% of observed height and weight differences while formant spacing fared only slightly better at roughly 10%</w:t>
      </w:r>
      <w:r>
        <w:t xml:space="preserve"> </w:t>
      </w:r>
      <w:r>
        <w:t xml:space="preserve">(Pisanski et al. 2014, 94)</w:t>
      </w:r>
      <w:r>
        <w:t xml:space="preserve">.</w:t>
      </w:r>
    </w:p>
    <w:p>
      <w:pPr>
        <w:pStyle w:val="BodyText"/>
      </w:pPr>
      <w:r>
        <w:t xml:space="preserve">It is critical to remember that fundamental frequency, formants, and fricatives are not purely the result of vocal tract biology but also gestural coordination and performance. Small variations attributable to secondary sex characteristics become available as the semiotic building blocks of gender identity. People who identify as male, female, intersex, etc. perform that identity through gestural style. Trans men, even while experiencing the very real physical consequences of hormone treatments, will also learn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 of meanings are socially-constructed in interaction</w:t>
      </w:r>
      <w:r>
        <w:t xml:space="preserve"> </w:t>
      </w:r>
      <w:r>
        <w:t xml:space="preserve">(Eckert 2008)</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5"/>
    <w:bookmarkStart w:id="31" w:name="sec-stimuli"/>
    <w:p>
      <w:pPr>
        <w:pStyle w:val="Heading2"/>
      </w:pPr>
      <w:r>
        <w:t xml:space="preserve">Stimulus Materials</w:t>
      </w:r>
    </w:p>
    <w:bookmarkStart w:id="30"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These five-step rime continua were created by evenly spacing mean F0 across consecutive steps such that the male /æk/ continuum increased F0 frequency and formant spacing from their unmodified values while the female talker’s /æk/ continuum decreased both parameters from unmodified. 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w:t>
      </w:r>
    </w:p>
    <w:p>
      <w:pPr>
        <w:pStyle w:val="BodyText"/>
      </w:pPr>
      <w:r>
        <w:t xml:space="preserve">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w:t>
      </w:r>
      <w:r>
        <w:t xml:space="preserve"> </w:t>
      </w:r>
      <w:r>
        <w:t xml:space="preserve">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 S5 represent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w:t>
            </w:r>
          </w:p>
          <w:bookmarkEnd w:id="29"/>
        </w:tc>
      </w:tr>
    </w:tbl>
    <w:bookmarkEnd w:id="30"/>
    <w:bookmarkEnd w:id="31"/>
    <w:bookmarkStart w:id="37"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1.0.1</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judgements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5000ms (N=50) were excluded. The 5000ms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2000ms. To increase normality of the distribution of response times across participants, the remaining response times were log-transformed.</w:t>
      </w:r>
    </w:p>
    <w:bookmarkStart w:id="53"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8"/>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is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XXX in the conclusion: return to typicality but not gender and talk about how high level evaluative judgments that the female voice</w:t>
      </w:r>
      <w:r>
        <w:t xml:space="preserve"> </w:t>
      </w:r>
      <w:r>
        <w:t xml:space="preserve">‘sounds male’</w:t>
      </w:r>
      <w:r>
        <w:t xml:space="preserve"> </w:t>
      </w:r>
      <w:r>
        <w:t xml:space="preserve">after resynthesis, even judgments made by the experimenters themselves, do not necessarily predict or imply listener reactions to the kind of low level, segmental percept we are eliciting here.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XXX for conclusion the stats bear out our interpretation of the rime plot</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can influence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 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5"/>
    <w:bookmarkStart w:id="66"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End w:id="66"/>
    <w:bookmarkStart w:id="186" w:name="sec-references"/>
    <w:p>
      <w:pPr>
        <w:pStyle w:val="Heading1"/>
      </w:pPr>
      <w:r>
        <w:t xml:space="preserve">References</w:t>
      </w:r>
    </w:p>
    <w:bookmarkStart w:id="185"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9"/>
    <w:bookmarkStart w:id="70"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0"/>
    <w:bookmarkStart w:id="71"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71"/>
    <w:bookmarkStart w:id="73"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2">
        <w:r>
          <w:rPr>
            <w:rStyle w:val="Hyperlink"/>
          </w:rPr>
          <w:t xml:space="preserve">http://CRAN.R-project.org/package=lme4</w:t>
        </w:r>
      </w:hyperlink>
      <w:r>
        <w:t xml:space="preserve">.</w:t>
      </w:r>
    </w:p>
    <w:bookmarkEnd w:id="73"/>
    <w:bookmarkStart w:id="74"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4"/>
    <w:bookmarkStart w:id="75"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5"/>
    <w:bookmarkStart w:id="77"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6">
        <w:r>
          <w:rPr>
            <w:rStyle w:val="Hyperlink"/>
          </w:rPr>
          <w:t xml:space="preserve">https://doi.org/10.1121/1.5101933</w:t>
        </w:r>
      </w:hyperlink>
      <w:r>
        <w:t xml:space="preserve">.</w:t>
      </w:r>
    </w:p>
    <w:bookmarkEnd w:id="77"/>
    <w:bookmarkStart w:id="79"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8">
        <w:r>
          <w:rPr>
            <w:rStyle w:val="Hyperlink"/>
          </w:rPr>
          <w:t xml:space="preserve">https://doi.org/10.1017/S0954394521000089</w:t>
        </w:r>
      </w:hyperlink>
      <w:r>
        <w:t xml:space="preserve">.</w:t>
      </w:r>
    </w:p>
    <w:bookmarkEnd w:id="79"/>
    <w:bookmarkStart w:id="80"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0"/>
    <w:bookmarkStart w:id="81"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1"/>
    <w:bookmarkStart w:id="82"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2"/>
    <w:bookmarkStart w:id="83"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3"/>
    <w:bookmarkStart w:id="84"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4"/>
    <w:bookmarkStart w:id="85"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5"/>
    <w:bookmarkStart w:id="86"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6"/>
    <w:bookmarkStart w:id="87"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7"/>
    <w:bookmarkStart w:id="88"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8"/>
    <w:bookmarkStart w:id="89"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9"/>
    <w:bookmarkStart w:id="90"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0"/>
    <w:bookmarkStart w:id="92"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1">
        <w:r>
          <w:rPr>
            <w:rStyle w:val="Hyperlink"/>
          </w:rPr>
          <w:t xml:space="preserve">https://doi.org/10.1037/xlm0000137</w:t>
        </w:r>
      </w:hyperlink>
      <w:r>
        <w:t xml:space="preserve">.</w:t>
      </w:r>
    </w:p>
    <w:bookmarkEnd w:id="92"/>
    <w:bookmarkStart w:id="93"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3"/>
    <w:bookmarkStart w:id="94"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4"/>
    <w:bookmarkStart w:id="95"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5"/>
    <w:bookmarkStart w:id="97"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96">
        <w:r>
          <w:rPr>
            <w:rStyle w:val="Hyperlink"/>
          </w:rPr>
          <w:t xml:space="preserve">https://doi.org/10.1016/s0010-0277(00)00123-2</w:t>
        </w:r>
      </w:hyperlink>
      <w:r>
        <w:t xml:space="preserve">.</w:t>
      </w:r>
    </w:p>
    <w:bookmarkEnd w:id="97"/>
    <w:bookmarkStart w:id="98"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98"/>
    <w:bookmarkStart w:id="99"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99"/>
    <w:bookmarkStart w:id="100"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0"/>
    <w:bookmarkStart w:id="101"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1"/>
    <w:bookmarkStart w:id="102"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2"/>
    <w:bookmarkStart w:id="103"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03"/>
    <w:bookmarkStart w:id="104"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04"/>
    <w:bookmarkStart w:id="105"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05"/>
    <w:bookmarkStart w:id="106"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06"/>
    <w:bookmarkStart w:id="107"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07"/>
    <w:bookmarkStart w:id="108"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08"/>
    <w:bookmarkStart w:id="109"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09"/>
    <w:bookmarkStart w:id="111"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0">
        <w:r>
          <w:rPr>
            <w:rStyle w:val="Hyperlink"/>
          </w:rPr>
          <w:t xml:space="preserve">https://doi.org/10.3389/fpsyg.2015.00500</w:t>
        </w:r>
      </w:hyperlink>
      <w:r>
        <w:t xml:space="preserve">.</w:t>
      </w:r>
    </w:p>
    <w:bookmarkEnd w:id="111"/>
    <w:bookmarkStart w:id="113"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12">
        <w:r>
          <w:rPr>
            <w:rStyle w:val="Hyperlink"/>
          </w:rPr>
          <w:t xml:space="preserve">http://dx.doi.org/10.3758/BF03207536</w:t>
        </w:r>
      </w:hyperlink>
      <w:r>
        <w:t xml:space="preserve">.</w:t>
      </w:r>
    </w:p>
    <w:bookmarkEnd w:id="113"/>
    <w:bookmarkStart w:id="114"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14"/>
    <w:bookmarkStart w:id="115"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15"/>
    <w:bookmarkStart w:id="116"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16"/>
    <w:bookmarkStart w:id="117"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17"/>
    <w:bookmarkStart w:id="118"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18"/>
    <w:bookmarkStart w:id="119"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19"/>
    <w:bookmarkStart w:id="120"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20"/>
    <w:bookmarkStart w:id="121"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21"/>
    <w:bookmarkStart w:id="123"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22">
        <w:r>
          <w:rPr>
            <w:rStyle w:val="Hyperlink"/>
          </w:rPr>
          <w:t xml:space="preserve">http://www.jstor.org/stable/522229</w:t>
        </w:r>
      </w:hyperlink>
      <w:r>
        <w:t xml:space="preserve">.</w:t>
      </w:r>
    </w:p>
    <w:bookmarkEnd w:id="123"/>
    <w:bookmarkStart w:id="124"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24"/>
    <w:bookmarkStart w:id="125"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25"/>
    <w:bookmarkStart w:id="126"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26"/>
    <w:bookmarkStart w:id="127"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27"/>
    <w:bookmarkStart w:id="128"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28"/>
    <w:bookmarkStart w:id="130"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29">
        <w:r>
          <w:rPr>
            <w:rStyle w:val="Hyperlink"/>
          </w:rPr>
          <w:t xml:space="preserve">https://doi.org/10.1371/journal.pone.0130834</w:t>
        </w:r>
      </w:hyperlink>
      <w:r>
        <w:t xml:space="preserve">.</w:t>
      </w:r>
    </w:p>
    <w:bookmarkEnd w:id="130"/>
    <w:bookmarkStart w:id="132"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31">
        <w:r>
          <w:rPr>
            <w:rStyle w:val="Hyperlink"/>
          </w:rPr>
          <w:t xml:space="preserve">https://doi.org/10.3109/13682826809011440</w:t>
        </w:r>
      </w:hyperlink>
      <w:r>
        <w:t xml:space="preserve">.</w:t>
      </w:r>
    </w:p>
    <w:bookmarkEnd w:id="132"/>
    <w:bookmarkStart w:id="134"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33">
        <w:r>
          <w:rPr>
            <w:rStyle w:val="Hyperlink"/>
          </w:rPr>
          <w:t xml:space="preserve">https://doi.org/10.1177/0075424214531487</w:t>
        </w:r>
      </w:hyperlink>
      <w:r>
        <w:t xml:space="preserve">.</w:t>
      </w:r>
    </w:p>
    <w:bookmarkEnd w:id="134"/>
    <w:bookmarkStart w:id="135"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35"/>
    <w:bookmarkStart w:id="137" w:name="ref-imagemagick"/>
    <w:p>
      <w:pPr>
        <w:pStyle w:val="Bibliography"/>
      </w:pPr>
      <w:r>
        <w:t xml:space="preserve">LLC, ImageMagick Studio. 2023.</w:t>
      </w:r>
      <w:r>
        <w:t xml:space="preserve"> </w:t>
      </w:r>
      <w:r>
        <w:t xml:space="preserve">“ImageMagick.”</w:t>
      </w:r>
      <w:r>
        <w:t xml:space="preserve"> </w:t>
      </w:r>
      <w:hyperlink r:id="rId136">
        <w:r>
          <w:rPr>
            <w:rStyle w:val="Hyperlink"/>
          </w:rPr>
          <w:t xml:space="preserve">https://imagemagick.org</w:t>
        </w:r>
      </w:hyperlink>
      <w:r>
        <w:t xml:space="preserve">.</w:t>
      </w:r>
    </w:p>
    <w:bookmarkEnd w:id="137"/>
    <w:bookmarkStart w:id="139"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38">
        <w:r>
          <w:rPr>
            <w:rStyle w:val="Hyperlink"/>
          </w:rPr>
          <w:t xml:space="preserve">https://doi.org/10.3758/s13428-014-0532-5</w:t>
        </w:r>
      </w:hyperlink>
      <w:r>
        <w:t xml:space="preserve">.</w:t>
      </w:r>
    </w:p>
    <w:bookmarkEnd w:id="139"/>
    <w:bookmarkStart w:id="140"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40"/>
    <w:bookmarkStart w:id="142"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41">
        <w:r>
          <w:rPr>
            <w:rStyle w:val="Hyperlink"/>
          </w:rPr>
          <w:t xml:space="preserve">https://doi.org/10.1016/j.wocn.2011.10.002</w:t>
        </w:r>
      </w:hyperlink>
      <w:r>
        <w:t xml:space="preserve">.</w:t>
      </w:r>
    </w:p>
    <w:bookmarkEnd w:id="142"/>
    <w:bookmarkStart w:id="143"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43"/>
    <w:bookmarkStart w:id="144"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44"/>
    <w:bookmarkStart w:id="145"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45"/>
    <w:bookmarkStart w:id="146"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46"/>
    <w:bookmarkStart w:id="147"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47"/>
    <w:bookmarkStart w:id="148"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48"/>
    <w:bookmarkStart w:id="149"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49"/>
    <w:bookmarkStart w:id="150"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50"/>
    <w:bookmarkStart w:id="151"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51"/>
    <w:bookmarkStart w:id="152"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52"/>
    <w:bookmarkStart w:id="153" w:name="ref-Niedzielski1999"/>
    <w:p>
      <w:pPr>
        <w:pStyle w:val="Bibliography"/>
      </w:pPr>
      <w:r>
        <w:t xml:space="preserve">Niedzielski, N.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53"/>
    <w:bookmarkStart w:id="154" w:name="ref-niedzielskiPreston2000"/>
    <w:p>
      <w:pPr>
        <w:pStyle w:val="Bibliography"/>
      </w:pPr>
      <w:r>
        <w:t xml:space="preserve">Niedzielski, Nancy, and Dennis Richard Preston. 2000.</w:t>
      </w:r>
      <w:r>
        <w:t xml:space="preserve"> </w:t>
      </w:r>
      <w:r>
        <w:rPr>
          <w:i/>
          <w:iCs/>
        </w:rPr>
        <w:t xml:space="preserve">Folk Linguistics</w:t>
      </w:r>
      <w:r>
        <w:t xml:space="preserve">. Vol. 122. Walter de Gruyter.</w:t>
      </w:r>
    </w:p>
    <w:bookmarkEnd w:id="154"/>
    <w:bookmarkStart w:id="155"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55"/>
    <w:bookmarkStart w:id="156"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56"/>
    <w:bookmarkStart w:id="157"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57"/>
    <w:bookmarkStart w:id="158"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58"/>
    <w:bookmarkStart w:id="159"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59"/>
    <w:bookmarkStart w:id="160" w:name="ref-pisanski2014"/>
    <w:p>
      <w:pPr>
        <w:pStyle w:val="Bibliography"/>
      </w:pPr>
      <w:r>
        <w:t xml:space="preserve">Pisanski, Katarzyna, Paul J Fraccaro, Cara C Tigue, Jillian JM O’Connor, Susanne Röder, Paul W Andrews, Bernhard Fink, Lisa M DeBruine, Benedict C Jones, and David R Feinberg. 2014.</w:t>
      </w:r>
      <w:r>
        <w:t xml:space="preserve"> </w:t>
      </w:r>
      <w:r>
        <w:t xml:space="preserve">“Vocal Indicators of Body Size in Men and Women: A Meta-Analysis.”</w:t>
      </w:r>
      <w:r>
        <w:t xml:space="preserve"> </w:t>
      </w:r>
      <w:r>
        <w:rPr>
          <w:i/>
          <w:iCs/>
        </w:rPr>
        <w:t xml:space="preserve">Animal Behaviour</w:t>
      </w:r>
      <w:r>
        <w:t xml:space="preserve"> </w:t>
      </w:r>
      <w:r>
        <w:t xml:space="preserve">95: 89–99.</w:t>
      </w:r>
    </w:p>
    <w:bookmarkEnd w:id="160"/>
    <w:bookmarkStart w:id="161"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61"/>
    <w:bookmarkStart w:id="162"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62"/>
    <w:bookmarkStart w:id="163"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63"/>
    <w:bookmarkStart w:id="165"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64">
        <w:r>
          <w:rPr>
            <w:rStyle w:val="Hyperlink"/>
          </w:rPr>
          <w:t xml:space="preserve">https://doi.org/10.1093/oxfordhb/9780199600472.001.0001</w:t>
        </w:r>
      </w:hyperlink>
      <w:r>
        <w:t xml:space="preserve">.</w:t>
      </w:r>
    </w:p>
    <w:bookmarkEnd w:id="165"/>
    <w:bookmarkStart w:id="166"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66"/>
    <w:bookmarkStart w:id="167"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67"/>
    <w:bookmarkStart w:id="168"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68"/>
    <w:bookmarkStart w:id="169"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69"/>
    <w:bookmarkStart w:id="171"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70">
        <w:r>
          <w:rPr>
            <w:rStyle w:val="Hyperlink"/>
          </w:rPr>
          <w:t xml:space="preserve">https://doi.org/10.3758/BF03197491</w:t>
        </w:r>
      </w:hyperlink>
      <w:r>
        <w:t xml:space="preserve">.</w:t>
      </w:r>
    </w:p>
    <w:bookmarkEnd w:id="171"/>
    <w:bookmarkStart w:id="172"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72"/>
    <w:bookmarkStart w:id="173"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73"/>
    <w:bookmarkStart w:id="174"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74"/>
    <w:bookmarkStart w:id="175"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75"/>
    <w:bookmarkStart w:id="176"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76"/>
    <w:bookmarkStart w:id="177"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77"/>
    <w:bookmarkStart w:id="178"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78"/>
    <w:bookmarkStart w:id="179"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79"/>
    <w:bookmarkStart w:id="180"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80"/>
    <w:bookmarkStart w:id="181"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81"/>
    <w:bookmarkStart w:id="182"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82"/>
    <w:bookmarkStart w:id="183"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83"/>
    <w:bookmarkStart w:id="184"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84"/>
    <w:bookmarkEnd w:id="185"/>
    <w:bookmarkEnd w:id="186"/>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2" Target="http://CRAN.R-project.org/package=lme4" TargetMode="External" /><Relationship Type="http://schemas.openxmlformats.org/officeDocument/2006/relationships/hyperlink" Id="rId112" Target="http://dx.doi.org/10.3758/BF03207536" TargetMode="External" /><Relationship Type="http://schemas.openxmlformats.org/officeDocument/2006/relationships/hyperlink" Id="rId122" Target="http://www.jstor.org/stable/522229" TargetMode="External" /><Relationship Type="http://schemas.openxmlformats.org/officeDocument/2006/relationships/hyperlink" Id="rId141" Target="https://doi.org/10.1016/j.wocn.2011.10.002" TargetMode="External" /><Relationship Type="http://schemas.openxmlformats.org/officeDocument/2006/relationships/hyperlink" Id="rId96" Target="https://doi.org/10.1016/s0010-0277(00)00123-2" TargetMode="External" /><Relationship Type="http://schemas.openxmlformats.org/officeDocument/2006/relationships/hyperlink" Id="rId78" Target="https://doi.org/10.1017/S0954394521000089" TargetMode="External" /><Relationship Type="http://schemas.openxmlformats.org/officeDocument/2006/relationships/hyperlink" Id="rId91" Target="https://doi.org/10.1037/xlm0000137" TargetMode="External" /><Relationship Type="http://schemas.openxmlformats.org/officeDocument/2006/relationships/hyperlink" Id="rId164" Target="https://doi.org/10.1093/oxfordhb/9780199600472.001.0001" TargetMode="External" /><Relationship Type="http://schemas.openxmlformats.org/officeDocument/2006/relationships/hyperlink" Id="rId76" Target="https://doi.org/10.1121/1.5101933" TargetMode="External" /><Relationship Type="http://schemas.openxmlformats.org/officeDocument/2006/relationships/hyperlink" Id="rId133" Target="https://doi.org/10.1177/0075424214531487" TargetMode="External" /><Relationship Type="http://schemas.openxmlformats.org/officeDocument/2006/relationships/hyperlink" Id="rId129" Target="https://doi.org/10.1371/journal.pone.0130834" TargetMode="External" /><Relationship Type="http://schemas.openxmlformats.org/officeDocument/2006/relationships/hyperlink" Id="rId131" Target="https://doi.org/10.3109/13682826809011440" TargetMode="External" /><Relationship Type="http://schemas.openxmlformats.org/officeDocument/2006/relationships/hyperlink" Id="rId110" Target="https://doi.org/10.3389/fpsyg.2015.00500" TargetMode="External" /><Relationship Type="http://schemas.openxmlformats.org/officeDocument/2006/relationships/hyperlink" Id="rId170" Target="https://doi.org/10.3758/BF03197491" TargetMode="External" /><Relationship Type="http://schemas.openxmlformats.org/officeDocument/2006/relationships/hyperlink" Id="rId138" Target="https://doi.org/10.3758/s13428-014-0532-5" TargetMode="External" /><Relationship Type="http://schemas.openxmlformats.org/officeDocument/2006/relationships/hyperlink" Id="rId136"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2" Target="http://CRAN.R-project.org/package=lme4" TargetMode="External" /><Relationship Type="http://schemas.openxmlformats.org/officeDocument/2006/relationships/hyperlink" Id="rId112" Target="http://dx.doi.org/10.3758/BF03207536" TargetMode="External" /><Relationship Type="http://schemas.openxmlformats.org/officeDocument/2006/relationships/hyperlink" Id="rId122" Target="http://www.jstor.org/stable/522229" TargetMode="External" /><Relationship Type="http://schemas.openxmlformats.org/officeDocument/2006/relationships/hyperlink" Id="rId141" Target="https://doi.org/10.1016/j.wocn.2011.10.002" TargetMode="External" /><Relationship Type="http://schemas.openxmlformats.org/officeDocument/2006/relationships/hyperlink" Id="rId96" Target="https://doi.org/10.1016/s0010-0277(00)00123-2" TargetMode="External" /><Relationship Type="http://schemas.openxmlformats.org/officeDocument/2006/relationships/hyperlink" Id="rId78" Target="https://doi.org/10.1017/S0954394521000089" TargetMode="External" /><Relationship Type="http://schemas.openxmlformats.org/officeDocument/2006/relationships/hyperlink" Id="rId91" Target="https://doi.org/10.1037/xlm0000137" TargetMode="External" /><Relationship Type="http://schemas.openxmlformats.org/officeDocument/2006/relationships/hyperlink" Id="rId164" Target="https://doi.org/10.1093/oxfordhb/9780199600472.001.0001" TargetMode="External" /><Relationship Type="http://schemas.openxmlformats.org/officeDocument/2006/relationships/hyperlink" Id="rId76" Target="https://doi.org/10.1121/1.5101933" TargetMode="External" /><Relationship Type="http://schemas.openxmlformats.org/officeDocument/2006/relationships/hyperlink" Id="rId133" Target="https://doi.org/10.1177/0075424214531487" TargetMode="External" /><Relationship Type="http://schemas.openxmlformats.org/officeDocument/2006/relationships/hyperlink" Id="rId129" Target="https://doi.org/10.1371/journal.pone.0130834" TargetMode="External" /><Relationship Type="http://schemas.openxmlformats.org/officeDocument/2006/relationships/hyperlink" Id="rId131" Target="https://doi.org/10.3109/13682826809011440" TargetMode="External" /><Relationship Type="http://schemas.openxmlformats.org/officeDocument/2006/relationships/hyperlink" Id="rId110" Target="https://doi.org/10.3389/fpsyg.2015.00500" TargetMode="External" /><Relationship Type="http://schemas.openxmlformats.org/officeDocument/2006/relationships/hyperlink" Id="rId170" Target="https://doi.org/10.3758/BF03197491" TargetMode="External" /><Relationship Type="http://schemas.openxmlformats.org/officeDocument/2006/relationships/hyperlink" Id="rId138" Target="https://doi.org/10.3758/s13428-014-0532-5" TargetMode="External" /><Relationship Type="http://schemas.openxmlformats.org/officeDocument/2006/relationships/hyperlink" Id="rId136"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gender, inverted matched guise, sociophonetic perception</cp:keywords>
  <dcterms:created xsi:type="dcterms:W3CDTF">2024-10-29T03:44:47Z</dcterms:created>
  <dcterms:modified xsi:type="dcterms:W3CDTF">2024-10-29T03:44:47Z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2024-10-29</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