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2024-12-11</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however, little consensus around the extent to which language users are aware of, and can control, these fine gradations of social meaning in production and perception. There are even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w:t>
      </w:r>
      <w:r>
        <w:t xml:space="preserve"> </w:t>
      </w:r>
      <w:r>
        <w:t xml:space="preserve">(Babel, Campbell-Kibler, and McGowan, this issue)</w:t>
      </w:r>
      <w:r>
        <w:t xml:space="preserve"> </w:t>
      </w:r>
      <w:r>
        <w:t xml:space="preserve">and to serve as a two-way bridge between researchers working primarily in segmental speech perception and word recognition to researchers working primarily in sociolinguistics, linguistic anthropology, and social psychology.</w:t>
      </w:r>
    </w:p>
    <w:bookmarkStart w:id="21" w:name="sec-background"/>
    <w:p>
      <w:pPr>
        <w:pStyle w:val="Heading2"/>
      </w:pPr>
      <w:r>
        <w:t xml:space="preserve">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Here we owe much of our general conceptualization of</w:t>
      </w:r>
      <w:r>
        <w:t xml:space="preserve"> </w:t>
      </w:r>
      <w:r>
        <w:t xml:space="preserve">‘control’</w:t>
      </w:r>
      <w:r>
        <w:t xml:space="preserve"> </w:t>
      </w:r>
      <w:r>
        <w:t xml:space="preserve">to Babel (this issue)</w:t>
      </w:r>
      <w:r>
        <w:t xml:space="preserve">‘s application of the semiotic role of the interpretant</w:t>
      </w:r>
      <w:r>
        <w:t xml:space="preserve"> </w:t>
      </w:r>
      <w:r>
        <w:t xml:space="preserve">(Peirce 1955)</w:t>
      </w:r>
      <w:r>
        <w:t xml:space="preserve"> </w:t>
      </w:r>
      <w:r>
        <w:t xml:space="preserve">in perception and Preston’s</w:t>
      </w:r>
      <w:r>
        <w:t xml:space="preserve"> </w:t>
      </w:r>
      <w:r>
        <w:t xml:space="preserve">(1996, 2016)</w:t>
      </w:r>
      <w:r>
        <w:t xml:space="preserve"> </w:t>
      </w:r>
      <w:r>
        <w:t xml:space="preserve">four modes of awareness. Underlying our hypothesis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Perception is often construed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Samoliński, Grzanka, and Gotlib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 Barrett and Hall 2024)</w:t>
      </w:r>
      <w:r>
        <w:t xml:space="preserve">. The creation and use of stimuli that are rated as highly gender-prototypical by a large group of listeners maximizes the probability that a perception experiment will find an interpretable result.</w:t>
      </w:r>
    </w:p>
    <w:p>
      <w:pPr>
        <w:pStyle w:val="BodyText"/>
      </w:pPr>
      <w:r>
        <w:t xml:space="preserve">However, it can not be overemphasized that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Kuhn, and Filevich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2"/>
    <w:bookmarkStart w:id="43"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Maechler, and Bolker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and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and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Strand, and D’Imperio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this issue)</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ofperceptual processing.</w:t>
      </w:r>
    </w:p>
    <w:p>
      <w:pPr>
        <w:pStyle w:val="BodyText"/>
      </w:pP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Our prediction that incongruity between face and voice would slow listener judgments was not supported. It is tempting to interpret this as evidence that, unlike misleading coarticulatory information, listeners are aware of the diversity of gender expression, but this is not a question the current study can resolve.</w:t>
      </w:r>
    </w:p>
    <w:bookmarkEnd w:id="67"/>
    <w:bookmarkStart w:id="197" w:name="sec-references"/>
    <w:p>
      <w:pPr>
        <w:pStyle w:val="Heading1"/>
      </w:pPr>
      <w:r>
        <w:t xml:space="preserve">References</w:t>
      </w:r>
    </w:p>
    <w:bookmarkStart w:id="196"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3"/>
    <w:bookmarkStart w:id="75"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4">
        <w:r>
          <w:rPr>
            <w:rStyle w:val="Hyperlink"/>
          </w:rPr>
          <w:t xml:space="preserve">http://CRAN.R-project.org/package=lme4</w:t>
        </w:r>
      </w:hyperlink>
      <w:r>
        <w:t xml:space="preserve">.</w:t>
      </w:r>
    </w:p>
    <w:bookmarkEnd w:id="75"/>
    <w:bookmarkStart w:id="76"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6"/>
    <w:bookmarkStart w:id="77"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7"/>
    <w:bookmarkStart w:id="79"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8">
        <w:r>
          <w:rPr>
            <w:rStyle w:val="Hyperlink"/>
          </w:rPr>
          <w:t xml:space="preserve">https://doi.org/10.1121/1.5101933</w:t>
        </w:r>
      </w:hyperlink>
      <w:r>
        <w:t xml:space="preserve">.</w:t>
      </w:r>
    </w:p>
    <w:bookmarkEnd w:id="79"/>
    <w:bookmarkStart w:id="80"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0"/>
    <w:bookmarkStart w:id="81"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1"/>
    <w:bookmarkStart w:id="82"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2"/>
    <w:bookmarkStart w:id="83"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3"/>
    <w:bookmarkStart w:id="84"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4"/>
    <w:bookmarkStart w:id="85"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5"/>
    <w:bookmarkStart w:id="86"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6"/>
    <w:bookmarkStart w:id="87"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7"/>
    <w:bookmarkStart w:id="88"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8"/>
    <w:bookmarkStart w:id="90"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89">
        <w:r>
          <w:rPr>
            <w:rStyle w:val="Hyperlink"/>
          </w:rPr>
          <w:t xml:space="preserve">https://doi.org/10.4324/9781315514857-5</w:t>
        </w:r>
      </w:hyperlink>
      <w:r>
        <w:t xml:space="preserve">.</w:t>
      </w:r>
    </w:p>
    <w:bookmarkEnd w:id="90"/>
    <w:bookmarkStart w:id="91"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1"/>
    <w:bookmarkStart w:id="92"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2"/>
    <w:bookmarkStart w:id="94"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3">
        <w:r>
          <w:rPr>
            <w:rStyle w:val="Hyperlink"/>
          </w:rPr>
          <w:t xml:space="preserve">https://doi.org/10.1037/xlm0000137</w:t>
        </w:r>
      </w:hyperlink>
      <w:r>
        <w:t xml:space="preserve">.</w:t>
      </w:r>
    </w:p>
    <w:bookmarkEnd w:id="94"/>
    <w:bookmarkStart w:id="95"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5"/>
    <w:bookmarkStart w:id="96"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6"/>
    <w:bookmarkStart w:id="98" w:name="ref-donofrio2020"/>
    <w:p>
      <w:pPr>
        <w:pStyle w:val="Bibliography"/>
      </w:pPr>
      <w:r>
        <w:t xml:space="preserve">———. 2020.</w:t>
      </w:r>
      <w:r>
        <w:t xml:space="preserve"> </w:t>
      </w:r>
      <w:r>
        <w:t xml:space="preserve">“Personae in Sociolinguistic Variation.”</w:t>
      </w:r>
      <w:r>
        <w:t xml:space="preserve"> </w:t>
      </w:r>
      <w:r>
        <w:rPr>
          <w:i/>
          <w:iCs/>
        </w:rPr>
        <w:t xml:space="preserve">WIREs Cognitive Science</w:t>
      </w:r>
      <w:r>
        <w:t xml:space="preserve"> </w:t>
      </w:r>
      <w:r>
        <w:t xml:space="preserve">11 (6): e1543.</w:t>
      </w:r>
      <w:r>
        <w:t xml:space="preserve"> </w:t>
      </w:r>
      <w:hyperlink r:id="rId97">
        <w:r>
          <w:rPr>
            <w:rStyle w:val="Hyperlink"/>
          </w:rPr>
          <w:t xml:space="preserve">https://doi.org/10.1002/wcs.1543</w:t>
        </w:r>
      </w:hyperlink>
      <w:r>
        <w:t xml:space="preserve">.</w:t>
      </w:r>
    </w:p>
    <w:bookmarkEnd w:id="98"/>
    <w:bookmarkStart w:id="99"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9"/>
    <w:bookmarkStart w:id="10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0"/>
    <w:bookmarkStart w:id="10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1">
        <w:r>
          <w:rPr>
            <w:rStyle w:val="Hyperlink"/>
          </w:rPr>
          <w:t xml:space="preserve">https://doi.org/10.1016/s0010-0277(00)00123-2</w:t>
        </w:r>
      </w:hyperlink>
      <w:r>
        <w:t xml:space="preserve">.</w:t>
      </w:r>
    </w:p>
    <w:bookmarkEnd w:id="102"/>
    <w:bookmarkStart w:id="103"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3"/>
    <w:bookmarkStart w:id="104"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4"/>
    <w:bookmarkStart w:id="105"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6"/>
    <w:bookmarkStart w:id="107" w:name="ref-eckert2012"/>
    <w:p>
      <w:pPr>
        <w:pStyle w:val="Bibliography"/>
      </w:pPr>
      <w:r>
        <w:t xml:space="preserve">Eckert, Penelope.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6">
        <w:r>
          <w:rPr>
            <w:rStyle w:val="Hyperlink"/>
          </w:rPr>
          <w:t xml:space="preserve">https://doi.org/10.3758/s13428-014-0532-5</w:t>
        </w:r>
      </w:hyperlink>
      <w:r>
        <w:t xml:space="preserve">.</w:t>
      </w:r>
    </w:p>
    <w:bookmarkEnd w:id="147"/>
    <w:bookmarkStart w:id="148"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48"/>
    <w:bookmarkStart w:id="150"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9">
        <w:r>
          <w:rPr>
            <w:rStyle w:val="Hyperlink"/>
          </w:rPr>
          <w:t xml:space="preserve">https://doi.org/10.1016/j.wocn.2011.10.002</w:t>
        </w:r>
      </w:hyperlink>
      <w:r>
        <w:t xml:space="preserve">.</w:t>
      </w:r>
    </w:p>
    <w:bookmarkEnd w:id="150"/>
    <w:bookmarkStart w:id="151"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1"/>
    <w:bookmarkStart w:id="152"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2"/>
    <w:bookmarkStart w:id="153"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3"/>
    <w:bookmarkStart w:id="154"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4"/>
    <w:bookmarkStart w:id="155"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5"/>
    <w:bookmarkStart w:id="156"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6"/>
    <w:bookmarkStart w:id="157"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7"/>
    <w:bookmarkStart w:id="158"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58"/>
    <w:bookmarkStart w:id="159"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9"/>
    <w:bookmarkStart w:id="160"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0"/>
    <w:bookmarkStart w:id="161"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1"/>
    <w:bookmarkStart w:id="162"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2"/>
    <w:bookmarkStart w:id="163"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3"/>
    <w:bookmarkStart w:id="164"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4"/>
    <w:bookmarkStart w:id="165" w:name="ref-peirce1955"/>
    <w:p>
      <w:pPr>
        <w:pStyle w:val="Bibliography"/>
      </w:pPr>
      <w:r>
        <w:t xml:space="preserve">Peirce, Charles Sanders. 1955.</w:t>
      </w:r>
      <w:r>
        <w:t xml:space="preserve"> </w:t>
      </w:r>
      <w:r>
        <w:rPr>
          <w:i/>
          <w:iCs/>
        </w:rPr>
        <w:t xml:space="preserve">Philosophical Writings of Peirce</w:t>
      </w:r>
      <w:r>
        <w:t xml:space="preserve">. Dover Publications.</w:t>
      </w:r>
    </w:p>
    <w:bookmarkEnd w:id="165"/>
    <w:bookmarkStart w:id="166"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6"/>
    <w:bookmarkStart w:id="167"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7"/>
    <w:bookmarkStart w:id="168"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8"/>
    <w:bookmarkStart w:id="169"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69"/>
    <w:bookmarkStart w:id="170"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0"/>
    <w:bookmarkStart w:id="171"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1"/>
    <w:bookmarkStart w:id="172"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2"/>
    <w:bookmarkStart w:id="174"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3">
        <w:r>
          <w:rPr>
            <w:rStyle w:val="Hyperlink"/>
          </w:rPr>
          <w:t xml:space="preserve">https://doi.org/10.1093/oxfordhb/9780199600472.001.0001</w:t>
        </w:r>
      </w:hyperlink>
      <w:r>
        <w:t xml:space="preserve">.</w:t>
      </w:r>
    </w:p>
    <w:bookmarkEnd w:id="174"/>
    <w:bookmarkStart w:id="175"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5"/>
    <w:bookmarkStart w:id="176"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6"/>
    <w:bookmarkStart w:id="177"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7"/>
    <w:bookmarkStart w:id="178"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8"/>
    <w:bookmarkStart w:id="179"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79"/>
    <w:bookmarkStart w:id="181"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0">
        <w:r>
          <w:rPr>
            <w:rStyle w:val="Hyperlink"/>
          </w:rPr>
          <w:t xml:space="preserve">https://doi.org/10.3758/BF03197491</w:t>
        </w:r>
      </w:hyperlink>
      <w:r>
        <w:t xml:space="preserve">.</w:t>
      </w:r>
    </w:p>
    <w:bookmarkEnd w:id="181"/>
    <w:bookmarkStart w:id="182"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2"/>
    <w:bookmarkStart w:id="183"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3"/>
    <w:bookmarkStart w:id="184"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4"/>
    <w:bookmarkStart w:id="185"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5"/>
    <w:bookmarkStart w:id="186"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6"/>
    <w:bookmarkStart w:id="187"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7"/>
    <w:bookmarkStart w:id="188"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8"/>
    <w:bookmarkStart w:id="189"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89"/>
    <w:bookmarkStart w:id="190"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0"/>
    <w:bookmarkStart w:id="191"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1"/>
    <w:bookmarkStart w:id="192"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2"/>
    <w:bookmarkStart w:id="193"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3"/>
    <w:bookmarkStart w:id="194"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4"/>
    <w:bookmarkStart w:id="195"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5"/>
    <w:bookmarkEnd w:id="196"/>
    <w:bookmarkEnd w:id="197"/>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4"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97" Target="https://doi.org/10.1002/wcs.1543" TargetMode="External" /><Relationship Type="http://schemas.openxmlformats.org/officeDocument/2006/relationships/hyperlink" Id="rId149"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93"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6" Target="https://doi.org/10.3758/s13428-014-0532-5" TargetMode="External" /><Relationship Type="http://schemas.openxmlformats.org/officeDocument/2006/relationships/hyperlink" Id="rId89" Target="https://doi.org/10.4324/9781315514857-5" TargetMode="External" /></Relationships>
</file>

<file path=word/_rels/footnotes.xml.rels><?xml version="1.0" encoding="UTF-8"?><Relationships xmlns="http://schemas.openxmlformats.org/package/2006/relationships"><Relationship Type="http://schemas.openxmlformats.org/officeDocument/2006/relationships/hyperlink" Id="rId74"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97" Target="https://doi.org/10.1002/wcs.1543" TargetMode="External" /><Relationship Type="http://schemas.openxmlformats.org/officeDocument/2006/relationships/hyperlink" Id="rId149" Target="https://doi.org/10.1016/j.wocn.2011.10.002" TargetMode="External" /><Relationship Type="http://schemas.openxmlformats.org/officeDocument/2006/relationships/hyperlink" Id="rId101" Target="https://doi.org/10.1016/s0010-0277(00)00123-2" TargetMode="External" /><Relationship Type="http://schemas.openxmlformats.org/officeDocument/2006/relationships/hyperlink" Id="rId93" Target="https://doi.org/10.1037/xlm0000137" TargetMode="External" /><Relationship Type="http://schemas.openxmlformats.org/officeDocument/2006/relationships/hyperlink" Id="rId173" Target="https://doi.org/10.1093/oxfordhb/9780199600472.001.0001" TargetMode="External" /><Relationship Type="http://schemas.openxmlformats.org/officeDocument/2006/relationships/hyperlink" Id="rId78"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0" Target="https://doi.org/10.3758/BF03197491" TargetMode="External" /><Relationship Type="http://schemas.openxmlformats.org/officeDocument/2006/relationships/hyperlink" Id="rId146" Target="https://doi.org/10.3758/s13428-014-0532-5" TargetMode="External" /><Relationship Type="http://schemas.openxmlformats.org/officeDocument/2006/relationships/hyperlink" Id="rId89" Target="https://doi.org/10.4324/978131551485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2024-12-11T01:45:37Z</dcterms:created>
  <dcterms:modified xsi:type="dcterms:W3CDTF">2024-12-11T01:45:37Z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2024-12-11</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