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the primary contribution of this paper will be to build on the general framing provided by</w:t>
      </w:r>
      <w:r>
        <w:t xml:space="preserve"> </w:t>
      </w:r>
      <w:r>
        <w:t xml:space="preserve">(Babel, Campbell-Kibler, and McGowan, this issue)</w:t>
      </w:r>
      <w:r>
        <w:t xml:space="preserve"> </w:t>
      </w:r>
      <w:r>
        <w:t xml:space="preserve">and to serve as a bridge between researchers working primarily in speech perception and word recognition to researchers working primarily in sociolinguistics, linguistic anthropology, and social psychology.</w:t>
      </w:r>
    </w:p>
    <w:bookmarkStart w:id="21" w:name="Xe84f8d5f7c9f6a76e2489ff3b8232c1fa08bda5"/>
    <w:p>
      <w:pPr>
        <w:pStyle w:val="Heading2"/>
      </w:pPr>
      <w:r>
        <w:t xml:space="preserve">Awareness &amp; Control in Speech Production and Perception</w:t>
      </w:r>
    </w:p>
    <w:p>
      <w:pPr>
        <w:pStyle w:val="FirstParagraph"/>
      </w:pPr>
      <w:r>
        <w:t xml:space="preserve">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2024-12-08T20:09:17Z</dcterms:created>
  <dcterms:modified xsi:type="dcterms:W3CDTF">2024-12-08T20:09:17Z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