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(Nancy 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ub-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In part,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 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inverse MGT to test listeners’ segmental perceptions of an [ʃ]-[s] fricative continuum under both different guise and different awareness conditions.</w:t>
      </w:r>
    </w:p>
    <w:bookmarkEnd w:id="21"/>
    <w:bookmarkStart w:id="22" w:name="sub-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ub-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the result of not purely vocal tract biology but also gestural coordination and performance. Small differences that may once have been attributable purely to sex differences become available as the semiotic building blocks of gender identity. People who identify as male or female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w:t>
      </w:r>
      <w:r>
        <w:t xml:space="preserve"> </w:t>
      </w:r>
      <w:r>
        <w:t xml:space="preserve">don’t perform adult-like vowel formant patterns because they were born tiny men and women, children perform adult-like vowel formant patterns because they identify as a gender and are using the cultural and linguistic resources available to communicate that gender to others. Humans are meaning-making agents, not deterministically resonating acoustic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ub-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ub-stimuli"/>
    <w:p>
      <w:pPr>
        <w:pStyle w:val="Heading2"/>
      </w:pPr>
      <w:r>
        <w:t xml:space="preserve">Stimulus Materials</w:t>
      </w:r>
    </w:p>
    <w:bookmarkStart w:id="30" w:name="sub-stimuli-auditory"/>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sub-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ub-stimuli-visual"/>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ub-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ub-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ub-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ub-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sub-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ub-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ub-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3" w:name="sec-references"/>
    <w:p>
      <w:pPr>
        <w:pStyle w:val="Heading1"/>
      </w:pPr>
      <w:r>
        <w:t xml:space="preserve">References</w:t>
      </w:r>
    </w:p>
    <w:bookmarkStart w:id="182"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4"/>
    <w:bookmarkStart w:id="85"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5"/>
    <w:bookmarkStart w:id="86"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6"/>
    <w:bookmarkStart w:id="87"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7"/>
    <w:bookmarkStart w:id="88"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8"/>
    <w:bookmarkStart w:id="89"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9"/>
    <w:bookmarkStart w:id="91"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0">
        <w:r>
          <w:rPr>
            <w:rStyle w:val="Hyperlink"/>
          </w:rPr>
          <w:t xml:space="preserve">https://doi.org/10.1037/xlm0000137</w:t>
        </w:r>
      </w:hyperlink>
      <w:r>
        <w:t xml:space="preserve">.</w:t>
      </w:r>
    </w:p>
    <w:bookmarkEnd w:id="91"/>
    <w:bookmarkStart w:id="92"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2"/>
    <w:bookmarkStart w:id="93"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3"/>
    <w:bookmarkStart w:id="9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4"/>
    <w:bookmarkStart w:id="96"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5">
        <w:r>
          <w:rPr>
            <w:rStyle w:val="Hyperlink"/>
          </w:rPr>
          <w:t xml:space="preserve">https://doi.org/10.1016/s0010-0277(00)00123-2</w:t>
        </w:r>
      </w:hyperlink>
      <w:r>
        <w:t xml:space="preserve">.</w:t>
      </w:r>
    </w:p>
    <w:bookmarkEnd w:id="96"/>
    <w:bookmarkStart w:id="97"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7"/>
    <w:bookmarkStart w:id="98"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8"/>
    <w:bookmarkStart w:id="99"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9"/>
    <w:bookmarkStart w:id="10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0"/>
    <w:bookmarkStart w:id="10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1"/>
    <w:bookmarkStart w:id="10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2"/>
    <w:bookmarkStart w:id="10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3"/>
    <w:bookmarkStart w:id="10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4"/>
    <w:bookmarkStart w:id="10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5"/>
    <w:bookmarkStart w:id="10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6"/>
    <w:bookmarkStart w:id="10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7"/>
    <w:bookmarkStart w:id="10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8"/>
    <w:bookmarkStart w:id="11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9">
        <w:r>
          <w:rPr>
            <w:rStyle w:val="Hyperlink"/>
          </w:rPr>
          <w:t xml:space="preserve">https://doi.org/10.3389/fpsyg.2015.00500</w:t>
        </w:r>
      </w:hyperlink>
      <w:r>
        <w:t xml:space="preserve">.</w:t>
      </w:r>
    </w:p>
    <w:bookmarkEnd w:id="110"/>
    <w:bookmarkStart w:id="11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1">
        <w:r>
          <w:rPr>
            <w:rStyle w:val="Hyperlink"/>
          </w:rPr>
          <w:t xml:space="preserve">http://dx.doi.org/10.3758/BF03207536</w:t>
        </w:r>
      </w:hyperlink>
      <w:r>
        <w:t xml:space="preserve">.</w:t>
      </w:r>
    </w:p>
    <w:bookmarkEnd w:id="112"/>
    <w:bookmarkStart w:id="11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3"/>
    <w:bookmarkStart w:id="11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4"/>
    <w:bookmarkStart w:id="11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5"/>
    <w:bookmarkStart w:id="11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6"/>
    <w:bookmarkStart w:id="11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7"/>
    <w:bookmarkStart w:id="11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8"/>
    <w:bookmarkStart w:id="11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9"/>
    <w:bookmarkStart w:id="12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0"/>
    <w:bookmarkStart w:id="12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1">
        <w:r>
          <w:rPr>
            <w:rStyle w:val="Hyperlink"/>
          </w:rPr>
          <w:t xml:space="preserve">http://www.jstor.org/stable/522229</w:t>
        </w:r>
      </w:hyperlink>
      <w:r>
        <w:t xml:space="preserve">.</w:t>
      </w:r>
    </w:p>
    <w:bookmarkEnd w:id="122"/>
    <w:bookmarkStart w:id="12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3"/>
    <w:bookmarkStart w:id="12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4"/>
    <w:bookmarkStart w:id="12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5"/>
    <w:bookmarkStart w:id="12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6"/>
    <w:bookmarkStart w:id="12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7"/>
    <w:bookmarkStart w:id="12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8">
        <w:r>
          <w:rPr>
            <w:rStyle w:val="Hyperlink"/>
          </w:rPr>
          <w:t xml:space="preserve">https://doi.org/10.1371/journal.pone.0130834</w:t>
        </w:r>
      </w:hyperlink>
      <w:r>
        <w:t xml:space="preserve">.</w:t>
      </w:r>
    </w:p>
    <w:bookmarkEnd w:id="129"/>
    <w:bookmarkStart w:id="13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0">
        <w:r>
          <w:rPr>
            <w:rStyle w:val="Hyperlink"/>
          </w:rPr>
          <w:t xml:space="preserve">https://doi.org/10.3109/13682826809011440</w:t>
        </w:r>
      </w:hyperlink>
      <w:r>
        <w:t xml:space="preserve">.</w:t>
      </w:r>
    </w:p>
    <w:bookmarkEnd w:id="131"/>
    <w:bookmarkStart w:id="13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2">
        <w:r>
          <w:rPr>
            <w:rStyle w:val="Hyperlink"/>
          </w:rPr>
          <w:t xml:space="preserve">https://doi.org/10.1177/0075424214531487</w:t>
        </w:r>
      </w:hyperlink>
      <w:r>
        <w:t xml:space="preserve">.</w:t>
      </w:r>
    </w:p>
    <w:bookmarkEnd w:id="133"/>
    <w:bookmarkStart w:id="13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4"/>
    <w:bookmarkStart w:id="136" w:name="ref-imagemagick"/>
    <w:p>
      <w:pPr>
        <w:pStyle w:val="Bibliography"/>
      </w:pPr>
      <w:r>
        <w:t xml:space="preserve">LLC, ImageMagick Studio. 2023.</w:t>
      </w:r>
      <w:r>
        <w:t xml:space="preserve"> </w:t>
      </w:r>
      <w:r>
        <w:t xml:space="preserve">“ImageMagick.”</w:t>
      </w:r>
      <w:r>
        <w:t xml:space="preserve"> </w:t>
      </w:r>
      <w:hyperlink r:id="rId135">
        <w:r>
          <w:rPr>
            <w:rStyle w:val="Hyperlink"/>
          </w:rPr>
          <w:t xml:space="preserve">https://imagemagick.org</w:t>
        </w:r>
      </w:hyperlink>
      <w:r>
        <w:t xml:space="preserve">.</w:t>
      </w:r>
    </w:p>
    <w:bookmarkEnd w:id="136"/>
    <w:bookmarkStart w:id="13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7">
        <w:r>
          <w:rPr>
            <w:rStyle w:val="Hyperlink"/>
          </w:rPr>
          <w:t xml:space="preserve">https://doi.org/10.3758/s13428-014-0532-5</w:t>
        </w:r>
      </w:hyperlink>
      <w:r>
        <w:t xml:space="preserve">.</w:t>
      </w:r>
    </w:p>
    <w:bookmarkEnd w:id="138"/>
    <w:bookmarkStart w:id="13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9"/>
    <w:bookmarkStart w:id="14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0">
        <w:r>
          <w:rPr>
            <w:rStyle w:val="Hyperlink"/>
          </w:rPr>
          <w:t xml:space="preserve">https://doi.org/10.1016/j.wocn.2011.10.002</w:t>
        </w:r>
      </w:hyperlink>
      <w:r>
        <w:t xml:space="preserve">.</w:t>
      </w:r>
    </w:p>
    <w:bookmarkEnd w:id="141"/>
    <w:bookmarkStart w:id="14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2"/>
    <w:bookmarkStart w:id="14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3"/>
    <w:bookmarkStart w:id="14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4"/>
    <w:bookmarkStart w:id="14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5"/>
    <w:bookmarkStart w:id="14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6"/>
    <w:bookmarkStart w:id="14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7"/>
    <w:bookmarkStart w:id="14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8"/>
    <w:bookmarkStart w:id="14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9"/>
    <w:bookmarkStart w:id="15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0"/>
    <w:bookmarkStart w:id="15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1"/>
    <w:bookmarkStart w:id="152"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2"/>
    <w:bookmarkStart w:id="153"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3"/>
    <w:bookmarkStart w:id="15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4"/>
    <w:bookmarkStart w:id="155"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5"/>
    <w:bookmarkStart w:id="156"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6"/>
    <w:bookmarkStart w:id="157"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7"/>
    <w:bookmarkStart w:id="158"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58"/>
    <w:bookmarkStart w:id="15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9"/>
    <w:bookmarkStart w:id="16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0"/>
    <w:bookmarkStart w:id="16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1"/>
    <w:bookmarkStart w:id="16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2">
        <w:r>
          <w:rPr>
            <w:rStyle w:val="Hyperlink"/>
          </w:rPr>
          <w:t xml:space="preserve">https://doi.org/10.1093/oxfordhb/9780199600472.001.0001</w:t>
        </w:r>
      </w:hyperlink>
      <w:r>
        <w:t xml:space="preserve">.</w:t>
      </w:r>
    </w:p>
    <w:bookmarkEnd w:id="163"/>
    <w:bookmarkStart w:id="16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4"/>
    <w:bookmarkStart w:id="16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5"/>
    <w:bookmarkStart w:id="16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6"/>
    <w:bookmarkStart w:id="167"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7"/>
    <w:bookmarkStart w:id="169"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8">
        <w:r>
          <w:rPr>
            <w:rStyle w:val="Hyperlink"/>
          </w:rPr>
          <w:t xml:space="preserve">https://doi.org/10.3758/BF03197491</w:t>
        </w:r>
      </w:hyperlink>
      <w:r>
        <w:t xml:space="preserve">.</w:t>
      </w:r>
    </w:p>
    <w:bookmarkEnd w:id="169"/>
    <w:bookmarkStart w:id="170"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0"/>
    <w:bookmarkStart w:id="171"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1"/>
    <w:bookmarkStart w:id="17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2"/>
    <w:bookmarkStart w:id="17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3"/>
    <w:bookmarkStart w:id="17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4"/>
    <w:bookmarkStart w:id="17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5"/>
    <w:bookmarkStart w:id="17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6"/>
    <w:bookmarkStart w:id="177"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7"/>
    <w:bookmarkStart w:id="17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8"/>
    <w:bookmarkStart w:id="17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9"/>
    <w:bookmarkStart w:id="18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0"/>
    <w:bookmarkStart w:id="18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2024-10-28T16:54:24Z</dcterms:created>
  <dcterms:modified xsi:type="dcterms:W3CDTF">2024-10-28T16:54:24Z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