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58.png" ContentType="image/png"/>
  <Override PartName="/word/media/rId53.png" ContentType="image/png"/>
  <Override PartName="/word/media/rId31.jpg" ContentType="image/jpe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2024-10-26</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3"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talkers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et al.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2012a; Calder 2018)</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Bakhtin 1981)</w:t>
      </w:r>
      <w:r>
        <w:t xml:space="preserve">. The cognitive reality of this tripartite relationship between the concepts of gender identities and instances of fine phonetic detail is essential for the performance of those identities. This observation holds regardless of talker and listener awareness. This observation remains true even if what the listener believes about the talker is false; a monolingual American listener might expect a Beijing voice to be non-rhotic</w:t>
      </w:r>
      <w:r>
        <w:t xml:space="preserve"> </w:t>
      </w:r>
      <w:r>
        <w:t xml:space="preserve">(McGowan 2016)</w:t>
      </w:r>
      <w:r>
        <w:t xml:space="preserve"> </w:t>
      </w:r>
      <w:r>
        <w:t xml:space="preserve">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The concept of control, in perception,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 Preston’s</w:t>
      </w:r>
      <w:r>
        <w:t xml:space="preserve"> </w:t>
      </w:r>
      <w:r>
        <w:t xml:space="preserve">(1996, 2016)</w:t>
      </w:r>
      <w:r>
        <w:t xml:space="preserve"> </w:t>
      </w:r>
      <w:r>
        <w:t xml:space="preserve">four modes of awareness but with the stipulation that the ability to</w:t>
      </w:r>
      <w:r>
        <w:t xml:space="preserve"> </w:t>
      </w:r>
      <w:r>
        <w:t xml:space="preserve">‘perform’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talker. Social meaning making occurs in interaction; a listener must be able to control, to link, the auditory cues of a performed gender identity to the cognitive representation of that identity just as much as a talker’s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perception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(McGowan and Babel 2020)</w:t>
      </w:r>
      <w:r>
        <w:t xml:space="preserve">. Researchers, typically working within the fields of segmental speech perception or word recognition have used perception to describe a kind of low-level, implicit, processing of sensory input</w:t>
      </w:r>
      <w:r>
        <w:t xml:space="preserve"> </w:t>
      </w:r>
      <w:r>
        <w:t xml:space="preserve">(see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w:t>
      </w:r>
      <w:r>
        <w:t xml:space="preserve"> </w:t>
      </w:r>
      <w:r>
        <w:t xml:space="preserve">Johnson (2006, 492–94)</w:t>
      </w:r>
      <w:r>
        <w:t xml:space="preserve"> </w:t>
      </w:r>
      <w:r>
        <w:t xml:space="preserve">proposes the word as the lowest level of linguistic experience that most language users typically have awareness of.</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(see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operate[^1 ]</w:t>
      </w:r>
      <w:r>
        <w:t xml:space="preserve">(Labov et al. 2011)</w:t>
      </w:r>
      <w:r>
        <w:t xml:space="preserve">. Importantly for the present study, this higher, evaluative level of perception is also the level for which the Matched Guise Technique (MGT) was originally developed.</w:t>
      </w:r>
    </w:p>
    <w:bookmarkStart w:id="20" w:name="sub-mgt"/>
    <w:p>
      <w:pPr>
        <w:pStyle w:val="Heading3"/>
      </w:pPr>
      <w:r>
        <w:t xml:space="preserve">Matched Guise: Perception, Evaluation, and Awareness</w:t>
      </w:r>
    </w:p>
    <w:p>
      <w:pPr>
        <w:pStyle w:val="FirstParagraph"/>
      </w:pPr>
      <w:r>
        <w:t xml:space="preserve">In their foundational use of the MGT, for example,</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 S 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earlier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talker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the reason that</w:t>
      </w:r>
      <w:r>
        <w:t xml:space="preserve"> </w:t>
      </w:r>
      <w:r>
        <w:t xml:space="preserve">(Babel this issue)</w:t>
      </w:r>
      <w:r>
        <w:t xml:space="preserve"> </w:t>
      </w:r>
      <w:r>
        <w:t xml:space="preserve">describes perception as a</w:t>
      </w:r>
      <w:r>
        <w:t xml:space="preserve"> </w:t>
      </w:r>
      <w:r>
        <w:t xml:space="preserve">“complex, multi-layered process”</w:t>
      </w:r>
      <w:r>
        <w:t xml:space="preserve">. 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Researchers looking to gain insight into these qualia and how they are formed need to try to understand … something XXX</w:t>
      </w:r>
    </w:p>
    <w:p>
      <w:pPr>
        <w:pStyle w:val="BodyText"/>
      </w:pPr>
      <w:r>
        <w:t xml:space="preserve">The Matched Guise technique has been deployed in numerous configurations but, at its core, the technique pairs a single linguistic signal: such as an identical talker</w:t>
      </w:r>
      <w:r>
        <w:t xml:space="preserve"> </w:t>
      </w:r>
      <w:r>
        <w:t xml:space="preserve">(Giles 1970)</w:t>
      </w:r>
      <w:r>
        <w:t xml:space="preserve">, identical recordings</w:t>
      </w:r>
      <w:r>
        <w:t xml:space="preserve"> </w:t>
      </w:r>
      <w:r>
        <w:t xml:space="preserve">(Niedzielski 1999)</w:t>
      </w:r>
      <w:r>
        <w:t xml:space="preserve">, identical texts with multiple talkers</w:t>
      </w:r>
      <w:r>
        <w:t xml:space="preserve"> </w:t>
      </w:r>
      <w:r>
        <w:t xml:space="preserve">(Milroy and McClenaghan 1977)</w:t>
      </w:r>
      <w:r>
        <w:t xml:space="preserve">, or some combination of these.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w:t>
      </w:r>
    </w:p>
    <w:p>
      <w:pPr>
        <w:pStyle w:val="BodyText"/>
      </w:pPr>
      <w:r>
        <w:t xml:space="preserve">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Rubin 1992)</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task has been adopted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methodological assumption that the connection of voice to social type is available to participants’ introspective awareness and therefore requires that listeners not become aware of the guise manipulation.</w:t>
      </w:r>
    </w:p>
    <w:p>
      <w:pPr>
        <w:pStyle w:val="BodyText"/>
      </w:pPr>
      <w:r>
        <w:t xml:space="preserve">However, the majority</w:t>
      </w:r>
      <w:r>
        <w:t xml:space="preserve"> </w:t>
      </w:r>
      <w:r>
        <w:t xml:space="preserve">of studies cannot speak to this lack of awareness during segmental</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p>
    <w:p>
      <w:pPr>
        <w:pStyle w:val="BodyText"/>
      </w:pPr>
      <w:r>
        <w:t xml:space="preserve">&lt;!– XXXXX</w:t>
      </w:r>
      <w:r>
        <w:t xml:space="preserve"> </w:t>
      </w:r>
      <w:r>
        <w:t xml:space="preserve">this goes in the conclusion now I think –kevin</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it is typically produced by holding the tongue tip near enough to the alveolar ridge to cause relatively high frequency turbulent airflow. English [ʃ] has a comparatively larger resonating chamber; it is typically produced with a more posterior, palato-alveolar tongue position which creates a larger resonating chamber between the place of articulation and the teeth, causing lower frequency noise than an [s] for the same talker. Concomittant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between-talker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between [ʃ] and [s] . These continua have endpoints in prototypical examples of [ʃ] and [s] with some number of acoustic steps spliced, synthesized, or even mixed between these. Near the middle of such a continuum will be a synthetic fricative that is ambiguous as to category membership: not clearly a [ʃ] and not clearly an [s].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teeth will have a higher mean frequency than larger resonating chambers. Listeners’ use of apparent vocal tract size in perception reflect their knowledge of this variation</w:t>
      </w:r>
      <w:r>
        <w:t xml:space="preserve"> </w:t>
      </w:r>
      <w:r>
        <w:t xml:space="preserve">(Munson 2011)</w:t>
      </w:r>
      <w:r>
        <w:t xml:space="preserve">.</w:t>
      </w:r>
    </w:p>
    <w:p>
      <w:pPr>
        <w:pStyle w:val="BodyText"/>
      </w:pPr>
      <w:r>
        <w:t xml:space="preserve">Previous research in sociophonetic perception has established that 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w:t>
      </w:r>
      <w:r>
        <w:t xml:space="preserve">such that, for example, fricative sounds consistent with a larger vocal tract are perceived as more masculine</w:t>
      </w:r>
      <w:r>
        <w:t xml:space="preserve"> </w:t>
      </w:r>
      <w:r>
        <w:t xml:space="preserve">(Bouavichith et al. 2019)</w:t>
      </w:r>
      <w:r>
        <w:t xml:space="preserve"> </w:t>
      </w:r>
      <w:r>
        <w:t xml:space="preserve">and, in tandem, believing that a talker identifies as male can lead listeners to perceive more [ʃ]-like sounds as [s]</w:t>
      </w:r>
      <w:r>
        <w:t xml:space="preserve"> </w:t>
      </w:r>
      <w:r>
        <w:t xml:space="preserve">(Strand and Johnson 1996; Munson 2011)</w:t>
      </w:r>
      <w:r>
        <w:t xml:space="preserve">.</w:t>
      </w:r>
    </w:p>
    <w:p>
      <w:pPr>
        <w:pStyle w:val="BodyText"/>
      </w:pPr>
      <w:r>
        <w:t xml:space="preserve">The goal of the present study is to take advantage of this sociophonetic trading relation in listeners’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knowledge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bookmarkEnd w:id="20"/>
    <w:bookmarkStart w:id="21" w:name="sec-coart-soc"/>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 May 1976)</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(Mann and Repp 1980; Kunisaki and Fujisaki 1977; Whalen 1981)</w:t>
      </w:r>
      <w:r>
        <w:t xml:space="preserve">.</w:t>
      </w:r>
      <w:r>
        <w:t xml:space="preserve"> </w:t>
      </w:r>
      <w:r>
        <w:t xml:space="preserve">Whalen (1984)</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(1980)</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(Ohala 1984)</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(1996)</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(1980)</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(1976)</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(1991a)</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(Whalen 1991)</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(Podesva and Kajino 2014; Mack and Munson 2012a)</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(Calder 2018)</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(1996)</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(Labov et al. 2011)</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1"/>
    <w:bookmarkStart w:id="22" w:name="sub-gender"/>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(Daniel et al. 2007; Samoliński, Grzanka, and Gotlib 2007)</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(Eckert and Podesva 2021)</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(Johnson 2005, 2006)</w:t>
      </w:r>
      <w:r>
        <w:t xml:space="preserve"> </w:t>
      </w:r>
      <w:r>
        <w:t xml:space="preserve">and the constellation of</w:t>
      </w:r>
      <w:r>
        <w:t xml:space="preserve"> </w:t>
      </w:r>
      <w:r>
        <w:t xml:space="preserve">meanings are socially-constructed in interaction</w:t>
      </w:r>
      <w:r>
        <w:t xml:space="preserve"> </w:t>
      </w:r>
      <w:r>
        <w:t xml:space="preserve">(Eckert 2008)</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(Käng 2013; Alpert 2014)</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(Boyd, Fruehwald, and Hall-Lew 2021)</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(1996)</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(Tripp and Munson 2022; Stecker and D’Onofrio, this issue)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(Bouavichith et al. 2019)</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(Campbell-Kibler 2021)</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2"/>
    <w:bookmarkEnd w:id="23"/>
    <w:bookmarkStart w:id="39" w:name="sec-method"/>
    <w:p>
      <w:pPr>
        <w:pStyle w:val="Heading1"/>
      </w:pPr>
      <w:r>
        <w:t xml:space="preserve">Method</w:t>
      </w:r>
    </w:p>
    <w:bookmarkStart w:id="24" w:name="sub-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4"/>
    <w:bookmarkStart w:id="30" w:name="sub-stimuli"/>
    <w:p>
      <w:pPr>
        <w:pStyle w:val="Heading2"/>
      </w:pPr>
      <w:r>
        <w:t xml:space="preserve">Stimulus Materials</w:t>
      </w:r>
    </w:p>
    <w:bookmarkStart w:id="29" w:name="sub-stimuli-auditory"/>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(Bouavichith et al. 2019)</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(Boersma 2001)</w:t>
      </w:r>
      <w:r>
        <w:t xml:space="preserve"> </w:t>
      </w:r>
      <w:r>
        <w:t xml:space="preserve">using parameters identical to</w:t>
      </w:r>
      <w:r>
        <w:t xml:space="preserve"> </w:t>
      </w:r>
      <w:r>
        <w:t xml:space="preserve">Munson (2011)</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(1996)</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 Wright 2023)</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8" w:name="fig-stimuli"/>
          <w:p>
            <w:pPr>
              <w:pStyle w:val="Compact"/>
              <w:jc w:val="center"/>
            </w:pPr>
            <w:r>
              <w:drawing>
                <wp:inline>
                  <wp:extent cx="4754880" cy="3361404"/>
                  <wp:effectExtent b="0" l="0" r="0" t="0"/>
                  <wp:docPr descr="" title="" id="26" name="Picture"/>
                  <a:graphic>
                    <a:graphicData uri="http://schemas.openxmlformats.org/drawingml/2006/picture">
                      <pic:pic>
                        <pic:nvPicPr>
                          <pic:cNvPr descr="images/figure1.png" id="27" name="Picture"/>
                          <pic:cNvPicPr>
                            <a:picLocks noChangeArrowheads="1" noChangeAspect="1"/>
                          </pic:cNvPicPr>
                        </pic:nvPicPr>
                        <pic:blipFill>
                          <a:blip r:embed="rId25"/>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bookmarkEnd w:id="28"/>
        </w:tc>
      </w:tr>
    </w:tbl>
    <w:bookmarkEnd w:id="29"/>
    <w:bookmarkEnd w:id="30"/>
    <w:bookmarkStart w:id="36" w:name="sub-stim-evals"/>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5" w:name="sub-stimuli-visual"/>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(Ma, Correll, and Wittenbrink 2015)</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(LLC 2023)</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tbl>
      <w:tblPr>
        <w:tblStyle w:val="Table"/>
        <w:tblW w:type="pct" w:w="5000"/>
        <w:tblLayout w:type="fixed"/>
        <w:tblLook w:firstRow="0" w:lastRow="0" w:firstColumn="0" w:lastColumn="0" w:noHBand="0" w:noVBand="0" w:val="0000"/>
      </w:tblPr>
      <w:tblGrid>
        <w:gridCol w:w="7920"/>
      </w:tblGrid>
      <w:tr>
        <w:tc>
          <w:tcPr/>
          <w:bookmarkStart w:id="34" w:name="fig-visual"/>
          <w:p>
            <w:pPr>
              <w:pStyle w:val="Compact"/>
              <w:jc w:val="center"/>
            </w:pPr>
            <w:r>
              <w:drawing>
                <wp:inline>
                  <wp:extent cx="4754880" cy="4754880"/>
                  <wp:effectExtent b="0" l="0" r="0" t="0"/>
                  <wp:docPr descr="" title="" id="32" name="Picture"/>
                  <a:graphic>
                    <a:graphicData uri="http://schemas.openxmlformats.org/drawingml/2006/picture">
                      <pic:pic>
                        <pic:nvPicPr>
                          <pic:cNvPr descr="images/facesanddrawings.jpg" id="33" name="Picture"/>
                          <pic:cNvPicPr>
                            <a:picLocks noChangeArrowheads="1" noChangeAspect="1"/>
                          </pic:cNvPicPr>
                        </pic:nvPicPr>
                        <pic:blipFill>
                          <a:blip r:embed="rId31"/>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4"/>
        </w:tc>
      </w:tr>
    </w:tbl>
    <w:bookmarkEnd w:id="35"/>
    <w:bookmarkEnd w:id="36"/>
    <w:bookmarkStart w:id="38" w:name="sub-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7"/>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8"/>
    <w:bookmarkEnd w:id="39"/>
    <w:bookmarkStart w:id="43" w:name="sec-predictions"/>
    <w:p>
      <w:pPr>
        <w:pStyle w:val="Heading1"/>
      </w:pPr>
      <w:r>
        <w:t xml:space="preserve">Predicted Results</w:t>
      </w:r>
    </w:p>
    <w:bookmarkStart w:id="40" w:name="sub-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0"/>
    <w:bookmarkStart w:id="41" w:name="sub-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1"/>
    <w:bookmarkStart w:id="42" w:name="sub-pred-guise"/>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2"/>
    <w:bookmarkEnd w:id="43"/>
    <w:bookmarkStart w:id="63" w:name="sec-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2" w:name="sub-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7" w:name="fig-scurve"/>
          <w:p>
            <w:pPr>
              <w:pStyle w:val="Compact"/>
              <w:jc w:val="center"/>
            </w:pPr>
            <w:r>
              <w:drawing>
                <wp:inline>
                  <wp:extent cx="4754880" cy="2937285"/>
                  <wp:effectExtent b="0" l="0" r="0" t="0"/>
                  <wp:docPr descr="" title="" id="45" name="Picture"/>
                  <a:graphic>
                    <a:graphicData uri="http://schemas.openxmlformats.org/drawingml/2006/picture">
                      <pic:pic>
                        <pic:nvPicPr>
                          <pic:cNvPr descr="images/Scurve.png" id="46" name="Picture"/>
                          <pic:cNvPicPr>
                            <a:picLocks noChangeArrowheads="1" noChangeAspect="1"/>
                          </pic:cNvPicPr>
                        </pic:nvPicPr>
                        <pic:blipFill>
                          <a:blip r:embed="rId44"/>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7"/>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1" w:name="fig-rimes"/>
          <w:p>
            <w:pPr>
              <w:pStyle w:val="Compact"/>
              <w:jc w:val="center"/>
            </w:pPr>
            <w:r>
              <w:drawing>
                <wp:inline>
                  <wp:extent cx="4754880" cy="2937285"/>
                  <wp:effectExtent b="0" l="0" r="0" t="0"/>
                  <wp:docPr descr="" title="" id="49" name="Picture"/>
                  <a:graphic>
                    <a:graphicData uri="http://schemas.openxmlformats.org/drawingml/2006/picture">
                      <pic:pic>
                        <pic:nvPicPr>
                          <pic:cNvPr descr="images/ambiguous-by-rime-step.png" id="50" name="Picture"/>
                          <pic:cNvPicPr>
                            <a:picLocks noChangeArrowheads="1" noChangeAspect="1"/>
                          </pic:cNvPicPr>
                        </pic:nvPicPr>
                        <pic:blipFill>
                          <a:blip r:embed="rId48"/>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1"/>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2"/>
    <w:bookmarkStart w:id="57" w:name="sub-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6" w:name="fig-coefs"/>
          <w:p>
            <w:pPr>
              <w:pStyle w:val="Compact"/>
              <w:jc w:val="center"/>
            </w:pPr>
            <w:r>
              <w:drawing>
                <wp:inline>
                  <wp:extent cx="4754880" cy="3169919"/>
                  <wp:effectExtent b="0" l="0" r="0" t="0"/>
                  <wp:docPr descr="" title="" id="54" name="Picture"/>
                  <a:graphic>
                    <a:graphicData uri="http://schemas.openxmlformats.org/drawingml/2006/picture">
                      <pic:pic>
                        <pic:nvPicPr>
                          <pic:cNvPr descr="images/coefs_instruction.png" id="55" name="Picture"/>
                          <pic:cNvPicPr>
                            <a:picLocks noChangeArrowheads="1" noChangeAspect="1"/>
                          </pic:cNvPicPr>
                        </pic:nvPicPr>
                        <pic:blipFill>
                          <a:blip r:embed="rId53"/>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6"/>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7"/>
    <w:bookmarkStart w:id="62" w:name="sub-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coefs-logRT"/>
          <w:p>
            <w:pPr>
              <w:pStyle w:val="Compact"/>
              <w:jc w:val="center"/>
            </w:pPr>
            <w:r>
              <w:drawing>
                <wp:inline>
                  <wp:extent cx="4754880" cy="3169919"/>
                  <wp:effectExtent b="0" l="0" r="0" t="0"/>
                  <wp:docPr descr="" title="" id="59" name="Picture"/>
                  <a:graphic>
                    <a:graphicData uri="http://schemas.openxmlformats.org/drawingml/2006/picture">
                      <pic:pic>
                        <pic:nvPicPr>
                          <pic:cNvPr descr="images/coefs-logRT_instructions.png" id="60" name="Picture"/>
                          <pic:cNvPicPr>
                            <a:picLocks noChangeArrowheads="1" noChangeAspect="1"/>
                          </pic:cNvPicPr>
                        </pic:nvPicPr>
                        <pic:blipFill>
                          <a:blip r:embed="rId58"/>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1"/>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2"/>
    <w:bookmarkEnd w:id="63"/>
    <w:bookmarkStart w:id="64"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(Niedzielski 1999; Hay, Nolan, and Drager 2006;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1991b)</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4"/>
    <w:bookmarkStart w:id="65"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End w:id="65"/>
    <w:bookmarkStart w:id="183" w:name="sec-references"/>
    <w:p>
      <w:pPr>
        <w:pStyle w:val="Heading1"/>
      </w:pPr>
      <w:r>
        <w:t xml:space="preserve">References</w:t>
      </w:r>
    </w:p>
    <w:bookmarkStart w:id="182" w:name="refs"/>
    <w:bookmarkStart w:id="66"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6"/>
    <w:bookmarkStart w:id="67"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7"/>
    <w:bookmarkStart w:id="68"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8"/>
    <w:bookmarkStart w:id="69"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69"/>
    <w:bookmarkStart w:id="70"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70"/>
    <w:bookmarkStart w:id="72"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1">
        <w:r>
          <w:rPr>
            <w:rStyle w:val="Hyperlink"/>
          </w:rPr>
          <w:t xml:space="preserve">http://CRAN.R-project.org/package=lme4</w:t>
        </w:r>
      </w:hyperlink>
      <w:r>
        <w:t xml:space="preserve">.</w:t>
      </w:r>
    </w:p>
    <w:bookmarkEnd w:id="72"/>
    <w:bookmarkStart w:id="73"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3"/>
    <w:bookmarkStart w:id="75"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4">
        <w:r>
          <w:rPr>
            <w:rStyle w:val="Hyperlink"/>
          </w:rPr>
          <w:t xml:space="preserve">https://doi.org/10.1121/1.5101933</w:t>
        </w:r>
      </w:hyperlink>
      <w:r>
        <w:t xml:space="preserve">.</w:t>
      </w:r>
    </w:p>
    <w:bookmarkEnd w:id="75"/>
    <w:bookmarkStart w:id="77"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6">
        <w:r>
          <w:rPr>
            <w:rStyle w:val="Hyperlink"/>
          </w:rPr>
          <w:t xml:space="preserve">https://doi.org/10.1017/S0954394521000089</w:t>
        </w:r>
      </w:hyperlink>
      <w:r>
        <w:t xml:space="preserve">.</w:t>
      </w:r>
    </w:p>
    <w:bookmarkEnd w:id="77"/>
    <w:bookmarkStart w:id="78"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8"/>
    <w:bookmarkStart w:id="79"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79"/>
    <w:bookmarkStart w:id="80"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0"/>
    <w:bookmarkStart w:id="81"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1"/>
    <w:bookmarkStart w:id="82"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2"/>
    <w:bookmarkStart w:id="83"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3"/>
    <w:bookmarkStart w:id="84"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4"/>
    <w:bookmarkStart w:id="85"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5"/>
    <w:bookmarkStart w:id="86"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6"/>
    <w:bookmarkStart w:id="87"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87"/>
    <w:bookmarkStart w:id="89"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88">
        <w:r>
          <w:rPr>
            <w:rStyle w:val="Hyperlink"/>
          </w:rPr>
          <w:t xml:space="preserve">https://doi.org/10.1037/xlm0000137</w:t>
        </w:r>
      </w:hyperlink>
      <w:r>
        <w:t xml:space="preserve">.</w:t>
      </w:r>
    </w:p>
    <w:bookmarkEnd w:id="89"/>
    <w:bookmarkStart w:id="90"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0"/>
    <w:bookmarkStart w:id="91"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1"/>
    <w:bookmarkStart w:id="93"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92">
        <w:r>
          <w:rPr>
            <w:rStyle w:val="Hyperlink"/>
          </w:rPr>
          <w:t xml:space="preserve">https://doi.org/10.1016/s0010-0277(00)00123-2</w:t>
        </w:r>
      </w:hyperlink>
      <w:r>
        <w:t xml:space="preserve">.</w:t>
      </w:r>
    </w:p>
    <w:bookmarkEnd w:id="93"/>
    <w:bookmarkStart w:id="94"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94"/>
    <w:bookmarkStart w:id="95"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95"/>
    <w:bookmarkStart w:id="96"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96"/>
    <w:bookmarkStart w:id="97"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97"/>
    <w:bookmarkStart w:id="98"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98"/>
    <w:bookmarkStart w:id="99"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99"/>
    <w:bookmarkStart w:id="100"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00"/>
    <w:bookmarkStart w:id="101"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01"/>
    <w:bookmarkStart w:id="102"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02"/>
    <w:bookmarkStart w:id="103"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03"/>
    <w:bookmarkStart w:id="104"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04"/>
    <w:bookmarkStart w:id="105"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05"/>
    <w:bookmarkStart w:id="107"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06">
        <w:r>
          <w:rPr>
            <w:rStyle w:val="Hyperlink"/>
          </w:rPr>
          <w:t xml:space="preserve">https://doi.org/10.3389/fpsyg.2015.00500</w:t>
        </w:r>
      </w:hyperlink>
      <w:r>
        <w:t xml:space="preserve">.</w:t>
      </w:r>
    </w:p>
    <w:bookmarkEnd w:id="107"/>
    <w:bookmarkStart w:id="109" w:name="ref-GreenEtAl1991"/>
    <w:p>
      <w:pPr>
        <w:pStyle w:val="Bibliography"/>
      </w:pPr>
      <w:r>
        <w:t xml:space="preserve">Green, Kerry, Patricia Kuhl, Andrew Meltzoff, and Erica Stevens. 1991b.</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08">
        <w:r>
          <w:rPr>
            <w:rStyle w:val="Hyperlink"/>
          </w:rPr>
          <w:t xml:space="preserve">http://dx.doi.org/10.3758/BF03207536</w:t>
        </w:r>
      </w:hyperlink>
      <w:r>
        <w:t xml:space="preserve">.</w:t>
      </w:r>
    </w:p>
    <w:bookmarkEnd w:id="109"/>
    <w:bookmarkStart w:id="110" w:name="ref-greenKuhlMeltzoffStevens1991"/>
    <w:p>
      <w:pPr>
        <w:pStyle w:val="Bibliography"/>
      </w:pPr>
      <w:r>
        <w:t xml:space="preserve">———. 1991a.</w:t>
      </w:r>
      <w:r>
        <w:t xml:space="preserve"> </w:t>
      </w:r>
      <w:r>
        <w:t xml:space="preserve">“Integrating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 </w:t>
      </w:r>
      <w:r>
        <w:t xml:space="preserve">50 (6): 524–36.</w:t>
      </w:r>
      <w:r>
        <w:t xml:space="preserve"> </w:t>
      </w:r>
      <w:hyperlink r:id="rId108">
        <w:r>
          <w:rPr>
            <w:rStyle w:val="Hyperlink"/>
          </w:rPr>
          <w:t xml:space="preserve">http://dx.doi.org/10.3758/BF03207536</w:t>
        </w:r>
      </w:hyperlink>
      <w:r>
        <w:t xml:space="preserve">.</w:t>
      </w:r>
    </w:p>
    <w:bookmarkEnd w:id="110"/>
    <w:bookmarkStart w:id="111"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11"/>
    <w:bookmarkStart w:id="112"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12"/>
    <w:bookmarkStart w:id="113"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13"/>
    <w:bookmarkStart w:id="114"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14"/>
    <w:bookmarkStart w:id="115"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15"/>
    <w:bookmarkStart w:id="116"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16"/>
    <w:bookmarkStart w:id="117"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17"/>
    <w:bookmarkStart w:id="119"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18">
        <w:r>
          <w:rPr>
            <w:rStyle w:val="Hyperlink"/>
          </w:rPr>
          <w:t xml:space="preserve">http://www.jstor.org/stable/522229</w:t>
        </w:r>
      </w:hyperlink>
      <w:r>
        <w:t xml:space="preserve">.</w:t>
      </w:r>
    </w:p>
    <w:bookmarkEnd w:id="119"/>
    <w:bookmarkStart w:id="120"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20"/>
    <w:bookmarkStart w:id="121"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21"/>
    <w:bookmarkStart w:id="122"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22"/>
    <w:bookmarkStart w:id="123" w:name="ref-kunisakifujisaki1977"/>
    <w:p>
      <w:pPr>
        <w:pStyle w:val="Bibliography"/>
      </w:pPr>
      <w:r>
        <w:t xml:space="preserve">Kunisaki, Osamu, and Hyroya Fujisaki. 1977.</w:t>
      </w:r>
      <w:r>
        <w:t xml:space="preserve"> </w:t>
      </w:r>
      <w:r>
        <w:t xml:space="preserve">“On the Influence of Context Upon Perception of Voiceless Fricative Consonants.”</w:t>
      </w:r>
      <w:r>
        <w:t xml:space="preserve"> </w:t>
      </w:r>
      <w:r>
        <w:rPr>
          <w:i/>
          <w:iCs/>
        </w:rPr>
        <w:t xml:space="preserve">Annual Bulletin</w:t>
      </w:r>
      <w:r>
        <w:t xml:space="preserve"> </w:t>
      </w:r>
      <w:r>
        <w:t xml:space="preserve">11: 85–91.</w:t>
      </w:r>
    </w:p>
    <w:bookmarkEnd w:id="123"/>
    <w:bookmarkStart w:id="124"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24"/>
    <w:bookmarkStart w:id="125"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25"/>
    <w:bookmarkStart w:id="127"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26">
        <w:r>
          <w:rPr>
            <w:rStyle w:val="Hyperlink"/>
          </w:rPr>
          <w:t xml:space="preserve">https://doi.org/10.1371/journal.pone.0130834</w:t>
        </w:r>
      </w:hyperlink>
      <w:r>
        <w:t xml:space="preserve">.</w:t>
      </w:r>
    </w:p>
    <w:bookmarkEnd w:id="127"/>
    <w:bookmarkStart w:id="129"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28">
        <w:r>
          <w:rPr>
            <w:rStyle w:val="Hyperlink"/>
          </w:rPr>
          <w:t xml:space="preserve">https://doi.org/10.3109/13682826809011440</w:t>
        </w:r>
      </w:hyperlink>
      <w:r>
        <w:t xml:space="preserve">.</w:t>
      </w:r>
    </w:p>
    <w:bookmarkEnd w:id="129"/>
    <w:bookmarkStart w:id="130"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30"/>
    <w:bookmarkStart w:id="132" w:name="ref-imagemagick"/>
    <w:p>
      <w:pPr>
        <w:pStyle w:val="Bibliography"/>
      </w:pPr>
      <w:r>
        <w:t xml:space="preserve">LLC, ImageMagick Studio. 2023.</w:t>
      </w:r>
      <w:r>
        <w:t xml:space="preserve"> </w:t>
      </w:r>
      <w:r>
        <w:t xml:space="preserve">“ImageMagick.”</w:t>
      </w:r>
      <w:r>
        <w:t xml:space="preserve"> </w:t>
      </w:r>
      <w:hyperlink r:id="rId131">
        <w:r>
          <w:rPr>
            <w:rStyle w:val="Hyperlink"/>
          </w:rPr>
          <w:t xml:space="preserve">https://imagemagick.org</w:t>
        </w:r>
      </w:hyperlink>
      <w:r>
        <w:t xml:space="preserve">.</w:t>
      </w:r>
    </w:p>
    <w:bookmarkEnd w:id="132"/>
    <w:bookmarkStart w:id="134"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33">
        <w:r>
          <w:rPr>
            <w:rStyle w:val="Hyperlink"/>
          </w:rPr>
          <w:t xml:space="preserve">https://doi.org/10.3758/s13428-014-0532-5</w:t>
        </w:r>
      </w:hyperlink>
      <w:r>
        <w:t xml:space="preserve">.</w:t>
      </w:r>
    </w:p>
    <w:bookmarkEnd w:id="134"/>
    <w:bookmarkStart w:id="135"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35"/>
    <w:bookmarkStart w:id="137"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36">
        <w:r>
          <w:rPr>
            <w:rStyle w:val="Hyperlink"/>
          </w:rPr>
          <w:t xml:space="preserve">https://doi.org/10.1016/j.wocn.2011.10.002</w:t>
        </w:r>
      </w:hyperlink>
      <w:r>
        <w:t xml:space="preserve">.</w:t>
      </w:r>
    </w:p>
    <w:bookmarkEnd w:id="137"/>
    <w:bookmarkStart w:id="138"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38"/>
    <w:bookmarkStart w:id="139"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39"/>
    <w:bookmarkStart w:id="140"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40"/>
    <w:bookmarkStart w:id="141"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41"/>
    <w:bookmarkStart w:id="142"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42"/>
    <w:bookmarkStart w:id="143"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43"/>
    <w:bookmarkStart w:id="144"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44"/>
    <w:bookmarkStart w:id="145"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45"/>
    <w:bookmarkStart w:id="146"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46"/>
    <w:bookmarkStart w:id="147"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47"/>
    <w:bookmarkStart w:id="148"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48"/>
    <w:bookmarkStart w:id="149" w:name="ref-niedzielskiPreston2000"/>
    <w:p>
      <w:pPr>
        <w:pStyle w:val="Bibliography"/>
      </w:pPr>
      <w:r>
        <w:t xml:space="preserve">Niedzielski, Nancy, and Dennis Richard Preston. 2000.</w:t>
      </w:r>
      <w:r>
        <w:t xml:space="preserve"> </w:t>
      </w:r>
      <w:r>
        <w:rPr>
          <w:i/>
          <w:iCs/>
        </w:rPr>
        <w:t xml:space="preserve">Folk Linguistics</w:t>
      </w:r>
      <w:r>
        <w:t xml:space="preserve">. Vol. 122. Walter de Gruyter.</w:t>
      </w:r>
    </w:p>
    <w:bookmarkEnd w:id="149"/>
    <w:bookmarkStart w:id="150"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50"/>
    <w:bookmarkStart w:id="151" w:name="ref-ohala1984"/>
    <w:p>
      <w:pPr>
        <w:pStyle w:val="Bibliography"/>
      </w:pPr>
      <w:r>
        <w:t xml:space="preserve">Ohala, John J. 1984.</w:t>
      </w:r>
      <w:r>
        <w:t xml:space="preserve"> </w:t>
      </w:r>
      <w:r>
        <w:t xml:space="preserve">“An Ethological Perspective on Common Cross-Language Utilization of F₀ of Voice.”</w:t>
      </w:r>
      <w:r>
        <w:t xml:space="preserve"> </w:t>
      </w:r>
      <w:r>
        <w:rPr>
          <w:i/>
          <w:iCs/>
        </w:rPr>
        <w:t xml:space="preserve">Phonetica</w:t>
      </w:r>
      <w:r>
        <w:t xml:space="preserve"> </w:t>
      </w:r>
      <w:r>
        <w:t xml:space="preserve">41 (1): 1–16.</w:t>
      </w:r>
    </w:p>
    <w:bookmarkEnd w:id="151"/>
    <w:bookmarkStart w:id="152" w:name="ref-ohala1994"/>
    <w:p>
      <w:pPr>
        <w:pStyle w:val="Bibliography"/>
      </w:pPr>
      <w:r>
        <w:t xml:space="preserve">———. 1994.</w:t>
      </w:r>
      <w:r>
        <w:t xml:space="preserve"> </w:t>
      </w:r>
      <w:r>
        <w:t xml:space="preserve">“The Frequency Code Underlies the Sound-Symbolic Use of Voice Pitch.”</w:t>
      </w:r>
      <w:r>
        <w:t xml:space="preserve"> </w:t>
      </w:r>
      <w:r>
        <w:rPr>
          <w:i/>
          <w:iCs/>
        </w:rPr>
        <w:t xml:space="preserve">Sound Symbolism</w:t>
      </w:r>
      <w:r>
        <w:t xml:space="preserve">, 325–47.</w:t>
      </w:r>
    </w:p>
    <w:bookmarkEnd w:id="152"/>
    <w:bookmarkStart w:id="153"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53"/>
    <w:bookmarkStart w:id="154"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54"/>
    <w:bookmarkStart w:id="155"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55"/>
    <w:bookmarkStart w:id="156"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56"/>
    <w:bookmarkStart w:id="157"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57"/>
    <w:bookmarkStart w:id="158"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58"/>
    <w:bookmarkStart w:id="160"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59">
        <w:r>
          <w:rPr>
            <w:rStyle w:val="Hyperlink"/>
          </w:rPr>
          <w:t xml:space="preserve">https://doi.org/10.1093/oxfordhb/9780199600472.001.0001</w:t>
        </w:r>
      </w:hyperlink>
      <w:r>
        <w:t xml:space="preserve">.</w:t>
      </w:r>
    </w:p>
    <w:bookmarkEnd w:id="160"/>
    <w:bookmarkStart w:id="161"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61"/>
    <w:bookmarkStart w:id="162"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62"/>
    <w:bookmarkStart w:id="163" w:name="ref-rubin1992"/>
    <w:p>
      <w:pPr>
        <w:pStyle w:val="Bibliography"/>
      </w:pPr>
      <w:r>
        <w:t xml:space="preserve">Rubin, Donald L. 1992.</w:t>
      </w:r>
      <w:r>
        <w:t xml:space="preserve"> </w:t>
      </w:r>
      <w:r>
        <w:t xml:space="preserve">“Nonlanguage Factors Affecting Undergraduates’ Judgments of Nonnative English-Speaking Teaching Assistants.”</w:t>
      </w:r>
      <w:r>
        <w:t xml:space="preserve"> </w:t>
      </w:r>
      <w:r>
        <w:rPr>
          <w:i/>
          <w:iCs/>
        </w:rPr>
        <w:t xml:space="preserve">Research in Higher Education</w:t>
      </w:r>
      <w:r>
        <w:t xml:space="preserve"> </w:t>
      </w:r>
      <w:r>
        <w:t xml:space="preserve">33 (4): 511–31.</w:t>
      </w:r>
    </w:p>
    <w:bookmarkEnd w:id="163"/>
    <w:bookmarkStart w:id="164"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64"/>
    <w:bookmarkStart w:id="165"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65"/>
    <w:bookmarkStart w:id="167"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66">
        <w:r>
          <w:rPr>
            <w:rStyle w:val="Hyperlink"/>
          </w:rPr>
          <w:t xml:space="preserve">https://doi.org/10.3758/BF03197491</w:t>
        </w:r>
      </w:hyperlink>
      <w:r>
        <w:t xml:space="preserve">.</w:t>
      </w:r>
    </w:p>
    <w:bookmarkEnd w:id="167"/>
    <w:bookmarkStart w:id="168"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68"/>
    <w:bookmarkStart w:id="169"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69"/>
    <w:bookmarkStart w:id="170"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70"/>
    <w:bookmarkStart w:id="171"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71"/>
    <w:bookmarkStart w:id="172"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72"/>
    <w:bookmarkStart w:id="173"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73"/>
    <w:bookmarkStart w:id="174"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74"/>
    <w:bookmarkStart w:id="175" w:name="ref-whalen1981"/>
    <w:p>
      <w:pPr>
        <w:pStyle w:val="Bibliography"/>
      </w:pPr>
      <w:r>
        <w:t xml:space="preserve">Whalen, Douglas H. 1981.</w:t>
      </w:r>
      <w:r>
        <w:t xml:space="preserve"> </w:t>
      </w:r>
      <w:r>
        <w:t xml:space="preserve">“Effects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 </w:t>
      </w:r>
      <w:r>
        <w:t xml:space="preserve">69 (1): 275–82.</w:t>
      </w:r>
    </w:p>
    <w:bookmarkEnd w:id="175"/>
    <w:bookmarkStart w:id="176" w:name="ref-whalen1984"/>
    <w:p>
      <w:pPr>
        <w:pStyle w:val="Bibliography"/>
      </w:pPr>
      <w:r>
        <w:t xml:space="preserve">———.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76"/>
    <w:bookmarkStart w:id="177" w:name="ref-whalen1991"/>
    <w:p>
      <w:pPr>
        <w:pStyle w:val="Bibliography"/>
      </w:pPr>
      <w:r>
        <w:t xml:space="preserve">———. 1991.</w:t>
      </w:r>
      <w:r>
        <w:t xml:space="preserve"> </w:t>
      </w:r>
      <w:r>
        <w:t xml:space="preserve">“Perception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 </w:t>
      </w:r>
      <w:r>
        <w:t xml:space="preserve">90 (4): 1776–85.</w:t>
      </w:r>
    </w:p>
    <w:bookmarkEnd w:id="177"/>
    <w:bookmarkStart w:id="178"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78"/>
    <w:bookmarkStart w:id="179"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79"/>
    <w:bookmarkStart w:id="180"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80"/>
    <w:bookmarkStart w:id="181"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81"/>
    <w:bookmarkEnd w:id="182"/>
    <w:bookmarkEnd w:id="183"/>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7">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53" Target="media/rId53.png" /><Relationship Type="http://schemas.openxmlformats.org/officeDocument/2006/relationships/image" Id="rId31" Target="media/rId31.jpg" /><Relationship Type="http://schemas.openxmlformats.org/officeDocument/2006/relationships/image" Id="rId25" Target="media/rId25.png" /><Relationship Type="http://schemas.openxmlformats.org/officeDocument/2006/relationships/hyperlink" Id="rId71" Target="http://CRAN.R-project.org/package=lme4" TargetMode="External" /><Relationship Type="http://schemas.openxmlformats.org/officeDocument/2006/relationships/hyperlink" Id="rId108" Target="http://dx.doi.org/10.3758/BF03207536" TargetMode="External" /><Relationship Type="http://schemas.openxmlformats.org/officeDocument/2006/relationships/hyperlink" Id="rId118" Target="http://www.jstor.org/stable/522229" TargetMode="External" /><Relationship Type="http://schemas.openxmlformats.org/officeDocument/2006/relationships/hyperlink" Id="rId136" Target="https://doi.org/10.1016/j.wocn.2011.10.002" TargetMode="External" /><Relationship Type="http://schemas.openxmlformats.org/officeDocument/2006/relationships/hyperlink" Id="rId92" Target="https://doi.org/10.1016/s0010-0277(00)00123-2" TargetMode="External" /><Relationship Type="http://schemas.openxmlformats.org/officeDocument/2006/relationships/hyperlink" Id="rId76" Target="https://doi.org/10.1017/S0954394521000089" TargetMode="External" /><Relationship Type="http://schemas.openxmlformats.org/officeDocument/2006/relationships/hyperlink" Id="rId88" Target="https://doi.org/10.1037/xlm0000137" TargetMode="External" /><Relationship Type="http://schemas.openxmlformats.org/officeDocument/2006/relationships/hyperlink" Id="rId159" Target="https://doi.org/10.1093/oxfordhb/9780199600472.001.0001" TargetMode="External" /><Relationship Type="http://schemas.openxmlformats.org/officeDocument/2006/relationships/hyperlink" Id="rId74" Target="https://doi.org/10.1121/1.5101933" TargetMode="External" /><Relationship Type="http://schemas.openxmlformats.org/officeDocument/2006/relationships/hyperlink" Id="rId126" Target="https://doi.org/10.1371/journal.pone.0130834" TargetMode="External" /><Relationship Type="http://schemas.openxmlformats.org/officeDocument/2006/relationships/hyperlink" Id="rId128" Target="https://doi.org/10.3109/13682826809011440" TargetMode="External" /><Relationship Type="http://schemas.openxmlformats.org/officeDocument/2006/relationships/hyperlink" Id="rId106" Target="https://doi.org/10.3389/fpsyg.2015.00500" TargetMode="External" /><Relationship Type="http://schemas.openxmlformats.org/officeDocument/2006/relationships/hyperlink" Id="rId166" Target="https://doi.org/10.3758/BF03197491" TargetMode="External" /><Relationship Type="http://schemas.openxmlformats.org/officeDocument/2006/relationships/hyperlink" Id="rId133" Target="https://doi.org/10.3758/s13428-014-0532-5" TargetMode="External" /><Relationship Type="http://schemas.openxmlformats.org/officeDocument/2006/relationships/hyperlink" Id="rId131"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1" Target="http://CRAN.R-project.org/package=lme4" TargetMode="External" /><Relationship Type="http://schemas.openxmlformats.org/officeDocument/2006/relationships/hyperlink" Id="rId108" Target="http://dx.doi.org/10.3758/BF03207536" TargetMode="External" /><Relationship Type="http://schemas.openxmlformats.org/officeDocument/2006/relationships/hyperlink" Id="rId118" Target="http://www.jstor.org/stable/522229" TargetMode="External" /><Relationship Type="http://schemas.openxmlformats.org/officeDocument/2006/relationships/hyperlink" Id="rId136" Target="https://doi.org/10.1016/j.wocn.2011.10.002" TargetMode="External" /><Relationship Type="http://schemas.openxmlformats.org/officeDocument/2006/relationships/hyperlink" Id="rId92" Target="https://doi.org/10.1016/s0010-0277(00)00123-2" TargetMode="External" /><Relationship Type="http://schemas.openxmlformats.org/officeDocument/2006/relationships/hyperlink" Id="rId76" Target="https://doi.org/10.1017/S0954394521000089" TargetMode="External" /><Relationship Type="http://schemas.openxmlformats.org/officeDocument/2006/relationships/hyperlink" Id="rId88" Target="https://doi.org/10.1037/xlm0000137" TargetMode="External" /><Relationship Type="http://schemas.openxmlformats.org/officeDocument/2006/relationships/hyperlink" Id="rId159" Target="https://doi.org/10.1093/oxfordhb/9780199600472.001.0001" TargetMode="External" /><Relationship Type="http://schemas.openxmlformats.org/officeDocument/2006/relationships/hyperlink" Id="rId74" Target="https://doi.org/10.1121/1.5101933" TargetMode="External" /><Relationship Type="http://schemas.openxmlformats.org/officeDocument/2006/relationships/hyperlink" Id="rId126" Target="https://doi.org/10.1371/journal.pone.0130834" TargetMode="External" /><Relationship Type="http://schemas.openxmlformats.org/officeDocument/2006/relationships/hyperlink" Id="rId128" Target="https://doi.org/10.3109/13682826809011440" TargetMode="External" /><Relationship Type="http://schemas.openxmlformats.org/officeDocument/2006/relationships/hyperlink" Id="rId106" Target="https://doi.org/10.3389/fpsyg.2015.00500" TargetMode="External" /><Relationship Type="http://schemas.openxmlformats.org/officeDocument/2006/relationships/hyperlink" Id="rId166" Target="https://doi.org/10.3758/BF03197491" TargetMode="External" /><Relationship Type="http://schemas.openxmlformats.org/officeDocument/2006/relationships/hyperlink" Id="rId133" Target="https://doi.org/10.3758/s13428-014-0532-5" TargetMode="External" /><Relationship Type="http://schemas.openxmlformats.org/officeDocument/2006/relationships/hyperlink" Id="rId131"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2024-10-26T17:34:26Z</dcterms:created>
  <dcterms:modified xsi:type="dcterms:W3CDTF">2024-10-26T17:34:26Z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2024-10-26</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