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1.png" ContentType="image/png"/>
  <Override PartName="/word/media/rId56.png" ContentType="image/png"/>
  <Override PartName="/word/media/rId3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Kevin B. McGowan</w:t>
      </w:r>
    </w:p>
    <w:p>
      <w:pPr>
        <w:pStyle w:val="Date"/>
      </w:pPr>
      <w:r>
        <w:t xml:space="preserve">2025-03-05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1999; Strand &amp; Johnson, 1996)</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6" w:name="sec-intro"/>
    <w:p>
      <w:pPr>
        <w:pStyle w:val="Heading1"/>
      </w:pPr>
      <w:r>
        <w:t xml:space="preserve">Introduction</w:t>
      </w:r>
    </w:p>
    <w:p>
      <w:pPr>
        <w:pStyle w:val="FirstParagraph"/>
      </w:pPr>
      <w:r>
        <w:t xml:space="preserve">It is well established that social information can influence how listeners perceive</w:t>
      </w:r>
      <w:r>
        <w:t xml:space="preserve"> </w:t>
      </w:r>
      <w:r>
        <w:t xml:space="preserve">(Foulkes &amp; Docherty, 2006)</w:t>
      </w:r>
      <w:r>
        <w:t xml:space="preserve">, retrieve</w:t>
      </w:r>
      <w:r>
        <w:t xml:space="preserve"> </w:t>
      </w:r>
      <w:r>
        <w:t xml:space="preserve">(Walker &amp; Hay, 2011)</w:t>
      </w:r>
      <w:r>
        <w:t xml:space="preserve">, and even remember</w:t>
      </w:r>
      <w:r>
        <w:t xml:space="preserve"> </w:t>
      </w:r>
      <w:r>
        <w:t xml:space="preserve">(Nygaard et al., 1994)</w:t>
      </w:r>
      <w:r>
        <w:t xml:space="preserve"> </w:t>
      </w:r>
      <w:r>
        <w:t xml:space="preserve">the linguistic aspect of the speech signal. There is also abundant, converging evidence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(Bucholtz &amp; Hall, 2016; Hall et al., 2021; Podesva &amp; Kajino, 2014;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&amp; Munson, 2012a; Pharao et al., 2014; Strand, 1999)</w:t>
      </w:r>
      <w:r>
        <w:t xml:space="preserve">. To investigate the role of awareness in sociophonetic perception, this paper reports an audiovisual matched guise experiment, modeled on</w:t>
      </w:r>
      <w:r>
        <w:t xml:space="preserve"> </w:t>
      </w:r>
      <w:r>
        <w:t xml:space="preserve">Strand &amp;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2025)</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2025; Bakhtin, 1981; D’Onofrio, 2021)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&amp;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puberty, can do precisely this</w:t>
      </w:r>
      <w:r>
        <w:t xml:space="preserve"> </w:t>
      </w:r>
      <w:r>
        <w:t xml:space="preserve">(Perry et al.,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&amp; Docherty, 2006, p. 411)</w:t>
      </w:r>
      <w:r>
        <w:t xml:space="preserve">; but this cue is neither necessary nor sufficient for the production and perception of gender identity</w:t>
      </w:r>
      <w:r>
        <w:t xml:space="preserve"> </w:t>
      </w:r>
      <w:r>
        <w:t xml:space="preserve">(Johnson, 2005; Zimman, 2017)</w:t>
      </w:r>
      <w:r>
        <w:t xml:space="preserve">.</w:t>
      </w:r>
    </w:p>
    <w:p>
      <w:pPr>
        <w:pStyle w:val="BodyText"/>
      </w:pPr>
      <w:r>
        <w:t xml:space="preserve">In perception, the concept of control is less intuitive. We stipulate that the ability to link a social label to its phonetic reflexes is just as clearly a task for the listener as it is for the speaker</w:t>
      </w:r>
      <w:r>
        <w:t xml:space="preserve"> </w:t>
      </w:r>
      <w:r>
        <w:t xml:space="preserve">(Babel, 2025; D’Onofrio, 2021)</w:t>
      </w:r>
      <w:r>
        <w:t xml:space="preserve">. For social meaning making to occur in interaction</w:t>
      </w:r>
      <w:r>
        <w:t xml:space="preserve"> </w:t>
      </w:r>
      <w:r>
        <w:t xml:space="preserve">(Sharma, 2025)</w:t>
      </w:r>
      <w:r>
        <w:t xml:space="preserve">, a listener must be able to control, to link, the auditory cues of a performed gender identity to the cognitive representation of that identity just as much as a speaker must be capable of the gestural control required to implement the phonetics. None of this control requires introspective awareness as perception and attention are both possible without awareness</w:t>
      </w:r>
      <w:r>
        <w:t xml:space="preserve"> </w:t>
      </w:r>
      <w:r>
        <w:t xml:space="preserve">(Craik et al., 2015; Dehaene &amp; Naccache, 2001; Prinz, 2015)</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rPr>
          <w:i/>
          <w:iCs/>
        </w:rPr>
        <w:t xml:space="preserve">perception</w:t>
      </w:r>
      <w:r>
        <w:t xml:space="preserve"> </w:t>
      </w:r>
      <w:r>
        <w:t xml:space="preserve">(Drager &amp; Kirtley, 2016a; McGowan &amp; Babel, 2020)</w:t>
      </w:r>
      <w:r>
        <w:t xml:space="preserve">.</w:t>
      </w:r>
    </w:p>
    <w:p>
      <w:pPr>
        <w:pStyle w:val="BodyText"/>
      </w:pPr>
      <w:r>
        <w:t xml:space="preserve">Within phonetics and psycholinguistics, speech perception is construed as the processing of sensory input</w:t>
      </w:r>
      <w:r>
        <w:t xml:space="preserve"> </w:t>
      </w:r>
      <w:r>
        <w:t xml:space="preserve">(cf. Evans, 2008, pp.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&amp; Marslen-Wilson, 2002; Goldinger, 1998)</w:t>
      </w:r>
      <w:r>
        <w:t xml:space="preserve">. Perception, thus construed, is typically assumed to be automatic and to occur largely below the level of conscious awareness</w:t>
      </w:r>
      <w:r>
        <w:t xml:space="preserve"> </w:t>
      </w:r>
      <w:r>
        <w:t xml:space="preserve">(Joos, 1948, p.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p. 40)</w:t>
      </w:r>
      <w:r>
        <w:t xml:space="preserve">, perceptual weighting of acoustic cues (p. 174), and phoneme restoration</w:t>
      </w:r>
      <w:r>
        <w:t xml:space="preserve"> </w:t>
      </w:r>
      <w:r>
        <w:t xml:space="preserve">(Ganong, 1980, p. 1)</w:t>
      </w:r>
      <w:r>
        <w:t xml:space="preserve">.</w:t>
      </w:r>
    </w:p>
    <w:p>
      <w:pPr>
        <w:pStyle w:val="BodyText"/>
      </w:pPr>
      <w:r>
        <w:t xml:space="preserve">The other meaning of speech perception in common use describes a higher-level, sometimes implicit, evaluative judgement of talkers and voices</w:t>
      </w:r>
      <w:r>
        <w:t xml:space="preserve"> </w:t>
      </w:r>
      <w:r>
        <w:t xml:space="preserve">(cf. Evans, 2008, pp. ‘type 2’ processing)</w:t>
      </w:r>
      <w:r>
        <w:t xml:space="preserve">. This is the meaning of perception employed in folk linguistics</w:t>
      </w:r>
      <w:r>
        <w:t xml:space="preserve"> </w:t>
      </w:r>
      <w:r>
        <w:t xml:space="preserve">(Niedzielski &amp;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&amp; Babel (2020)</w:t>
      </w:r>
      <w:r>
        <w:t xml:space="preserve">, for example, found that listeners’ performance on a vowel discrimination task and subsequent commentaries on the voices in that task sometimes agreed but more typically diverged. Furthermore, when they diverged, segmental perception tracked vowel categories established by the listeners’ previous experience with the voice, but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2025)</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vowel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This recurring disjunction in listeners’ implicit and explicit responses, even within a speaker evaluation paradigm, points to what</w:t>
      </w:r>
      <w:r>
        <w:t xml:space="preserve"> </w:t>
      </w:r>
      <w:r>
        <w:t xml:space="preserve">Kristiansen (2009, p.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(2025)</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anticipated socioindexical vocal properties.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bookmarkEnd w:id="21"/>
    <w:bookmarkStart w:id="22" w:name="sec-mgt"/>
    <w:p>
      <w:pPr>
        <w:pStyle w:val="Heading2"/>
      </w:pPr>
      <w:r>
        <w:t xml:space="preserve">Matched Guise: Perception, Evaluation, and Awareness</w:t>
      </w:r>
    </w:p>
    <w:p>
      <w:pPr>
        <w:pStyle w:val="FirstParagraph"/>
      </w:pPr>
      <w:r>
        <w:t xml:space="preserve">Originally, the MGT used the same talkers across guises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(Lambert et al., 1960; 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p. 44)</w:t>
      </w:r>
      <w:r>
        <w:t xml:space="preserve">.</w:t>
      </w:r>
      <w:r>
        <w:t xml:space="preserve"> </w:t>
      </w:r>
      <w:r>
        <w:t xml:space="preserve">Pharao &amp; Kristiansen (2019, p. 2)</w:t>
      </w:r>
      <w:r>
        <w:t xml:space="preserve"> </w:t>
      </w:r>
      <w:r>
        <w:t xml:space="preserve">note that researchers, across both psychology of language and sociolinguistic traditions, go to great lengths to ensure this lack of awareness.</w:t>
      </w:r>
    </w:p>
    <w:p>
      <w:pPr>
        <w:pStyle w:val="BodyText"/>
      </w:pPr>
      <w:r>
        <w:t xml:space="preserve">Matched Guise studies do not always employ the same talker across guises, but this too appears to be motivated by awareness and control.</w:t>
      </w:r>
      <w:r>
        <w:t xml:space="preserve"> </w:t>
      </w:r>
      <w:r>
        <w:t xml:space="preserve">Milroy &amp;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 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Implicit here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2025; Clopper &amp; Pisoni, 2004)</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&amp;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(Chan, 2021; Hadodo, 2025)</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Hay, Warren, et al., 2006; McGowan, 2015)</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&amp;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&amp;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(Eckert, 2012; Ohala, 1994)</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&amp;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(Munson, 2011; Strand &amp; Johnson, 1996)</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&amp;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&amp;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&amp; miles-hercules, 2021, p.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&amp; Podesva, 2021)</w:t>
      </w:r>
      <w:r>
        <w:t xml:space="preserve">. Listeners can only make use of phonetic variation if it is indexed for them in experience or ideology</w:t>
      </w:r>
      <w:r>
        <w:t xml:space="preserve"> </w:t>
      </w:r>
      <w:r>
        <w:t xml:space="preserve">(Barrett &amp; Hall, 2024; Drager, 2010)</w:t>
      </w:r>
      <w:r>
        <w:t xml:space="preserve">. The creation and use of stimuli that are controlled by a large group of listeners maximizes the probability that a perception experiment will find an interpretable result.</w:t>
      </w:r>
    </w:p>
    <w:p>
      <w:pPr>
        <w:pStyle w:val="BodyText"/>
      </w:pPr>
      <w:r>
        <w:t xml:space="preserve">However,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must also adopt masculinizing alternations to their speech gestures if their goal is to produce a masculine-sounding voice</w:t>
      </w:r>
      <w:r>
        <w:t xml:space="preserve"> </w:t>
      </w:r>
      <w:r>
        <w:t xml:space="preserve">(Zimman, 2018)</w:t>
      </w:r>
      <w:r>
        <w:t xml:space="preserve">. Gender is more likely the product of, rather than an explanation for, linguistic variation</w:t>
      </w:r>
      <w:r>
        <w:t xml:space="preserve"> </w:t>
      </w:r>
      <w:r>
        <w:t xml:space="preserve">(Eckert &amp; Podesva, 2021)</w:t>
      </w:r>
      <w:r>
        <w:t xml:space="preserve">.</w:t>
      </w:r>
    </w:p>
    <w:p>
      <w:pPr>
        <w:pStyle w:val="BodyText"/>
      </w:pPr>
      <w:r>
        <w:t xml:space="preserve">Vowels, for example, in both their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(Alpert, 2014; Käng, 2013)</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bookmarkEnd w:id="24"/>
    <w:bookmarkStart w:id="25" w:name="the-present-study"/>
    <w:p>
      <w:pPr>
        <w:pStyle w:val="Heading2"/>
      </w:pPr>
      <w:r>
        <w:t xml:space="preserve">The present study</w:t>
      </w:r>
    </w:p>
    <w:p>
      <w:pPr>
        <w:pStyle w:val="FirstParagraph"/>
      </w:pPr>
      <w:r>
        <w:t xml:space="preserve">Here we take advantage of the sociophonetic trading relation between listeners’ gender and fricative categories to explore the role of awareness and control in socioindexical speech perception. We report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&amp;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(Stecker &amp; D’Onofrio, 2025; Tripp &amp; Munson, 2022)</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w:t>
      </w:r>
    </w:p>
    <w:p>
      <w:pPr>
        <w:pStyle w:val="BodyText"/>
      </w:pPr>
      <w:r>
        <w:t xml:space="preserve">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w:t>
      </w:r>
      <w:r>
        <w:t xml:space="preserve"> </w:t>
      </w:r>
    </w:p>
    <w:bookmarkEnd w:id="25"/>
    <w:bookmarkEnd w:id="26"/>
    <w:bookmarkStart w:id="42" w:name="sec-method"/>
    <w:p>
      <w:pPr>
        <w:pStyle w:val="Heading1"/>
      </w:pPr>
      <w:r>
        <w:t xml:space="preserve">Method</w:t>
      </w:r>
    </w:p>
    <w:bookmarkStart w:id="27"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7"/>
    <w:bookmarkStart w:id="33" w:name="sec-stimuli"/>
    <w:p>
      <w:pPr>
        <w:pStyle w:val="Heading2"/>
      </w:pPr>
      <w:r>
        <w:t xml:space="preserve">Stimulus Materials</w:t>
      </w:r>
    </w:p>
    <w:bookmarkStart w:id="32"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&amp;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1" w:name="fig-stimuli"/>
          <w:p>
            <w:pPr>
              <w:pStyle w:val="Compact"/>
              <w:jc w:val="center"/>
            </w:pPr>
            <w:r>
              <w:drawing>
                <wp:inline>
                  <wp:extent cx="4754880" cy="3511736"/>
                  <wp:effectExtent b="0" l="0" r="0" t="0"/>
                  <wp:docPr descr="" title="" id="29" name="Picture"/>
                  <a:graphic>
                    <a:graphicData uri="http://schemas.openxmlformats.org/drawingml/2006/picture">
                      <pic:pic>
                        <pic:nvPicPr>
                          <pic:cNvPr descr="images/figure1.png" id="30" name="Picture"/>
                          <pic:cNvPicPr>
                            <a:picLocks noChangeArrowheads="1" noChangeAspect="1"/>
                          </pic:cNvPicPr>
                        </pic:nvPicPr>
                        <pic:blipFill>
                          <a:blip r:embed="rId28"/>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1"/>
        </w:tc>
      </w:tr>
    </w:tbl>
    <w:bookmarkEnd w:id="32"/>
    <w:bookmarkEnd w:id="33"/>
    <w:bookmarkStart w:id="39"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8"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et al.,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7" w:name="fig-visual"/>
          <w:p>
            <w:pPr>
              <w:pStyle w:val="Compact"/>
              <w:jc w:val="center"/>
            </w:pPr>
            <w:r>
              <w:drawing>
                <wp:inline>
                  <wp:extent cx="4754880" cy="4754880"/>
                  <wp:effectExtent b="0" l="0" r="0" t="0"/>
                  <wp:docPr descr="" title="" id="35" name="Picture"/>
                  <a:graphic>
                    <a:graphicData uri="http://schemas.openxmlformats.org/drawingml/2006/picture">
                      <pic:pic>
                        <pic:nvPicPr>
                          <pic:cNvPr descr="images/facesanddrawings.jpg" id="36" name="Picture"/>
                          <pic:cNvPicPr>
                            <a:picLocks noChangeArrowheads="1" noChangeAspect="1"/>
                          </pic:cNvPicPr>
                        </pic:nvPicPr>
                        <pic:blipFill>
                          <a:blip r:embed="rId34"/>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7"/>
        </w:tc>
      </w:tr>
    </w:tbl>
    <w:bookmarkEnd w:id="38"/>
    <w:bookmarkEnd w:id="39"/>
    <w:bookmarkStart w:id="41" w:name="sec-procedure"/>
    <w:p>
      <w:pPr>
        <w:pStyle w:val="Heading2"/>
      </w:pPr>
      <w:r>
        <w:t xml:space="preserve">Procedure</w:t>
      </w:r>
    </w:p>
    <w:p>
      <w:pPr>
        <w:pStyle w:val="FirstParagraph"/>
      </w:pPr>
      <w:r>
        <w:t xml:space="preserve">The experiment was created in OpenSesame v3.3</w:t>
      </w:r>
      <w:r>
        <w:t xml:space="preserve"> </w:t>
      </w:r>
      <w:r>
        <w:t xml:space="preserve">(Mathôt et al.,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et al.,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w:t>
      </w:r>
      <w:r>
        <w:t xml:space="preserve"> </w:t>
      </w:r>
      <w:r>
        <w:t xml:space="preserve">(McGowan, 2015)</w:t>
      </w:r>
      <w:r>
        <w:rPr>
          <w:rStyle w:val="FootnoteReference"/>
        </w:rPr>
        <w:footnoteReference w:id="4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1"/>
    <w:bookmarkEnd w:id="42"/>
    <w:bookmarkStart w:id="46" w:name="sec-predictions"/>
    <w:p>
      <w:pPr>
        <w:pStyle w:val="Heading1"/>
      </w:pPr>
      <w:r>
        <w:t xml:space="preserve">Predicted Results</w:t>
      </w:r>
    </w:p>
    <w:bookmarkStart w:id="43"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3"/>
    <w:bookmarkStart w:id="44"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et al.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et al., 1999, p.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et al.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p.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4"/>
    <w:bookmarkStart w:id="45"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5"/>
    <w:bookmarkEnd w:id="46"/>
    <w:bookmarkStart w:id="66"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5"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50" w:name="fig-scurve"/>
          <w:p>
            <w:pPr>
              <w:pStyle w:val="Compact"/>
              <w:jc w:val="center"/>
            </w:pPr>
            <w:r>
              <w:drawing>
                <wp:inline>
                  <wp:extent cx="4754880" cy="2937285"/>
                  <wp:effectExtent b="0" l="0" r="0" t="0"/>
                  <wp:docPr descr="" title="" id="48" name="Picture"/>
                  <a:graphic>
                    <a:graphicData uri="http://schemas.openxmlformats.org/drawingml/2006/picture">
                      <pic:pic>
                        <pic:nvPicPr>
                          <pic:cNvPr descr="images/Scurve.png" id="49" name="Picture"/>
                          <pic:cNvPicPr>
                            <a:picLocks noChangeArrowheads="1" noChangeAspect="1"/>
                          </pic:cNvPicPr>
                        </pic:nvPicPr>
                        <pic:blipFill>
                          <a:blip r:embed="rId47"/>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50"/>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4" w:name="fig-rimes"/>
          <w:p>
            <w:pPr>
              <w:pStyle w:val="Compact"/>
              <w:jc w:val="center"/>
            </w:pPr>
            <w:r>
              <w:drawing>
                <wp:inline>
                  <wp:extent cx="4754880" cy="2937285"/>
                  <wp:effectExtent b="0" l="0" r="0" t="0"/>
                  <wp:docPr descr="" title="" id="52" name="Picture"/>
                  <a:graphic>
                    <a:graphicData uri="http://schemas.openxmlformats.org/drawingml/2006/picture">
                      <pic:pic>
                        <pic:nvPicPr>
                          <pic:cNvPr descr="images/ambiguous-by-rime-step.png" id="53" name="Picture"/>
                          <pic:cNvPicPr>
                            <a:picLocks noChangeArrowheads="1" noChangeAspect="1"/>
                          </pic:cNvPicPr>
                        </pic:nvPicPr>
                        <pic:blipFill>
                          <a:blip r:embed="rId51"/>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4"/>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5"/>
    <w:bookmarkStart w:id="60"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et al.,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9" w:name="fig-coefs"/>
          <w:p>
            <w:pPr>
              <w:pStyle w:val="Compact"/>
              <w:jc w:val="center"/>
            </w:pPr>
            <w:r>
              <w:drawing>
                <wp:inline>
                  <wp:extent cx="4754880" cy="3169919"/>
                  <wp:effectExtent b="0" l="0" r="0" t="0"/>
                  <wp:docPr descr="" title="" id="57" name="Picture"/>
                  <a:graphic>
                    <a:graphicData uri="http://schemas.openxmlformats.org/drawingml/2006/picture">
                      <pic:pic>
                        <pic:nvPicPr>
                          <pic:cNvPr descr="images/coefs_instruction.png" id="58" name="Picture"/>
                          <pic:cNvPicPr>
                            <a:picLocks noChangeArrowheads="1" noChangeAspect="1"/>
                          </pic:cNvPicPr>
                        </pic:nvPicPr>
                        <pic:blipFill>
                          <a:blip r:embed="rId56"/>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9"/>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60"/>
    <w:bookmarkStart w:id="65"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et al.,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coefs-logRT"/>
          <w:p>
            <w:pPr>
              <w:pStyle w:val="Compact"/>
              <w:jc w:val="center"/>
            </w:pPr>
            <w:r>
              <w:drawing>
                <wp:inline>
                  <wp:extent cx="4754880" cy="3169919"/>
                  <wp:effectExtent b="0" l="0" r="0" t="0"/>
                  <wp:docPr descr="" title="" id="62" name="Picture"/>
                  <a:graphic>
                    <a:graphicData uri="http://schemas.openxmlformats.org/drawingml/2006/picture">
                      <pic:pic>
                        <pic:nvPicPr>
                          <pic:cNvPr descr="images/coefs-logRT_instructions.png" id="63" name="Picture"/>
                          <pic:cNvPicPr>
                            <a:picLocks noChangeArrowheads="1" noChangeAspect="1"/>
                          </pic:cNvPicPr>
                        </pic:nvPicPr>
                        <pic:blipFill>
                          <a:blip r:embed="rId61"/>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4"/>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5"/>
    <w:bookmarkEnd w:id="66"/>
    <w:bookmarkStart w:id="67"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&amp;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&amp;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&amp;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(Hay, Nolan, et al., 2006; Hay &amp; Drager, 2010; Niedzielski, 1999)</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&amp;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&amp;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et al.,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7"/>
    <w:bookmarkStart w:id="68" w:name="conclusion"/>
    <w:p>
      <w:pPr>
        <w:pStyle w:val="Heading1"/>
      </w:pPr>
      <w:r>
        <w:t xml:space="preserve">Conclusion</w:t>
      </w:r>
    </w:p>
    <w:p>
      <w:pPr>
        <w:pStyle w:val="FirstParagraph"/>
      </w:pPr>
      <w:r>
        <w:t xml:space="preserve">Decades of research since the original findings of</w:t>
      </w:r>
      <w:r>
        <w:t xml:space="preserve"> </w:t>
      </w:r>
      <w:r>
        <w:t xml:space="preserve">Strand &amp;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&amp;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et al.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2025)</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p.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8"/>
    <w:bookmarkStart w:id="192" w:name="sec-references"/>
    <w:p>
      <w:pPr>
        <w:pStyle w:val="Heading1"/>
      </w:pPr>
      <w:r>
        <w:t xml:space="preserve">References</w:t>
      </w:r>
    </w:p>
    <w:bookmarkStart w:id="191" w:name="refs"/>
    <w:bookmarkStart w:id="69"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9"/>
    <w:bookmarkStart w:id="70" w:name="ref-BabelIssue"/>
    <w:p>
      <w:pPr>
        <w:pStyle w:val="Bibliography"/>
      </w:pPr>
      <w:r>
        <w:t xml:space="preserve">Babel, A. M. (2025). A semiotic approach to awareness and control.</w:t>
      </w:r>
      <w:r>
        <w:t xml:space="preserve"> </w:t>
      </w:r>
      <w:r>
        <w:rPr>
          <w:i/>
          <w:iCs/>
        </w:rPr>
        <w:t xml:space="preserve">Journal of Sociolinguistics</w:t>
      </w:r>
      <w:r>
        <w:t xml:space="preserve">,</w:t>
      </w:r>
      <w:r>
        <w:t xml:space="preserve"> </w:t>
      </w:r>
      <w:r>
        <w:rPr>
          <w:i/>
          <w:iCs/>
        </w:rPr>
        <w:t xml:space="preserve">29</w:t>
      </w:r>
      <w:r>
        <w:t xml:space="preserve">(1).</w:t>
      </w:r>
    </w:p>
    <w:bookmarkEnd w:id="70"/>
    <w:bookmarkStart w:id="71" w:name="ref-bakhtin1981"/>
    <w:p>
      <w:pPr>
        <w:pStyle w:val="Bibliography"/>
      </w:pPr>
      <w:r>
        <w:t xml:space="preserve">Bakhtin, M. M.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72"/>
    <w:bookmarkStart w:id="73" w:name="ref-barrett2017"/>
    <w:p>
      <w:pPr>
        <w:pStyle w:val="Bibliography"/>
      </w:pPr>
      <w:r>
        <w:t xml:space="preserve">Barrett, R.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 &amp; Hall, K. (2024). Sexuality discourses: Indexical misrecognition and the politics of sex.</w:t>
      </w:r>
      <w:r>
        <w:t xml:space="preserve"> </w:t>
      </w:r>
      <w:r>
        <w:rPr>
          <w:i/>
          <w:iCs/>
        </w:rPr>
        <w:t xml:space="preserve">Annual Review of Anthropology</w:t>
      </w:r>
      <w:r>
        <w:t xml:space="preserve">,</w:t>
      </w:r>
      <w:r>
        <w:t xml:space="preserve"> </w:t>
      </w:r>
      <w:r>
        <w:rPr>
          <w:i/>
          <w:iCs/>
        </w:rPr>
        <w:t xml:space="preserve">53</w:t>
      </w:r>
      <w:r>
        <w:t xml:space="preserve">.</w:t>
      </w:r>
    </w:p>
    <w:bookmarkEnd w:id="74"/>
    <w:bookmarkStart w:id="76"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p>
    <w:bookmarkEnd w:id="76"/>
    <w:bookmarkStart w:id="77" w:name="ref-Beddor2009"/>
    <w:p>
      <w:pPr>
        <w:pStyle w:val="Bibliography"/>
      </w:pPr>
      <w:r>
        <w:t xml:space="preserve">Beddor, P. S. (2009). A coarticulatory path to sound change.</w:t>
      </w:r>
      <w:r>
        <w:t xml:space="preserve"> </w:t>
      </w:r>
      <w:r>
        <w:rPr>
          <w:i/>
          <w:iCs/>
        </w:rPr>
        <w:t xml:space="preserve">Language</w:t>
      </w:r>
      <w:r>
        <w:t xml:space="preserve">,</w:t>
      </w:r>
      <w:r>
        <w:t xml:space="preserve"> </w:t>
      </w:r>
      <w:r>
        <w:rPr>
          <w:i/>
          <w:iCs/>
        </w:rPr>
        <w:t xml:space="preserve">85</w:t>
      </w:r>
      <w:r>
        <w:t xml:space="preserve">(4), 785–821.</w:t>
      </w:r>
    </w:p>
    <w:bookmarkEnd w:id="77"/>
    <w:bookmarkStart w:id="78" w:name="ref-Bender2005"/>
    <w:p>
      <w:pPr>
        <w:pStyle w:val="Bibliography"/>
      </w:pPr>
      <w:r>
        <w:t xml:space="preserve">Bender, E. M. (2005). On the boundaries of linguistic competence: Matched-guise experiments as evidence of knowledge of grammar.</w:t>
      </w:r>
      <w:r>
        <w:t xml:space="preserve"> </w:t>
      </w:r>
      <w:r>
        <w:rPr>
          <w:i/>
          <w:iCs/>
        </w:rPr>
        <w:t xml:space="preserve">Lingua</w:t>
      </w:r>
      <w:r>
        <w:t xml:space="preserve">,</w:t>
      </w:r>
      <w:r>
        <w:t xml:space="preserve"> </w:t>
      </w:r>
      <w:r>
        <w:rPr>
          <w:i/>
          <w:iCs/>
        </w:rPr>
        <w:t xml:space="preserve">115</w:t>
      </w:r>
      <w:r>
        <w:t xml:space="preserve">(11), 1579–1598.</w:t>
      </w:r>
    </w:p>
    <w:bookmarkEnd w:id="78"/>
    <w:bookmarkStart w:id="79"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79"/>
    <w:bookmarkStart w:id="81"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80">
        <w:r>
          <w:rPr>
            <w:rStyle w:val="Hyperlink"/>
          </w:rPr>
          <w:t xml:space="preserve">https://doi.org/10.1121/1.5101933</w:t>
        </w:r>
      </w:hyperlink>
    </w:p>
    <w:bookmarkEnd w:id="81"/>
    <w:bookmarkStart w:id="82"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82"/>
    <w:bookmarkStart w:id="83"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83"/>
    <w:bookmarkStart w:id="84"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84"/>
    <w:bookmarkStart w:id="85"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86"/>
    <w:bookmarkStart w:id="87" w:name="ref-campbell-kibler2012"/>
    <w:p>
      <w:pPr>
        <w:pStyle w:val="Bibliography"/>
      </w:pPr>
      <w:r>
        <w:t xml:space="preserve">Campbell-Kibler, K. (2012). The implicit association test and sociolinguistic meaning.</w:t>
      </w:r>
      <w:r>
        <w:t xml:space="preserve"> </w:t>
      </w:r>
      <w:r>
        <w:rPr>
          <w:i/>
          <w:iCs/>
        </w:rPr>
        <w:t xml:space="preserve">Lingua</w:t>
      </w:r>
      <w:r>
        <w:t xml:space="preserve">,</w:t>
      </w:r>
      <w:r>
        <w:t xml:space="preserve"> </w:t>
      </w:r>
      <w:r>
        <w:rPr>
          <w:i/>
          <w:iCs/>
        </w:rPr>
        <w:t xml:space="preserve">122</w:t>
      </w:r>
      <w:r>
        <w:t xml:space="preserve">(7), 753–763.</w:t>
      </w:r>
    </w:p>
    <w:bookmarkEnd w:id="87"/>
    <w:bookmarkStart w:id="8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 Cambridge University Press Cambridge.</w:t>
      </w:r>
    </w:p>
    <w:bookmarkEnd w:id="88"/>
    <w:bookmarkStart w:id="8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89"/>
    <w:bookmarkStart w:id="90" w:name="ref-campbell-kiblerIssue"/>
    <w:p>
      <w:pPr>
        <w:pStyle w:val="Bibliography"/>
      </w:pPr>
      <w:r>
        <w:t xml:space="preserve">Campbell-Kibler, K. (2025). Accentedness ratings do not predict sensitivity to regional variation in vowel quality.</w:t>
      </w:r>
      <w:r>
        <w:t xml:space="preserve"> </w:t>
      </w:r>
      <w:r>
        <w:rPr>
          <w:i/>
          <w:iCs/>
        </w:rPr>
        <w:t xml:space="preserve">Journal of Sociolinguistics</w:t>
      </w:r>
      <w:r>
        <w:t xml:space="preserve">,</w:t>
      </w:r>
      <w:r>
        <w:t xml:space="preserve"> </w:t>
      </w:r>
      <w:r>
        <w:rPr>
          <w:i/>
          <w:iCs/>
        </w:rPr>
        <w:t xml:space="preserve">29</w:t>
      </w:r>
      <w:r>
        <w:t xml:space="preserve">(1).</w:t>
      </w:r>
    </w:p>
    <w:bookmarkEnd w:id="90"/>
    <w:bookmarkStart w:id="92" w:name="ref-campbell-kibler-miles-hercules2021"/>
    <w:p>
      <w:pPr>
        <w:pStyle w:val="Bibliography"/>
      </w:pPr>
      <w:r>
        <w:t xml:space="preserve">Campbell-Kibler, K., &amp; miles-hercules, deandre. (2021). Perception of gender and sexuality. In J. Angouri &amp; J. Baxter (Eds.),</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(1st ed., pp. 52–68). Routledge.</w:t>
      </w:r>
      <w:r>
        <w:t xml:space="preserve"> </w:t>
      </w:r>
      <w:hyperlink r:id="rId91">
        <w:r>
          <w:rPr>
            <w:rStyle w:val="Hyperlink"/>
          </w:rPr>
          <w:t xml:space="preserve">https://doi.org/10.4324/9781315514857-5</w:t>
        </w:r>
      </w:hyperlink>
    </w:p>
    <w:bookmarkEnd w:id="92"/>
    <w:bookmarkStart w:id="93" w:name="ref-chan2021"/>
    <w:p>
      <w:pPr>
        <w:pStyle w:val="Bibliography"/>
      </w:pPr>
      <w:r>
        <w:t xml:space="preserve">Chan, K. L. R. (2021). 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 G., &amp; Pisoni, D. B. (2004). Effects of talker variability on perceptual learning of dialects.</w:t>
      </w:r>
      <w:r>
        <w:t xml:space="preserve"> </w:t>
      </w:r>
      <w:r>
        <w:rPr>
          <w:i/>
          <w:iCs/>
        </w:rPr>
        <w:t xml:space="preserve">Language and Speech</w:t>
      </w:r>
      <w:r>
        <w:t xml:space="preserve">,</w:t>
      </w:r>
      <w:r>
        <w:t xml:space="preserve"> </w:t>
      </w:r>
      <w:r>
        <w:rPr>
          <w:i/>
          <w:iCs/>
        </w:rPr>
        <w:t xml:space="preserve">47</w:t>
      </w:r>
      <w:r>
        <w:t xml:space="preserve">(3), 207–238.</w:t>
      </w:r>
    </w:p>
    <w:bookmarkEnd w:id="94"/>
    <w:bookmarkStart w:id="96" w:name="ref-craik_recognition_2015"/>
    <w:p>
      <w:pPr>
        <w:pStyle w:val="Bibliography"/>
      </w:pPr>
      <w:r>
        <w:t xml:space="preserve">Craik, F. I. M., Rose, N. S., &amp; Gopie, N. (2015). 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w:t>
      </w:r>
      <w:r>
        <w:t xml:space="preserve"> </w:t>
      </w:r>
      <w:r>
        <w:rPr>
          <w:i/>
          <w:iCs/>
        </w:rPr>
        <w:t xml:space="preserve">41</w:t>
      </w:r>
      <w:r>
        <w:t xml:space="preserve">(5), 1271–1281.</w:t>
      </w:r>
      <w:r>
        <w:t xml:space="preserve"> </w:t>
      </w:r>
      <w:hyperlink r:id="rId95">
        <w:r>
          <w:rPr>
            <w:rStyle w:val="Hyperlink"/>
          </w:rPr>
          <w:t xml:space="preserve">https://doi.org/10.1037/xlm0000137</w:t>
        </w:r>
      </w:hyperlink>
    </w:p>
    <w:bookmarkEnd w:id="96"/>
    <w:bookmarkStart w:id="97" w:name="ref-cramer2021"/>
    <w:p>
      <w:pPr>
        <w:pStyle w:val="Bibliography"/>
      </w:pPr>
      <w:r>
        <w:t xml:space="preserve">Cramer, J. (2021). Mental maps and perceptual dialectology.</w:t>
      </w:r>
      <w:r>
        <w:t xml:space="preserve"> </w:t>
      </w:r>
      <w:r>
        <w:rPr>
          <w:i/>
          <w:iCs/>
        </w:rPr>
        <w:t xml:space="preserve">Language and Linguistics Compass</w:t>
      </w:r>
      <w:r>
        <w:t xml:space="preserve">,</w:t>
      </w:r>
      <w:r>
        <w:t xml:space="preserve"> </w:t>
      </w:r>
      <w:r>
        <w:rPr>
          <w:i/>
          <w:iCs/>
        </w:rPr>
        <w:t xml:space="preserve">15</w:t>
      </w:r>
      <w:r>
        <w:t xml:space="preserve">(2), e12405.</w:t>
      </w:r>
    </w:p>
    <w:bookmarkEnd w:id="97"/>
    <w:bookmarkStart w:id="98" w:name="ref-Donofrio2018"/>
    <w:p>
      <w:pPr>
        <w:pStyle w:val="Bibliography"/>
      </w:pPr>
      <w:r>
        <w:t xml:space="preserve">D’Onofrio, A. (2018). Controlled and automatic perceptions of a sociolinguistic marker.</w:t>
      </w:r>
      <w:r>
        <w:t xml:space="preserve"> </w:t>
      </w:r>
      <w:r>
        <w:rPr>
          <w:i/>
          <w:iCs/>
        </w:rPr>
        <w:t xml:space="preserve">Language Variation and Change</w:t>
      </w:r>
      <w:r>
        <w:t xml:space="preserve">,</w:t>
      </w:r>
      <w:r>
        <w:t xml:space="preserve"> </w:t>
      </w:r>
      <w:r>
        <w:rPr>
          <w:i/>
          <w:iCs/>
        </w:rPr>
        <w:t xml:space="preserve">30</w:t>
      </w:r>
      <w:r>
        <w:t xml:space="preserve">(2), 261–285.</w:t>
      </w:r>
    </w:p>
    <w:bookmarkEnd w:id="98"/>
    <w:bookmarkStart w:id="100" w:name="ref-donofrio2020"/>
    <w:p>
      <w:pPr>
        <w:pStyle w:val="Bibliography"/>
      </w:pPr>
      <w:r>
        <w:t xml:space="preserve">D’Onofrio, A. (2020). Personae in sociolinguistic variation.</w:t>
      </w:r>
      <w:r>
        <w:t xml:space="preserve"> </w:t>
      </w:r>
      <w:r>
        <w:rPr>
          <w:i/>
          <w:iCs/>
        </w:rPr>
        <w:t xml:space="preserve">WIREs Cognitive Science</w:t>
      </w:r>
      <w:r>
        <w:t xml:space="preserve">,</w:t>
      </w:r>
      <w:r>
        <w:t xml:space="preserve"> </w:t>
      </w:r>
      <w:r>
        <w:rPr>
          <w:i/>
          <w:iCs/>
        </w:rPr>
        <w:t xml:space="preserve">11</w:t>
      </w:r>
      <w:r>
        <w:t xml:space="preserve">(6), e1543.</w:t>
      </w:r>
      <w:r>
        <w:t xml:space="preserve"> </w:t>
      </w:r>
      <w:hyperlink r:id="rId99">
        <w:r>
          <w:rPr>
            <w:rStyle w:val="Hyperlink"/>
          </w:rPr>
          <w:t xml:space="preserve">https://doi.org/10.1002/wcs.1543</w:t>
        </w:r>
      </w:hyperlink>
    </w:p>
    <w:bookmarkEnd w:id="100"/>
    <w:bookmarkStart w:id="101" w:name="ref-donofrio2021"/>
    <w:p>
      <w:pPr>
        <w:pStyle w:val="Bibliography"/>
      </w:pPr>
      <w:r>
        <w:t xml:space="preserve">D’Onofrio, A. (2021). Sociolinguistic signs as cognitive representations.</w:t>
      </w:r>
      <w:r>
        <w:t xml:space="preserve"> </w:t>
      </w:r>
      <w:r>
        <w:rPr>
          <w:i/>
          <w:iCs/>
        </w:rPr>
        <w:t xml:space="preserve">Social Meaning in Linguistic Variation: Theorizing the Third Wave</w:t>
      </w:r>
      <w:r>
        <w:t xml:space="preserve">, 153–175.</w:t>
      </w:r>
    </w:p>
    <w:bookmarkEnd w:id="101"/>
    <w:bookmarkStart w:id="102"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102"/>
    <w:bookmarkStart w:id="104" w:name="ref-dehaene_towards_2001"/>
    <w:p>
      <w:pPr>
        <w:pStyle w:val="Bibliography"/>
      </w:pPr>
      <w:r>
        <w:t xml:space="preserve">Dehaene, S., &amp; Naccache, L. (2001). Towards a cognitive neuroscience of consciousness: Basic evidence and a workspace framework.</w:t>
      </w:r>
      <w:r>
        <w:t xml:space="preserve"> </w:t>
      </w:r>
      <w:r>
        <w:rPr>
          <w:i/>
          <w:iCs/>
        </w:rPr>
        <w:t xml:space="preserve">Cognition</w:t>
      </w:r>
      <w:r>
        <w:t xml:space="preserve">,</w:t>
      </w:r>
      <w:r>
        <w:t xml:space="preserve"> </w:t>
      </w:r>
      <w:r>
        <w:rPr>
          <w:i/>
          <w:iCs/>
        </w:rPr>
        <w:t xml:space="preserve">79</w:t>
      </w:r>
      <w:r>
        <w:t xml:space="preserve">(1-2), 1–37.</w:t>
      </w:r>
      <w:r>
        <w:t xml:space="preserve"> </w:t>
      </w:r>
      <w:hyperlink r:id="rId103">
        <w:r>
          <w:rPr>
            <w:rStyle w:val="Hyperlink"/>
          </w:rPr>
          <w:t xml:space="preserve">https://doi.org/10.1016/s0010-0277(00)00123-2</w:t>
        </w:r>
      </w:hyperlink>
    </w:p>
    <w:bookmarkEnd w:id="104"/>
    <w:bookmarkStart w:id="105" w:name="ref-Drager2010b"/>
    <w:p>
      <w:pPr>
        <w:pStyle w:val="Bibliography"/>
      </w:pPr>
      <w:r>
        <w:t xml:space="preserve">Drager, K. (2010). Sensitivity to grammatical and sociophonetic variability in perception.</w:t>
      </w:r>
      <w:r>
        <w:t xml:space="preserve"> </w:t>
      </w:r>
      <w:r>
        <w:rPr>
          <w:i/>
          <w:iCs/>
        </w:rPr>
        <w:t xml:space="preserve">Laboratory Phonology</w:t>
      </w:r>
      <w:r>
        <w:t xml:space="preserve">,</w:t>
      </w:r>
      <w:r>
        <w:t xml:space="preserve"> </w:t>
      </w:r>
      <w:r>
        <w:rPr>
          <w:i/>
          <w:iCs/>
        </w:rPr>
        <w:t xml:space="preserve">1</w:t>
      </w:r>
      <w:r>
        <w:t xml:space="preserve">(1), 93–120.</w:t>
      </w:r>
    </w:p>
    <w:bookmarkEnd w:id="105"/>
    <w:bookmarkStart w:id="106"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106"/>
    <w:bookmarkStart w:id="107" w:name="ref-drager2016a"/>
    <w:p>
      <w:pPr>
        <w:pStyle w:val="Bibliography"/>
      </w:pPr>
      <w:r>
        <w:t xml:space="preserve">Drager, K., &amp; Kirtley, J. (2016a).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7"/>
    <w:bookmarkStart w:id="108" w:name="ref-DragerKirtley2016"/>
    <w:p>
      <w:pPr>
        <w:pStyle w:val="Bibliography"/>
      </w:pPr>
      <w:r>
        <w:t xml:space="preserve">Drager, K., &amp; Kirtley, J. (2016b).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8"/>
    <w:bookmarkStart w:id="10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109"/>
    <w:bookmarkStart w:id="11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 S. B. (2008). Dual-processing accounts of reasoning, judgment, and social cognition.</w:t>
      </w:r>
      <w:r>
        <w:t xml:space="preserve"> </w:t>
      </w:r>
      <w:r>
        <w:rPr>
          <w:i/>
          <w:iCs/>
        </w:rPr>
        <w:t xml:space="preserve">Annu. Rev. Psychol.</w:t>
      </w:r>
      <w:r>
        <w:t xml:space="preserve">,</w:t>
      </w:r>
      <w:r>
        <w:t xml:space="preserve"> </w:t>
      </w:r>
      <w:r>
        <w:rPr>
          <w:i/>
          <w:iCs/>
        </w:rPr>
        <w:t xml:space="preserve">59</w:t>
      </w:r>
      <w:r>
        <w:t xml:space="preserve">, 255–278.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Mouton.</w:t>
      </w:r>
    </w:p>
    <w:bookmarkEnd w:id="112"/>
    <w:bookmarkStart w:id="113"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113"/>
    <w:bookmarkStart w:id="114" w:name="ref-Fowler1986"/>
    <w:p>
      <w:pPr>
        <w:pStyle w:val="Bibliography"/>
      </w:pPr>
      <w:r>
        <w:t xml:space="preserve">Fowler, C. A. (1986). An event approach to the study of speech perception from a direct— realist perspective.</w:t>
      </w:r>
      <w:r>
        <w:t xml:space="preserve"> </w:t>
      </w:r>
      <w:r>
        <w:rPr>
          <w:i/>
          <w:iCs/>
        </w:rPr>
        <w:t xml:space="preserve">Journal of Phonetics</w:t>
      </w:r>
      <w:r>
        <w:t xml:space="preserve">,</w:t>
      </w:r>
      <w:r>
        <w:t xml:space="preserve"> </w:t>
      </w:r>
      <w:r>
        <w:rPr>
          <w:i/>
          <w:iCs/>
        </w:rPr>
        <w:t xml:space="preserve">14</w:t>
      </w:r>
      <w:r>
        <w:t xml:space="preserve">, 3–28.</w:t>
      </w:r>
    </w:p>
    <w:bookmarkEnd w:id="114"/>
    <w:bookmarkStart w:id="115" w:name="ref-fuchsToda2010"/>
    <w:p>
      <w:pPr>
        <w:pStyle w:val="Bibliography"/>
      </w:pPr>
      <w:r>
        <w:t xml:space="preserve">Fuchs, S., &amp; Toda, M. (2010). Do differences in male versus female /s/ reflect biological or sociophonetic factors.</w:t>
      </w:r>
      <w:r>
        <w:t xml:space="preserve"> </w:t>
      </w:r>
      <w:r>
        <w:rPr>
          <w:i/>
          <w:iCs/>
        </w:rPr>
        <w:t xml:space="preserve">Turbulent Sounds: An Interdisciplinary Guide</w:t>
      </w:r>
      <w:r>
        <w:t xml:space="preserve">,</w:t>
      </w:r>
      <w:r>
        <w:t xml:space="preserve"> </w:t>
      </w:r>
      <w:r>
        <w:rPr>
          <w:i/>
          <w:iCs/>
        </w:rPr>
        <w:t xml:space="preserve">21</w:t>
      </w:r>
      <w:r>
        <w:t xml:space="preserve">, 281–302.</w:t>
      </w:r>
    </w:p>
    <w:bookmarkEnd w:id="115"/>
    <w:bookmarkStart w:id="116" w:name="ref-Ganong1980"/>
    <w:p>
      <w:pPr>
        <w:pStyle w:val="Bibliography"/>
      </w:pPr>
      <w:r>
        <w:t xml:space="preserve">Ganong, W. F. (1980). Phonetic categorization in auditory word perception.</w:t>
      </w:r>
      <w:r>
        <w:t xml:space="preserve"> </w:t>
      </w:r>
      <w:r>
        <w:rPr>
          <w:i/>
          <w:iCs/>
        </w:rPr>
        <w:t xml:space="preserve">Journal of Experimental Psychology: Human Perception and Performance</w:t>
      </w:r>
      <w:r>
        <w:t xml:space="preserve">,</w:t>
      </w:r>
      <w:r>
        <w:t xml:space="preserve"> </w:t>
      </w:r>
      <w:r>
        <w:rPr>
          <w:i/>
          <w:iCs/>
        </w:rPr>
        <w:t xml:space="preserve">6</w:t>
      </w:r>
      <w:r>
        <w:t xml:space="preserve">, 110–125.</w:t>
      </w:r>
    </w:p>
    <w:bookmarkEnd w:id="116"/>
    <w:bookmarkStart w:id="117" w:name="ref-gaskell2002representation"/>
    <w:p>
      <w:pPr>
        <w:pStyle w:val="Bibliography"/>
      </w:pPr>
      <w:r>
        <w:t xml:space="preserve">Gaskell, M. G., &amp; Marslen-Wilson, W. D. (2002). Representation and competition in the perception of spoken words.</w:t>
      </w:r>
      <w:r>
        <w:t xml:space="preserve"> </w:t>
      </w:r>
      <w:r>
        <w:rPr>
          <w:i/>
          <w:iCs/>
        </w:rPr>
        <w:t xml:space="preserve">Cognitive Psychology</w:t>
      </w:r>
      <w:r>
        <w:t xml:space="preserve">,</w:t>
      </w:r>
      <w:r>
        <w:t xml:space="preserve"> </w:t>
      </w:r>
      <w:r>
        <w:rPr>
          <w:i/>
          <w:iCs/>
        </w:rPr>
        <w:t xml:space="preserve">45</w:t>
      </w:r>
      <w:r>
        <w:t xml:space="preserve">(2), 220–266.</w:t>
      </w:r>
    </w:p>
    <w:bookmarkEnd w:id="117"/>
    <w:bookmarkStart w:id="118" w:name="ref-giles1970"/>
    <w:p>
      <w:pPr>
        <w:pStyle w:val="Bibliography"/>
      </w:pPr>
      <w:r>
        <w:t xml:space="preserve">Giles, H. (1970). Evaluative reactions to accents.</w:t>
      </w:r>
      <w:r>
        <w:t xml:space="preserve"> </w:t>
      </w:r>
      <w:r>
        <w:rPr>
          <w:i/>
          <w:iCs/>
        </w:rPr>
        <w:t xml:space="preserve">Educational Review</w:t>
      </w:r>
      <w:r>
        <w:t xml:space="preserve">,</w:t>
      </w:r>
      <w:r>
        <w:t xml:space="preserve"> </w:t>
      </w:r>
      <w:r>
        <w:rPr>
          <w:i/>
          <w:iCs/>
        </w:rPr>
        <w:t xml:space="preserve">22</w:t>
      </w:r>
      <w:r>
        <w:t xml:space="preserve">(3), 211–227.</w:t>
      </w:r>
    </w:p>
    <w:bookmarkEnd w:id="118"/>
    <w:bookmarkStart w:id="119"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119"/>
    <w:bookmarkStart w:id="120" w:name="ref-Goldinger1998"/>
    <w:p>
      <w:pPr>
        <w:pStyle w:val="Bibliography"/>
      </w:pPr>
      <w:r>
        <w:t xml:space="preserve">Goldinger, S. D. (1998). Echoes of echoes? An episodic theory of lexical access.</w:t>
      </w:r>
      <w:r>
        <w:t xml:space="preserve"> </w:t>
      </w:r>
      <w:r>
        <w:rPr>
          <w:i/>
          <w:iCs/>
        </w:rPr>
        <w:t xml:space="preserve">Psychological Review</w:t>
      </w:r>
      <w:r>
        <w:t xml:space="preserve">,</w:t>
      </w:r>
      <w:r>
        <w:t xml:space="preserve"> </w:t>
      </w:r>
      <w:r>
        <w:rPr>
          <w:i/>
          <w:iCs/>
        </w:rPr>
        <w:t xml:space="preserve">105</w:t>
      </w:r>
      <w:r>
        <w:t xml:space="preserve">(2), 251–279.</w:t>
      </w:r>
    </w:p>
    <w:bookmarkEnd w:id="120"/>
    <w:bookmarkStart w:id="121" w:name="ref-GreenEtAl1991"/>
    <w:p>
      <w:pPr>
        <w:pStyle w:val="Bibliography"/>
      </w:pPr>
      <w:r>
        <w:t xml:space="preserve">Green, K., Kuhl, P., Meltzoff, A., &amp; Stevens, E. (1991).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p>
    <w:bookmarkEnd w:id="121"/>
    <w:bookmarkStart w:id="122" w:name="ref-hadodoIssue"/>
    <w:p>
      <w:pPr>
        <w:pStyle w:val="Bibliography"/>
      </w:pPr>
      <w:r>
        <w:t xml:space="preserve">Hadodo, M. (2025).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29</w:t>
      </w:r>
      <w:r>
        <w:t xml:space="preserve">(2).</w:t>
      </w:r>
    </w:p>
    <w:bookmarkEnd w:id="122"/>
    <w:bookmarkStart w:id="123"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124"/>
    <w:bookmarkStart w:id="125"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125"/>
    <w:bookmarkStart w:id="126" w:name="ref-haywarrendrager2006"/>
    <w:p>
      <w:pPr>
        <w:pStyle w:val="Bibliography"/>
      </w:pPr>
      <w:r>
        <w:t xml:space="preserve">Hay, J., Warren, P., &amp; Drager, K. (2006). Factors influencing speech perception in the context of a merger-in-progress.</w:t>
      </w:r>
      <w:r>
        <w:t xml:space="preserve"> </w:t>
      </w:r>
      <w:r>
        <w:rPr>
          <w:i/>
          <w:iCs/>
        </w:rPr>
        <w:t xml:space="preserve">Journal of Phonetics</w:t>
      </w:r>
      <w:r>
        <w:t xml:space="preserve">,</w:t>
      </w:r>
      <w:r>
        <w:t xml:space="preserve"> </w:t>
      </w:r>
      <w:r>
        <w:rPr>
          <w:i/>
          <w:iCs/>
        </w:rPr>
        <w:t xml:space="preserve">34</w:t>
      </w:r>
      <w:r>
        <w:t xml:space="preserve">(4), 458–484.</w:t>
      </w:r>
    </w:p>
    <w:bookmarkEnd w:id="126"/>
    <w:bookmarkStart w:id="127" w:name="ref-inoue2003"/>
    <w:p>
      <w:pPr>
        <w:pStyle w:val="Bibliography"/>
      </w:pPr>
      <w:r>
        <w:t xml:space="preserve">Inoue, M. (2003). 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w:t>
      </w:r>
      <w:r>
        <w:t xml:space="preserve"> </w:t>
      </w:r>
      <w:r>
        <w:rPr>
          <w:i/>
          <w:iCs/>
        </w:rPr>
        <w:t xml:space="preserve">23</w:t>
      </w:r>
      <w:r>
        <w:t xml:space="preserve">(3-4), 315–330.</w:t>
      </w:r>
    </w:p>
    <w:bookmarkEnd w:id="127"/>
    <w:bookmarkStart w:id="128"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128"/>
    <w:bookmarkStart w:id="129" w:name="ref-Johnson2006"/>
    <w:p>
      <w:pPr>
        <w:pStyle w:val="Bibliography"/>
      </w:pPr>
      <w:r>
        <w:t xml:space="preserve">Johnson, K. (2006).</w:t>
      </w:r>
      <w:r>
        <w:t xml:space="preserve"> </w:t>
      </w:r>
      <w:r>
        <w:t xml:space="preserve">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129"/>
    <w:bookmarkStart w:id="130"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130"/>
    <w:bookmarkStart w:id="131" w:name="ref-Joos1948"/>
    <w:p>
      <w:pPr>
        <w:pStyle w:val="Bibliography"/>
      </w:pPr>
      <w:r>
        <w:t xml:space="preserve">Joos, M. (1948). Acoustic phonetics.</w:t>
      </w:r>
      <w:r>
        <w:t xml:space="preserve"> </w:t>
      </w:r>
      <w:r>
        <w:rPr>
          <w:i/>
          <w:iCs/>
        </w:rPr>
        <w:t xml:space="preserve">Language</w:t>
      </w:r>
      <w:r>
        <w:t xml:space="preserve">,</w:t>
      </w:r>
      <w:r>
        <w:t xml:space="preserve"> </w:t>
      </w:r>
      <w:r>
        <w:rPr>
          <w:i/>
          <w:iCs/>
        </w:rPr>
        <w:t xml:space="preserve">24</w:t>
      </w:r>
      <w:r>
        <w:t xml:space="preserve">(2), 5–136.</w:t>
      </w:r>
    </w:p>
    <w:bookmarkEnd w:id="131"/>
    <w:bookmarkStart w:id="132"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132"/>
    <w:bookmarkStart w:id="133"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133"/>
    <w:bookmarkStart w:id="134" w:name="ref-kristiansen2009"/>
    <w:p>
      <w:pPr>
        <w:pStyle w:val="Bibliography"/>
      </w:pPr>
      <w:r>
        <w:t xml:space="preserve">Kristiansen, T. (2009). The macro-level social meanings of late-modern danish accents.</w:t>
      </w:r>
      <w:r>
        <w:t xml:space="preserve"> </w:t>
      </w:r>
      <w:r>
        <w:rPr>
          <w:i/>
          <w:iCs/>
        </w:rPr>
        <w:t xml:space="preserve">Acta Linguistica Hafniensia</w:t>
      </w:r>
      <w:r>
        <w:t xml:space="preserve">,</w:t>
      </w:r>
      <w:r>
        <w:t xml:space="preserve"> </w:t>
      </w:r>
      <w:r>
        <w:rPr>
          <w:i/>
          <w:iCs/>
        </w:rPr>
        <w:t xml:space="preserve">41</w:t>
      </w:r>
      <w:r>
        <w:t xml:space="preserve">(1), 167–192.</w:t>
      </w:r>
    </w:p>
    <w:bookmarkEnd w:id="134"/>
    <w:bookmarkStart w:id="135"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35"/>
    <w:bookmarkStart w:id="136"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36"/>
    <w:bookmarkStart w:id="138"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37">
        <w:r>
          <w:rPr>
            <w:rStyle w:val="Hyperlink"/>
          </w:rPr>
          <w:t xml:space="preserve">https://doi.org/10.1371/journal.pone.0130834</w:t>
        </w:r>
      </w:hyperlink>
    </w:p>
    <w:bookmarkEnd w:id="138"/>
    <w:bookmarkStart w:id="140" w:name="ref-laver1968"/>
    <w:p>
      <w:pPr>
        <w:pStyle w:val="Bibliography"/>
      </w:pPr>
      <w:r>
        <w:t xml:space="preserve">Laver, J. D. M. (1968). Voice quality and indexical information.</w:t>
      </w:r>
      <w:r>
        <w:t xml:space="preserve"> </w:t>
      </w:r>
      <w:r>
        <w:rPr>
          <w:i/>
          <w:iCs/>
        </w:rPr>
        <w:t xml:space="preserve">British Journal of Disorders of Communication</w:t>
      </w:r>
      <w:r>
        <w:t xml:space="preserve">,</w:t>
      </w:r>
      <w:r>
        <w:t xml:space="preserve"> </w:t>
      </w:r>
      <w:r>
        <w:rPr>
          <w:i/>
          <w:iCs/>
        </w:rPr>
        <w:t xml:space="preserve">3</w:t>
      </w:r>
      <w:r>
        <w:t xml:space="preserve">(1), 43–54.</w:t>
      </w:r>
      <w:r>
        <w:t xml:space="preserve"> </w:t>
      </w:r>
      <w:hyperlink r:id="rId139">
        <w:r>
          <w:rPr>
            <w:rStyle w:val="Hyperlink"/>
          </w:rPr>
          <w:t xml:space="preserve">https://doi.org/10.3109/13682826809011440</w:t>
        </w:r>
      </w:hyperlink>
    </w:p>
    <w:bookmarkEnd w:id="140"/>
    <w:bookmarkStart w:id="142" w:name="ref-levonFox2014"/>
    <w:p>
      <w:pPr>
        <w:pStyle w:val="Bibliography"/>
      </w:pPr>
      <w:r>
        <w:t xml:space="preserve">Levon, E., &amp; Fox, S. (2014). 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w:t>
      </w:r>
      <w:r>
        <w:t xml:space="preserve"> </w:t>
      </w:r>
      <w:r>
        <w:rPr>
          <w:i/>
          <w:iCs/>
        </w:rPr>
        <w:t xml:space="preserve">42</w:t>
      </w:r>
      <w:r>
        <w:t xml:space="preserve">(3), 185–217.</w:t>
      </w:r>
      <w:r>
        <w:t xml:space="preserve"> </w:t>
      </w:r>
      <w:hyperlink r:id="rId141">
        <w:r>
          <w:rPr>
            <w:rStyle w:val="Hyperlink"/>
          </w:rPr>
          <w:t xml:space="preserve">https://doi.org/10.1177/0075424214531487</w:t>
        </w:r>
      </w:hyperlink>
    </w:p>
    <w:bookmarkEnd w:id="142"/>
    <w:bookmarkStart w:id="143"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43"/>
    <w:bookmarkStart w:id="144"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p>
    <w:bookmarkEnd w:id="144"/>
    <w:bookmarkStart w:id="145" w:name="ref-mackMunson2012b"/>
    <w:p>
      <w:pPr>
        <w:pStyle w:val="Bibliography"/>
      </w:pPr>
      <w:r>
        <w:t xml:space="preserve">Mack, S., &amp; Munson, B. (2012a).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45"/>
    <w:bookmarkStart w:id="147" w:name="ref-mackmunson2012"/>
    <w:p>
      <w:pPr>
        <w:pStyle w:val="Bibliography"/>
      </w:pPr>
      <w:r>
        <w:t xml:space="preserve">Mack, S., &amp; Munson, B. (2012b). 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w:t>
      </w:r>
      <w:r>
        <w:t xml:space="preserve"> </w:t>
      </w:r>
      <w:r>
        <w:rPr>
          <w:i/>
          <w:iCs/>
        </w:rPr>
        <w:t xml:space="preserve">40</w:t>
      </w:r>
      <w:r>
        <w:t xml:space="preserve">(1), 198–212. https://doi.org/</w:t>
      </w:r>
      <w:hyperlink r:id="rId146">
        <w:r>
          <w:rPr>
            <w:rStyle w:val="Hyperlink"/>
          </w:rPr>
          <w:t xml:space="preserve">https://doi.org/10.1016/j.wocn.2011.10.002</w:t>
        </w:r>
      </w:hyperlink>
    </w:p>
    <w:bookmarkEnd w:id="147"/>
    <w:bookmarkStart w:id="148" w:name="ref-MannRepp1980"/>
    <w:p>
      <w:pPr>
        <w:pStyle w:val="Bibliography"/>
      </w:pPr>
      <w:r>
        <w:t xml:space="preserve">Mann, V. A., &amp; Repp, B. H. (1980). Influence of vocalic context on perception of the [∫]-[s]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48"/>
    <w:bookmarkStart w:id="149"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49"/>
    <w:bookmarkStart w:id="150"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50"/>
    <w:bookmarkStart w:id="151"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51"/>
    <w:bookmarkStart w:id="152"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52"/>
    <w:bookmarkStart w:id="153" w:name="ref-mcgowan2016"/>
    <w:p>
      <w:pPr>
        <w:pStyle w:val="Bibliography"/>
      </w:pPr>
      <w:r>
        <w:t xml:space="preserve">McGowan, K. B. (2016). Sounding chinese and listening chinese: Awareness and knowledge in the laboratory. In A. M. Babel (Ed.),</w:t>
      </w:r>
      <w:r>
        <w:t xml:space="preserve"> </w:t>
      </w:r>
      <w:r>
        <w:rPr>
          <w:i/>
          <w:iCs/>
        </w:rPr>
        <w:t xml:space="preserve">Awareness and control in sociolinguistic research</w:t>
      </w:r>
      <w:r>
        <w:t xml:space="preserve"> </w:t>
      </w:r>
      <w:r>
        <w:t xml:space="preserve">(pp. 25–61). Cambridge University Press Cambridge.</w:t>
      </w:r>
    </w:p>
    <w:bookmarkEnd w:id="153"/>
    <w:bookmarkStart w:id="154"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54"/>
    <w:bookmarkStart w:id="155"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55"/>
    <w:bookmarkStart w:id="156" w:name="ref-milroyMcClenaghan1977"/>
    <w:p>
      <w:pPr>
        <w:pStyle w:val="Bibliography"/>
      </w:pPr>
      <w:r>
        <w:t xml:space="preserve">Milroy, L., &amp; McClenaghan, P. (1977). Stereotyped reactions to four educated accents in ulster.</w:t>
      </w:r>
      <w:r>
        <w:t xml:space="preserve"> </w:t>
      </w:r>
      <w:r>
        <w:rPr>
          <w:i/>
          <w:iCs/>
        </w:rPr>
        <w:t xml:space="preserve">Belfast Working Papers in Language and Linguistics</w:t>
      </w:r>
      <w:r>
        <w:t xml:space="preserve">,</w:t>
      </w:r>
      <w:r>
        <w:t xml:space="preserve"> </w:t>
      </w:r>
      <w:r>
        <w:rPr>
          <w:i/>
          <w:iCs/>
        </w:rPr>
        <w:t xml:space="preserve">2</w:t>
      </w:r>
      <w:r>
        <w:t xml:space="preserve">(4), 1–11.</w:t>
      </w:r>
    </w:p>
    <w:bookmarkEnd w:id="156"/>
    <w:bookmarkStart w:id="157"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57"/>
    <w:bookmarkStart w:id="158"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58"/>
    <w:bookmarkStart w:id="159" w:name="ref-niedzielskiPreston2000"/>
    <w:p>
      <w:pPr>
        <w:pStyle w:val="Bibliography"/>
      </w:pPr>
      <w:r>
        <w:t xml:space="preserve">Niedzielski, N., &amp; Preston, D. R. (2000).</w:t>
      </w:r>
      <w:r>
        <w:t xml:space="preserve"> </w:t>
      </w:r>
      <w:r>
        <w:rPr>
          <w:i/>
          <w:iCs/>
        </w:rPr>
        <w:t xml:space="preserve">Folk linguistics</w:t>
      </w:r>
      <w:r>
        <w:t xml:space="preserve"> </w:t>
      </w:r>
      <w:r>
        <w:t xml:space="preserve">(Vol. 122). Walter de Gruyter.</w:t>
      </w:r>
    </w:p>
    <w:bookmarkEnd w:id="159"/>
    <w:bookmarkStart w:id="160"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60"/>
    <w:bookmarkStart w:id="161"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61"/>
    <w:bookmarkStart w:id="162"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62"/>
    <w:bookmarkStart w:id="163"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63"/>
    <w:bookmarkStart w:id="164" w:name="ref-pharao2014"/>
    <w:p>
      <w:pPr>
        <w:pStyle w:val="Bibliography"/>
      </w:pPr>
      <w:r>
        <w:t xml:space="preserve">Pharao, N., Maegaard, M., Møller, J. S., &amp; Kristiansen, T. (2014). Indexical meanings of [s+] among copenhagen youth: Social perception of a phonetic variant in different prosodic contexts.</w:t>
      </w:r>
      <w:r>
        <w:t xml:space="preserve"> </w:t>
      </w:r>
      <w:r>
        <w:rPr>
          <w:i/>
          <w:iCs/>
        </w:rPr>
        <w:t xml:space="preserve">Language in Society</w:t>
      </w:r>
      <w:r>
        <w:t xml:space="preserve">,</w:t>
      </w:r>
      <w:r>
        <w:t xml:space="preserve"> </w:t>
      </w:r>
      <w:r>
        <w:rPr>
          <w:i/>
          <w:iCs/>
        </w:rPr>
        <w:t xml:space="preserve">43</w:t>
      </w:r>
      <w:r>
        <w:t xml:space="preserve">(1), 1–31.</w:t>
      </w:r>
    </w:p>
    <w:bookmarkEnd w:id="164"/>
    <w:bookmarkStart w:id="165" w:name="ref-pierrehumbert2003phonetic"/>
    <w:p>
      <w:pPr>
        <w:pStyle w:val="Bibliography"/>
      </w:pPr>
      <w:r>
        <w:t xml:space="preserve">Pierrehumbert, J. B. (2003). Phonetic diversity, statistical learning, and acquisition of phonology.</w:t>
      </w:r>
      <w:r>
        <w:t xml:space="preserve"> </w:t>
      </w:r>
      <w:r>
        <w:rPr>
          <w:i/>
          <w:iCs/>
        </w:rPr>
        <w:t xml:space="preserve">Language and Speech</w:t>
      </w:r>
      <w:r>
        <w:t xml:space="preserve">,</w:t>
      </w:r>
      <w:r>
        <w:t xml:space="preserve"> </w:t>
      </w:r>
      <w:r>
        <w:rPr>
          <w:i/>
          <w:iCs/>
        </w:rPr>
        <w:t xml:space="preserve">46</w:t>
      </w:r>
      <w:r>
        <w:t xml:space="preserve">(2-3), 115–154.</w:t>
      </w:r>
    </w:p>
    <w:bookmarkEnd w:id="165"/>
    <w:bookmarkStart w:id="166" w:name="ref-podesvaKajino2014"/>
    <w:p>
      <w:pPr>
        <w:pStyle w:val="Bibliography"/>
      </w:pPr>
      <w:r>
        <w:t xml:space="preserve">Podesva, R. J., &amp; Kajino, S. (2014). Sociophonetics, gender, and sexuality.</w:t>
      </w:r>
      <w:r>
        <w:t xml:space="preserve"> </w:t>
      </w:r>
      <w:r>
        <w:rPr>
          <w:i/>
          <w:iCs/>
        </w:rPr>
        <w:t xml:space="preserve">The Handbook of Language, Gender, and Sexuality</w:t>
      </w:r>
      <w:r>
        <w:t xml:space="preserve">, 103–122.</w:t>
      </w:r>
    </w:p>
    <w:bookmarkEnd w:id="166"/>
    <w:bookmarkStart w:id="167" w:name="ref-preston1996"/>
    <w:p>
      <w:pPr>
        <w:pStyle w:val="Bibliography"/>
      </w:pPr>
      <w:r>
        <w:t xml:space="preserve">Preston, D. R. (1996). Whaddayaknow?: The modes of folk linguistic awareness.</w:t>
      </w:r>
      <w:r>
        <w:t xml:space="preserve"> </w:t>
      </w:r>
      <w:r>
        <w:rPr>
          <w:i/>
          <w:iCs/>
        </w:rPr>
        <w:t xml:space="preserve">Language Awareness</w:t>
      </w:r>
      <w:r>
        <w:t xml:space="preserve">,</w:t>
      </w:r>
      <w:r>
        <w:t xml:space="preserve"> </w:t>
      </w:r>
      <w:r>
        <w:rPr>
          <w:i/>
          <w:iCs/>
        </w:rPr>
        <w:t xml:space="preserve">5</w:t>
      </w:r>
      <w:r>
        <w:t xml:space="preserve">(1), 40–74.</w:t>
      </w:r>
    </w:p>
    <w:bookmarkEnd w:id="167"/>
    <w:bookmarkStart w:id="169" w:name="ref-prinz_unconscious_2015"/>
    <w:p>
      <w:pPr>
        <w:pStyle w:val="Bibliography"/>
      </w:pPr>
      <w:r>
        <w:t xml:space="preserve">Prinz, J. J. (2015). Unconscious perception. 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w:t>
      </w:r>
      <w:r>
        <w:t xml:space="preserve">(pp. 371–389). Oxford University Press.</w:t>
      </w:r>
      <w:r>
        <w:t xml:space="preserve"> </w:t>
      </w:r>
      <w:hyperlink r:id="rId168">
        <w:r>
          <w:rPr>
            <w:rStyle w:val="Hyperlink"/>
          </w:rPr>
          <w:t xml:space="preserve">https://doi.org/10.1093/oxfordhb/9780199600472.001.0001</w:t>
        </w:r>
      </w:hyperlink>
    </w:p>
    <w:bookmarkEnd w:id="169"/>
    <w:bookmarkStart w:id="170"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70"/>
    <w:bookmarkStart w:id="171"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71"/>
    <w:bookmarkStart w:id="172" w:name="ref-sawusch2005"/>
    <w:p>
      <w:pPr>
        <w:pStyle w:val="Bibliography"/>
      </w:pPr>
      <w:r>
        <w:t xml:space="preserve">Sawusch, J. R. (2005). Acoustic analysis and synthesis of speech.</w:t>
      </w:r>
      <w:r>
        <w:t xml:space="preserve"> </w:t>
      </w:r>
      <w:r>
        <w:rPr>
          <w:i/>
          <w:iCs/>
        </w:rPr>
        <w:t xml:space="preserve">The Handbook of Speech Perception</w:t>
      </w:r>
      <w:r>
        <w:t xml:space="preserve">, 6–27.</w:t>
      </w:r>
    </w:p>
    <w:bookmarkEnd w:id="172"/>
    <w:bookmarkStart w:id="17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73"/>
    <w:bookmarkStart w:id="175" w:name="ref-schulman1974"/>
    <w:p>
      <w:pPr>
        <w:pStyle w:val="Bibliography"/>
      </w:pPr>
      <w:r>
        <w:t xml:space="preserve">Schulman, A. I. (1974). Memory for words recently classified.</w:t>
      </w:r>
      <w:r>
        <w:t xml:space="preserve"> </w:t>
      </w:r>
      <w:r>
        <w:rPr>
          <w:i/>
          <w:iCs/>
        </w:rPr>
        <w:t xml:space="preserve">Memory &amp; Cognition</w:t>
      </w:r>
      <w:r>
        <w:t xml:space="preserve">,</w:t>
      </w:r>
      <w:r>
        <w:t xml:space="preserve"> </w:t>
      </w:r>
      <w:r>
        <w:rPr>
          <w:i/>
          <w:iCs/>
        </w:rPr>
        <w:t xml:space="preserve">2</w:t>
      </w:r>
      <w:r>
        <w:t xml:space="preserve">(1), 47–52.</w:t>
      </w:r>
      <w:r>
        <w:t xml:space="preserve"> </w:t>
      </w:r>
      <w:hyperlink r:id="rId174">
        <w:r>
          <w:rPr>
            <w:rStyle w:val="Hyperlink"/>
          </w:rPr>
          <w:t xml:space="preserve">https://doi.org/10.3758/BF03197491</w:t>
        </w:r>
      </w:hyperlink>
    </w:p>
    <w:bookmarkEnd w:id="175"/>
    <w:bookmarkStart w:id="17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76"/>
    <w:bookmarkStart w:id="177" w:name="ref-SharmaIssue"/>
    <w:p>
      <w:pPr>
        <w:pStyle w:val="Bibliography"/>
      </w:pPr>
      <w:r>
        <w:t xml:space="preserve">Sharma, D. (2025). The style game: A socio-cognitive approach to accommodation in real time.</w:t>
      </w:r>
      <w:r>
        <w:t xml:space="preserve"> </w:t>
      </w:r>
      <w:r>
        <w:rPr>
          <w:i/>
          <w:iCs/>
        </w:rPr>
        <w:t xml:space="preserve">Journal of Sociolinguistics</w:t>
      </w:r>
      <w:r>
        <w:t xml:space="preserve">,</w:t>
      </w:r>
      <w:r>
        <w:t xml:space="preserve"> </w:t>
      </w:r>
      <w:r>
        <w:rPr>
          <w:i/>
          <w:iCs/>
        </w:rPr>
        <w:t xml:space="preserve">29</w:t>
      </w:r>
      <w:r>
        <w:t xml:space="preserve">(3).</w:t>
      </w:r>
    </w:p>
    <w:bookmarkEnd w:id="177"/>
    <w:bookmarkStart w:id="178" w:name="ref-Squires2013"/>
    <w:p>
      <w:pPr>
        <w:pStyle w:val="Bibliography"/>
      </w:pPr>
      <w:r>
        <w:t xml:space="preserve">Squires, L. (2013). It don’t go both ways: Limited bidirectionality in sociolinguistic perception.</w:t>
      </w:r>
      <w:r>
        <w:t xml:space="preserve"> </w:t>
      </w:r>
      <w:r>
        <w:rPr>
          <w:i/>
          <w:iCs/>
        </w:rPr>
        <w:t xml:space="preserve">Journal of Sociolinguistics</w:t>
      </w:r>
      <w:r>
        <w:t xml:space="preserve">,</w:t>
      </w:r>
      <w:r>
        <w:t xml:space="preserve"> </w:t>
      </w:r>
      <w:r>
        <w:rPr>
          <w:i/>
          <w:iCs/>
        </w:rPr>
        <w:t xml:space="preserve">17</w:t>
      </w:r>
      <w:r>
        <w:t xml:space="preserve">(2), 200–237.</w:t>
      </w:r>
    </w:p>
    <w:bookmarkEnd w:id="178"/>
    <w:bookmarkStart w:id="179" w:name="ref-steckerDOnofrioIssue"/>
    <w:p>
      <w:pPr>
        <w:pStyle w:val="Bibliography"/>
      </w:pPr>
      <w:r>
        <w:t xml:space="preserve">Stecker, A., &amp; D’Onofrio, A. (2025).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29</w:t>
      </w:r>
      <w:r>
        <w:t xml:space="preserve">(2).</w:t>
      </w:r>
    </w:p>
    <w:bookmarkEnd w:id="179"/>
    <w:bookmarkStart w:id="180"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80"/>
    <w:bookmarkStart w:id="182" w:name="ref-strandJohnson1996"/>
    <w:p>
      <w:pPr>
        <w:pStyle w:val="Bibliography"/>
      </w:pPr>
      <w:r>
        <w:t xml:space="preserve">Strand, E. A., &amp; Johnson, K. (1996). 2. Gradient and visual speaker normalization in the perception of fricatives. In D. Gibbon (Ed.),</w:t>
      </w:r>
      <w:r>
        <w:t xml:space="preserve"> </w:t>
      </w:r>
      <w:r>
        <w:rPr>
          <w:i/>
          <w:iCs/>
        </w:rPr>
        <w:t xml:space="preserve">Results of the 3rd KONVENS conference, bielefeld, october 1996</w:t>
      </w:r>
      <w:r>
        <w:t xml:space="preserve"> </w:t>
      </w:r>
      <w:r>
        <w:t xml:space="preserve">(pp. 14–26). De Gruyter Mouton.</w:t>
      </w:r>
      <w:r>
        <w:t xml:space="preserve"> </w:t>
      </w:r>
      <w:hyperlink r:id="rId181">
        <w:r>
          <w:rPr>
            <w:rStyle w:val="Hyperlink"/>
          </w:rPr>
          <w:t xml:space="preserve">https://doi.org/doi:10.1515/9783110821895-003</w:t>
        </w:r>
      </w:hyperlink>
    </w:p>
    <w:bookmarkEnd w:id="182"/>
    <w:bookmarkStart w:id="183" w:name="ref-sumner2014"/>
    <w:p>
      <w:pPr>
        <w:pStyle w:val="Bibliography"/>
      </w:pPr>
      <w:r>
        <w:t xml:space="preserve">Sumner, M., Kim, S. K., King, E., &amp; McGowan, K. B. (2014). The socially weighted encoding of spoken words: A dual-route approach to speech perception.</w:t>
      </w:r>
      <w:r>
        <w:t xml:space="preserve"> </w:t>
      </w:r>
      <w:r>
        <w:rPr>
          <w:i/>
          <w:iCs/>
        </w:rPr>
        <w:t xml:space="preserve">Frontiers in Psychology</w:t>
      </w:r>
      <w:r>
        <w:t xml:space="preserve">,</w:t>
      </w:r>
      <w:r>
        <w:t xml:space="preserve"> </w:t>
      </w:r>
      <w:r>
        <w:rPr>
          <w:i/>
          <w:iCs/>
        </w:rPr>
        <w:t xml:space="preserve">4</w:t>
      </w:r>
      <w:r>
        <w:t xml:space="preserve">, 1015.</w:t>
      </w:r>
    </w:p>
    <w:bookmarkEnd w:id="183"/>
    <w:bookmarkStart w:id="184"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84"/>
    <w:bookmarkStart w:id="185"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 219–237.</w:t>
      </w:r>
    </w:p>
    <w:bookmarkEnd w:id="185"/>
    <w:bookmarkStart w:id="186"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86"/>
    <w:bookmarkStart w:id="187"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87"/>
    <w:bookmarkStart w:id="188"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88"/>
    <w:bookmarkStart w:id="189"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89"/>
    <w:bookmarkStart w:id="190"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90"/>
    <w:bookmarkEnd w:id="191"/>
    <w:bookmarkEnd w:id="192"/>
    <w:sectPr w:rsidR="00B46A4E" w:rsidRPr="0019120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&amp;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40">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06101D"/>
    <w:rsid w:val="00191209"/>
    <w:rsid w:val="001B6542"/>
    <w:rsid w:val="00292A31"/>
    <w:rsid w:val="00292D22"/>
    <w:rsid w:val="00380711"/>
    <w:rsid w:val="00422639"/>
    <w:rsid w:val="004237E0"/>
    <w:rsid w:val="004C36F5"/>
    <w:rsid w:val="004C613D"/>
    <w:rsid w:val="0056650E"/>
    <w:rsid w:val="005F678E"/>
    <w:rsid w:val="00603281"/>
    <w:rsid w:val="00757606"/>
    <w:rsid w:val="007E4D06"/>
    <w:rsid w:val="00870A8E"/>
    <w:rsid w:val="00891442"/>
    <w:rsid w:val="008C4BA1"/>
    <w:rsid w:val="00A11CB9"/>
    <w:rsid w:val="00AE7439"/>
    <w:rsid w:val="00B25284"/>
    <w:rsid w:val="00B36C7E"/>
    <w:rsid w:val="00B46A4E"/>
    <w:rsid w:val="00B76AF5"/>
    <w:rsid w:val="00BE0E21"/>
    <w:rsid w:val="00C23838"/>
    <w:rsid w:val="00C56391"/>
    <w:rsid w:val="00C74324"/>
    <w:rsid w:val="00CE7D07"/>
    <w:rsid w:val="00CF168D"/>
    <w:rsid w:val="00D43B85"/>
    <w:rsid w:val="00DB768E"/>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CF168D"/>
    <w:pPr>
      <w:spacing w:line="360" w:lineRule="auto"/>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AE7439"/>
    <w:pPr>
      <w:keepNext/>
      <w:keepLines/>
      <w:spacing w:before="40" w:line="360" w:lineRule="auto"/>
      <w:outlineLvl w:val="1"/>
    </w:pPr>
    <w:rPr>
      <w:rFonts w:asciiTheme="majorHAnsi" w:cstheme="majorBidi" w:eastAsiaTheme="majorEastAsia" w:hAnsiTheme="majorHAnsi"/>
      <w:color w:themeColor="text1" w:val="000000"/>
      <w:sz w:val="26"/>
      <w:szCs w:val="26"/>
    </w:rPr>
  </w:style>
  <w:style w:styleId="Heading3" w:type="paragraph">
    <w:name w:val="heading 3"/>
    <w:basedOn w:val="Normal"/>
    <w:next w:val="Normal"/>
    <w:link w:val="Heading3Char"/>
    <w:uiPriority w:val="9"/>
    <w:semiHidden/>
    <w:unhideWhenUsed/>
    <w:qFormat/>
    <w:rsid w:val="00AE7439"/>
    <w:pPr>
      <w:keepNext/>
      <w:keepLines/>
      <w:spacing w:before="40" w:line="360" w:lineRule="auto"/>
      <w:outlineLvl w:val="2"/>
    </w:pPr>
    <w:rPr>
      <w:rFonts w:asciiTheme="majorHAnsi" w:cstheme="majorBidi" w:eastAsiaTheme="majorEastAsia" w:hAnsiTheme="majorHAnsi"/>
      <w:color w:themeColor="text1" w:val="000000"/>
      <w:sz w:val="24"/>
      <w:szCs w:val="24"/>
    </w:rPr>
  </w:style>
  <w:style w:styleId="Heading4" w:type="paragraph">
    <w:name w:val="heading 4"/>
    <w:basedOn w:val="Normal"/>
    <w:next w:val="Normal"/>
    <w:link w:val="Heading4Char"/>
    <w:uiPriority w:val="9"/>
    <w:semiHidden/>
    <w:unhideWhenUsed/>
    <w:qFormat/>
    <w:rsid w:val="00191209"/>
    <w:pPr>
      <w:keepNext/>
      <w:keepLines/>
      <w:spacing w:before="40"/>
      <w:outlineLvl w:val="3"/>
    </w:pPr>
    <w:rPr>
      <w:rFonts w:asciiTheme="majorHAnsi" w:cstheme="majorBidi" w:eastAsiaTheme="majorEastAsia" w:hAnsiTheme="majorHAnsi"/>
      <w:i/>
      <w:iCs/>
      <w:color w:themeColor="text1" w:val="000000"/>
    </w:rPr>
  </w:style>
  <w:style w:styleId="Heading5" w:type="paragraph">
    <w:name w:val="heading 5"/>
    <w:basedOn w:val="Normal"/>
    <w:next w:val="Normal"/>
    <w:link w:val="Heading5Char"/>
    <w:uiPriority w:val="9"/>
    <w:semiHidden/>
    <w:unhideWhenUsed/>
    <w:qFormat/>
    <w:rsid w:val="00191209"/>
    <w:pPr>
      <w:keepNext/>
      <w:keepLines/>
      <w:spacing w:before="40"/>
      <w:outlineLvl w:val="4"/>
    </w:pPr>
    <w:rPr>
      <w:rFonts w:asciiTheme="majorHAnsi" w:cstheme="majorBidi" w:eastAsiaTheme="majorEastAsia" w:hAnsiTheme="majorHAnsi"/>
      <w:color w:themeColor="text1" w:val="000000"/>
    </w:rPr>
  </w:style>
  <w:style w:styleId="Heading6" w:type="paragraph">
    <w:name w:val="heading 6"/>
    <w:basedOn w:val="Normal"/>
    <w:next w:val="Normal"/>
    <w:link w:val="Heading6Char"/>
    <w:uiPriority w:val="9"/>
    <w:semiHidden/>
    <w:unhideWhenUsed/>
    <w:qFormat/>
    <w:rsid w:val="00191209"/>
    <w:pPr>
      <w:keepNext/>
      <w:keepLines/>
      <w:spacing w:before="40"/>
      <w:outlineLvl w:val="5"/>
    </w:pPr>
    <w:rPr>
      <w:rFonts w:asciiTheme="majorHAnsi" w:cstheme="majorBidi" w:eastAsiaTheme="majorEastAsia" w:hAnsiTheme="majorHAnsi"/>
      <w:color w:themeColor="text1" w:val="000000"/>
    </w:rPr>
  </w:style>
  <w:style w:styleId="Heading7" w:type="paragraph">
    <w:name w:val="heading 7"/>
    <w:basedOn w:val="Normal"/>
    <w:next w:val="Normal"/>
    <w:link w:val="Heading7Char"/>
    <w:uiPriority w:val="9"/>
    <w:semiHidden/>
    <w:unhideWhenUsed/>
    <w:qFormat/>
    <w:rsid w:val="00191209"/>
    <w:pPr>
      <w:keepNext/>
      <w:keepLines/>
      <w:spacing w:before="40"/>
      <w:outlineLvl w:val="6"/>
    </w:pPr>
    <w:rPr>
      <w:rFonts w:asciiTheme="majorHAnsi" w:cstheme="majorBidi" w:eastAsiaTheme="majorEastAsia" w:hAnsiTheme="majorHAnsi"/>
      <w:i/>
      <w:iCs/>
      <w:color w:themeColor="text1" w:val="00000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757606"/>
    <w:pPr>
      <w:spacing w:line="360" w:lineRule="auto"/>
      <w:ind w:firstLine="720"/>
    </w:pPr>
    <w:rPr>
      <w:sz w:val="24"/>
      <w:szCs w:val="24"/>
    </w:rPr>
  </w:style>
  <w:style w:customStyle="1" w:styleId="FirstParagraph" w:type="paragraph">
    <w:name w:val="First Paragraph"/>
    <w:basedOn w:val="BodyText"/>
    <w:next w:val="BodyText"/>
    <w:qFormat/>
    <w:rsid w:val="00191209"/>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rsid w:val="00191209"/>
    <w:pPr>
      <w:keepNext/>
      <w:keepLines/>
      <w:spacing w:before="300"/>
      <w:jc w:val="center"/>
    </w:pPr>
    <w:rPr>
      <w:b/>
      <w:color w:themeColor="text1" w:val="000000"/>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F168D"/>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AE7439"/>
    <w:rPr>
      <w:rFonts w:asciiTheme="majorHAnsi" w:cstheme="majorBidi" w:eastAsiaTheme="majorEastAsia" w:hAnsiTheme="majorHAnsi"/>
      <w:color w:themeColor="text1" w:val="000000"/>
      <w:sz w:val="26"/>
      <w:szCs w:val="26"/>
    </w:rPr>
  </w:style>
  <w:style w:customStyle="1" w:styleId="Heading3Char" w:type="character">
    <w:name w:val="Heading 3 Char"/>
    <w:basedOn w:val="DefaultParagraphFont"/>
    <w:link w:val="Heading3"/>
    <w:uiPriority w:val="9"/>
    <w:semiHidden/>
    <w:rsid w:val="00AE7439"/>
    <w:rPr>
      <w:rFonts w:asciiTheme="majorHAnsi" w:cstheme="majorBidi" w:eastAsiaTheme="majorEastAsia" w:hAnsiTheme="majorHAnsi"/>
      <w:color w:themeColor="text1" w:val="000000"/>
      <w:sz w:val="24"/>
      <w:szCs w:val="24"/>
    </w:rPr>
  </w:style>
  <w:style w:customStyle="1" w:styleId="Heading4Char" w:type="character">
    <w:name w:val="Heading 4 Char"/>
    <w:basedOn w:val="DefaultParagraphFont"/>
    <w:link w:val="Heading4"/>
    <w:uiPriority w:val="9"/>
    <w:semiHidden/>
    <w:rsid w:val="00191209"/>
    <w:rPr>
      <w:rFonts w:asciiTheme="majorHAnsi" w:cstheme="majorBidi" w:eastAsiaTheme="majorEastAsia" w:hAnsiTheme="majorHAnsi"/>
      <w:i/>
      <w:iCs/>
      <w:color w:themeColor="text1" w:val="000000"/>
    </w:rPr>
  </w:style>
  <w:style w:customStyle="1" w:styleId="Heading5Char" w:type="character">
    <w:name w:val="Heading 5 Char"/>
    <w:basedOn w:val="DefaultParagraphFont"/>
    <w:link w:val="Heading5"/>
    <w:uiPriority w:val="9"/>
    <w:semiHidden/>
    <w:rsid w:val="00191209"/>
    <w:rPr>
      <w:rFonts w:asciiTheme="majorHAnsi" w:cstheme="majorBidi" w:eastAsiaTheme="majorEastAsia" w:hAnsiTheme="majorHAnsi"/>
      <w:color w:themeColor="text1" w:val="000000"/>
    </w:rPr>
  </w:style>
  <w:style w:customStyle="1" w:styleId="Heading6Char" w:type="character">
    <w:name w:val="Heading 6 Char"/>
    <w:basedOn w:val="DefaultParagraphFont"/>
    <w:link w:val="Heading6"/>
    <w:uiPriority w:val="9"/>
    <w:semiHidden/>
    <w:rsid w:val="00191209"/>
    <w:rPr>
      <w:rFonts w:asciiTheme="majorHAnsi" w:cstheme="majorBidi" w:eastAsiaTheme="majorEastAsia" w:hAnsiTheme="majorHAnsi"/>
      <w:color w:themeColor="text1" w:val="000000"/>
    </w:rPr>
  </w:style>
  <w:style w:customStyle="1" w:styleId="Heading7Char" w:type="character">
    <w:name w:val="Heading 7 Char"/>
    <w:basedOn w:val="DefaultParagraphFont"/>
    <w:link w:val="Heading7"/>
    <w:uiPriority w:val="9"/>
    <w:semiHidden/>
    <w:rsid w:val="00191209"/>
    <w:rPr>
      <w:rFonts w:asciiTheme="majorHAnsi" w:cstheme="majorBidi" w:eastAsiaTheme="majorEastAsia" w:hAnsiTheme="majorHAnsi"/>
      <w:i/>
      <w:iCs/>
      <w:color w:themeColor="text1" w:val="00000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rsid w:val="00191209"/>
    <w:rPr>
      <w:color w:val="auto"/>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sid w:val="00191209"/>
    <w:rPr>
      <w:rFonts w:ascii="Consolas" w:hAnsi="Consolas"/>
      <w:b w:val="0"/>
      <w:bCs w:val="0"/>
      <w:i/>
      <w:iCs/>
      <w:color w:val="auto"/>
      <w:sz w:val="22"/>
      <w:szCs w:val="18"/>
    </w:rPr>
  </w:style>
  <w:style w:customStyle="1" w:styleId="SectionNumber" w:type="character">
    <w:name w:val="Section Number"/>
    <w:basedOn w:val="CaptionChar"/>
    <w:rsid w:val="00191209"/>
    <w:rPr>
      <w:rFonts w:ascii="Times New Roman" w:hAnsi="Times New Roman"/>
      <w:b w:val="0"/>
      <w:bCs w:val="0"/>
      <w:i/>
      <w:iCs/>
      <w:color w:themeColor="text1" w:val="000000"/>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191209"/>
    <w:rPr>
      <w:i/>
      <w:iCs/>
      <w:color w:themeColor="text1" w:val="000000"/>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191209"/>
    <w:rPr>
      <w:b/>
      <w:bCs/>
      <w:smallCaps/>
      <w:color w:themeColor="text1" w:val="000000"/>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styleId="FollowedHyperlink" w:type="character">
    <w:name w:val="FollowedHyperlink"/>
    <w:basedOn w:val="DefaultParagraphFont"/>
    <w:rsid w:val="00D43B85"/>
    <w:rPr>
      <w:color w:themeColor="followedHyperlink" w:val="96607D"/>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Words>
  <Characters>359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matched guise, sociophonetic perception</cp:keywords>
  <dcterms:created xsi:type="dcterms:W3CDTF">2025-03-05T14:56:10Z</dcterms:created>
  <dcterms:modified xsi:type="dcterms:W3CDTF">2025-03-05T14:56:10Z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2025-03-05</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uppress-title-page">
    <vt:lpwstr>True</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