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2024-12-11</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(Douglas H. Whalen 1984a)</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Douglas H. Whalen (1984a)</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Douglas H. Whalen (1984a)</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judgments was not supported. This finding is inconsistent with a model of perception in which socioindexical variation and coarticulatory information are processed identically given that coarticulatory mismatches</w:t>
      </w:r>
      <w:r>
        <w:t xml:space="preserve"> </w:t>
      </w:r>
      <w:r>
        <w:rPr>
          <w:i/>
          <w:iCs/>
        </w:rPr>
        <w:t xml:space="preserve">do</w:t>
      </w:r>
      <w:r>
        <w:t xml:space="preserve"> </w:t>
      </w:r>
      <w:r>
        <w:t xml:space="preserve">slow listener judgments</w:t>
      </w:r>
      <w:r>
        <w:t xml:space="preserve"> </w:t>
      </w:r>
      <w:r>
        <w:t xml:space="preserve">(Douglas H. Whalen 1984b)</w:t>
      </w:r>
      <w:r>
        <w:t xml:space="preserve">. It is possible that these sources of information are processed differently or, alternatively, that this difference reflects the diversity of gender conforming and non-conforming voices in our listeners’ experience –beyond simple, binary categories.</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w:t>
      </w:r>
    </w:p>
    <w:bookmarkEnd w:id="67"/>
    <w:bookmarkStart w:id="197" w:name="sec-references"/>
    <w:p>
      <w:pPr>
        <w:pStyle w:val="Heading1"/>
      </w:pPr>
      <w:r>
        <w:t xml:space="preserve">References</w:t>
      </w:r>
    </w:p>
    <w:bookmarkStart w:id="196"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8"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7">
        <w:r>
          <w:rPr>
            <w:rStyle w:val="Hyperlink"/>
          </w:rPr>
          <w:t xml:space="preserve">https://doi.org/10.1002/wcs.1543</w:t>
        </w:r>
      </w:hyperlink>
      <w:r>
        <w:t xml:space="preserve">.</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6">
        <w:r>
          <w:rPr>
            <w:rStyle w:val="Hyperlink"/>
          </w:rPr>
          <w:t xml:space="preserve">https://doi.org/10.3758/s13428-014-0532-5</w:t>
        </w:r>
      </w:hyperlink>
      <w:r>
        <w:t xml:space="preserve">.</w:t>
      </w:r>
    </w:p>
    <w:bookmarkEnd w:id="147"/>
    <w:bookmarkStart w:id="14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8"/>
    <w:bookmarkStart w:id="15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9">
        <w:r>
          <w:rPr>
            <w:rStyle w:val="Hyperlink"/>
          </w:rPr>
          <w:t xml:space="preserve">https://doi.org/10.1016/j.wocn.2011.10.002</w:t>
        </w:r>
      </w:hyperlink>
      <w:r>
        <w:t xml:space="preserve">.</w:t>
      </w:r>
    </w:p>
    <w:bookmarkEnd w:id="150"/>
    <w:bookmarkStart w:id="15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1"/>
    <w:bookmarkStart w:id="15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2"/>
    <w:bookmarkStart w:id="15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3"/>
    <w:bookmarkStart w:id="15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4"/>
    <w:bookmarkStart w:id="15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5"/>
    <w:bookmarkStart w:id="15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6"/>
    <w:bookmarkStart w:id="15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7"/>
    <w:bookmarkStart w:id="15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8"/>
    <w:bookmarkStart w:id="15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9"/>
    <w:bookmarkStart w:id="16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0"/>
    <w:bookmarkStart w:id="16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1"/>
    <w:bookmarkStart w:id="162"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2"/>
    <w:bookmarkStart w:id="16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3"/>
    <w:bookmarkStart w:id="16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4"/>
    <w:bookmarkStart w:id="16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5"/>
    <w:bookmarkStart w:id="16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6"/>
    <w:bookmarkStart w:id="167"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7"/>
    <w:bookmarkStart w:id="168"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8"/>
    <w:bookmarkStart w:id="16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9"/>
    <w:bookmarkStart w:id="17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0"/>
    <w:bookmarkStart w:id="17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1"/>
    <w:bookmarkStart w:id="17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2">
        <w:r>
          <w:rPr>
            <w:rStyle w:val="Hyperlink"/>
          </w:rPr>
          <w:t xml:space="preserve">https://doi.org/10.1093/oxfordhb/9780199600472.001.0001</w:t>
        </w:r>
      </w:hyperlink>
      <w:r>
        <w:t xml:space="preserve">.</w:t>
      </w:r>
    </w:p>
    <w:bookmarkEnd w:id="173"/>
    <w:bookmarkStart w:id="17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4"/>
    <w:bookmarkStart w:id="17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5"/>
    <w:bookmarkStart w:id="17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6"/>
    <w:bookmarkStart w:id="177"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7"/>
    <w:bookmarkStart w:id="17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8"/>
    <w:bookmarkStart w:id="180"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9">
        <w:r>
          <w:rPr>
            <w:rStyle w:val="Hyperlink"/>
          </w:rPr>
          <w:t xml:space="preserve">https://doi.org/10.3758/BF03197491</w:t>
        </w:r>
      </w:hyperlink>
      <w:r>
        <w:t xml:space="preserve">.</w:t>
      </w:r>
    </w:p>
    <w:bookmarkEnd w:id="180"/>
    <w:bookmarkStart w:id="181"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1"/>
    <w:bookmarkStart w:id="182"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2"/>
    <w:bookmarkStart w:id="183"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3"/>
    <w:bookmarkStart w:id="184"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4"/>
    <w:bookmarkStart w:id="185"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5"/>
    <w:bookmarkStart w:id="186"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6"/>
    <w:bookmarkStart w:id="187"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7"/>
    <w:bookmarkStart w:id="188"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8"/>
    <w:bookmarkStart w:id="189"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9"/>
    <w:bookmarkStart w:id="190" w:name="ref-whalen1984"/>
    <w:p>
      <w:pPr>
        <w:pStyle w:val="Bibliography"/>
      </w:pPr>
      <w:r>
        <w:t xml:space="preserve">Whalen, Douglas H. 1984a.</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0"/>
    <w:bookmarkStart w:id="191" w:name="ref-Whalen1984"/>
    <w:p>
      <w:pPr>
        <w:pStyle w:val="Bibliography"/>
      </w:pPr>
      <w:r>
        <w:t xml:space="preserve">Whalen, Douglas H. 1984b.</w:t>
      </w:r>
      <w:r>
        <w:t xml:space="preserve"> </w:t>
      </w:r>
      <w:r>
        <w:t xml:space="preserve">“Subcategorical Phonetic Mismatches Slow Phonetic Judgments.”</w:t>
      </w:r>
      <w:r>
        <w:t xml:space="preserve"> </w:t>
      </w:r>
      <w:r>
        <w:rPr>
          <w:i/>
          <w:iCs/>
        </w:rPr>
        <w:t xml:space="preserve">Percept</w:t>
      </w:r>
      <w:r>
        <w:rPr>
          <w:i/>
          <w:iCs/>
        </w:rPr>
        <w:t xml:space="preserve"> </w:t>
      </w:r>
      <w:r>
        <w:rPr>
          <w:i/>
          <w:iCs/>
        </w:rPr>
        <w:t xml:space="preserve">Psychophys</w:t>
      </w:r>
      <w:r>
        <w:rPr>
          <w:i/>
          <w:iCs/>
        </w:rPr>
        <w:t xml:space="preserve">.</w:t>
      </w:r>
      <w:r>
        <w:t xml:space="preserve"> </w:t>
      </w:r>
      <w:r>
        <w:t xml:space="preserve">10.: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2"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79"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2"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79"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2024-12-11T02:14:07Z</dcterms:created>
  <dcterms:modified xsi:type="dcterms:W3CDTF">2024-12-11T02:14:07Z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2024-12-11</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