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2024-12-08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related work, but with a novel</w:t>
      </w:r>
      <w:r>
        <w:t xml:space="preserve"> </w:t>
      </w:r>
      <w:r>
        <w:t xml:space="preserve">‘unhidden’</w:t>
      </w:r>
      <w:r>
        <w:t xml:space="preserve"> </w:t>
      </w:r>
      <w:r>
        <w:t xml:space="preserve">condition in which listeners are explicitly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voiced speech sounds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511736"/>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w:t>
      </w:r>
      <w:r>
        <w:t xml:space="preserve"> </w:t>
      </w:r>
      <w:r>
        <w:t xml:space="preserve">‘non-protypical’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 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in</w:t>
      </w:r>
      <w:r>
        <w:t xml:space="preserve"> </w:t>
      </w:r>
      <w:r>
        <w:t xml:space="preserve">Johnson, Strand, and D’Imperio (1999)</w:t>
      </w:r>
      <w:r>
        <w:t xml:space="preserve"> </w:t>
      </w:r>
      <w:r>
        <w:t xml:space="preserve">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brutal or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 (D’Onofrio 2020). Our prediction that incongruity in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p>
      <w:pPr>
        <w:pStyle w:val="BodyText"/>
      </w:pPr>
      <w:r>
        <w:t xml:space="preserve">What the current study can resolve is that the influence of listeners’ social knowledge of speech on perception is not delicate. The present result is equally inconsistent 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9" w:name="sec-references"/>
    <w:p>
      <w:pPr>
        <w:pStyle w:val="Heading1"/>
      </w:pPr>
      <w:r>
        <w:t xml:space="preserve">References</w:t>
      </w:r>
    </w:p>
    <w:bookmarkStart w:id="198"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7"/>
    <w:bookmarkStart w:id="16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8"/>
    <w:bookmarkStart w:id="16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9"/>
    <w:bookmarkStart w:id="170"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70"/>
    <w:bookmarkStart w:id="171"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1"/>
    <w:bookmarkStart w:id="17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2"/>
    <w:bookmarkStart w:id="17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3"/>
    <w:bookmarkStart w:id="17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4"/>
    <w:bookmarkStart w:id="17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5">
        <w:r>
          <w:rPr>
            <w:rStyle w:val="Hyperlink"/>
          </w:rPr>
          <w:t xml:space="preserve">https://doi.org/10.1093/oxfordhb/9780199600472.001.0001</w:t>
        </w:r>
      </w:hyperlink>
      <w:r>
        <w:t xml:space="preserve">.</w:t>
      </w:r>
    </w:p>
    <w:bookmarkEnd w:id="176"/>
    <w:bookmarkStart w:id="17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7"/>
    <w:bookmarkStart w:id="17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8"/>
    <w:bookmarkStart w:id="17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9"/>
    <w:bookmarkStart w:id="180"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80"/>
    <w:bookmarkStart w:id="181"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1"/>
    <w:bookmarkStart w:id="183"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2">
        <w:r>
          <w:rPr>
            <w:rStyle w:val="Hyperlink"/>
          </w:rPr>
          <w:t xml:space="preserve">https://doi.org/10.3758/BF03197491</w:t>
        </w:r>
      </w:hyperlink>
      <w:r>
        <w:t xml:space="preserve">.</w:t>
      </w:r>
    </w:p>
    <w:bookmarkEnd w:id="183"/>
    <w:bookmarkStart w:id="184"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4"/>
    <w:bookmarkStart w:id="185"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5"/>
    <w:bookmarkStart w:id="186"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6"/>
    <w:bookmarkStart w:id="187"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7"/>
    <w:bookmarkStart w:id="188"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8"/>
    <w:bookmarkStart w:id="189"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9"/>
    <w:bookmarkStart w:id="190"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90"/>
    <w:bookmarkStart w:id="191"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1"/>
    <w:bookmarkStart w:id="192"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2"/>
    <w:bookmarkStart w:id="193"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3"/>
    <w:bookmarkStart w:id="194"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4"/>
    <w:bookmarkStart w:id="195"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5"/>
    <w:bookmarkStart w:id="196"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6"/>
    <w:bookmarkStart w:id="197"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7"/>
    <w:bookmarkEnd w:id="198"/>
    <w:bookmarkEnd w:id="199"/>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 to Labov et al. 2011,</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5"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2"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2024-12-08T19:30:01Z</dcterms:created>
  <dcterms:modified xsi:type="dcterms:W3CDTF">2024-12-08T19:30:01Z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2024-12-08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