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9.png" ContentType="image/png"/>
  <Override PartName="/word/media/rId54.png" ContentType="image/png"/>
  <Override PartName="/word/media/rId3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and listener awareness</w:t>
      </w:r>
    </w:p>
    <w:p>
      <w:pPr>
        <w:pStyle w:val="Author"/>
      </w:pPr>
      <w:r>
        <w:t xml:space="preserve">Kyler Laycock</w:t>
      </w:r>
    </w:p>
    <w:p>
      <w:pPr>
        <w:pStyle w:val="Author"/>
      </w:pPr>
      <w:r>
        <w:t xml:space="preserve"> Kevin B McGowan</w:t>
      </w:r>
    </w:p>
    <w:p>
      <w:pPr>
        <w:pStyle w:val="Date"/>
      </w:pPr>
      <w:r>
        <w:t xml:space="preserve">2024-10-24</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4"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talkers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et al.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in English</w:t>
      </w:r>
      <w:r>
        <w:t xml:space="preserve"> </w:t>
      </w:r>
      <w:r>
        <w:t xml:space="preserve">(Strand 1999; Mack and Munson 2012; Calder 2018)</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relationship between them</w:t>
      </w:r>
      <w:r>
        <w:t xml:space="preserve"> </w:t>
      </w:r>
      <w:r>
        <w:t xml:space="preserve">(Bakhtin 1981)</w:t>
      </w:r>
      <w:r>
        <w:t xml:space="preserve">. The cognitive reality of this tripartite relationship between the concepts of gender identities and instances of fine phonetic detail is essential for the performance of those identities. This observation remains true regardless of talker and listener awareness. One can</w:t>
      </w:r>
      <w:r>
        <w:t xml:space="preserve"> </w:t>
      </w:r>
      <w:r>
        <w:rPr>
          <w:i/>
          <w:iCs/>
        </w:rPr>
        <w:t xml:space="preserve">control</w:t>
      </w:r>
      <w:r>
        <w:t xml:space="preserve">, in production, the phonetics of one’s gender without explicit acknowledgement or introspective awareness that one is doing so or what those details might be. Indeed, children as young as 4, well before any effects of puberty might have arrived, will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the voice, the prevailing frequency of vocal fold vibration during voiced sounds, as the primary, biological phonetic detail associated with gender performance</w:t>
      </w:r>
      <w:r>
        <w:t xml:space="preserve"> </w:t>
      </w:r>
      <w:r>
        <w:t xml:space="preserve">(Foulkes and Docherty 2006, 411)</w:t>
      </w:r>
      <w:r>
        <w:t xml:space="preserve">; when this cue is neither necessary nor sufficient for the production and perception of gender identity</w:t>
      </w:r>
      <w:r>
        <w:t xml:space="preserve"> </w:t>
      </w:r>
      <w:r>
        <w:t xml:space="preserve">(Zimman 2017; Johnson 2005)</w:t>
      </w:r>
      <w:r>
        <w:t xml:space="preserve">.</w:t>
      </w:r>
    </w:p>
    <w:p>
      <w:pPr>
        <w:pStyle w:val="BodyText"/>
      </w:pPr>
      <w:r>
        <w:t xml:space="preserve">The concept of control, in perception, is less clear, but it is necessary to explore perceptual control for the purposes of the present chapter. Here we owe much of our general conceptualization of</w:t>
      </w:r>
      <w:r>
        <w:t xml:space="preserve"> </w:t>
      </w:r>
      <w:r>
        <w:t xml:space="preserve">‘control’</w:t>
      </w:r>
      <w:r>
        <w:t xml:space="preserve"> </w:t>
      </w:r>
      <w:r>
        <w:t xml:space="preserve">to Preston’s</w:t>
      </w:r>
      <w:r>
        <w:t xml:space="preserve"> </w:t>
      </w:r>
      <w:r>
        <w:t xml:space="preserve">(1996, 2016)</w:t>
      </w:r>
      <w:r>
        <w:t xml:space="preserve"> </w:t>
      </w:r>
      <w:r>
        <w:t xml:space="preserve">four modes of awareness but with the stipulation that the ability to</w:t>
      </w:r>
      <w:r>
        <w:t xml:space="preserve"> </w:t>
      </w:r>
      <w:r>
        <w:t xml:space="preserve">‘perform’</w:t>
      </w:r>
      <w:r>
        <w:t xml:space="preserve"> </w:t>
      </w:r>
      <w:r>
        <w:t xml:space="preserve">or</w:t>
      </w:r>
      <w:r>
        <w:t xml:space="preserve"> </w:t>
      </w:r>
      <w:r>
        <w:t xml:space="preserve">‘employ’</w:t>
      </w:r>
      <w:r>
        <w:t xml:space="preserve"> </w:t>
      </w:r>
      <w:r>
        <w:t xml:space="preserve">the linking relationship between a social label and its phonetic reflexes is just as clearly a task for the listener as it is for the talker. A listener must be able to control, to link, the auditory cues of a performed gender identity to the cognitive representation of that identity just as much as a talker’s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perception is important because gender perception is a phenomenon that crosses disciplinary and subdisciplinary boundaries and approaches to language and social meaning. With these varying disciplinary and subdisciplinary contexts come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(McGowan and Babel 2020)</w:t>
      </w:r>
      <w:r>
        <w:t xml:space="preserve">. Researchers, typically working within the fields of segmental speech perception or word recognition use perception to describe a kind of low-level, fast, processing of sensory input 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w:t>
      </w:r>
      <w:r>
        <w:t xml:space="preserve"> </w:t>
      </w:r>
      <w:r>
        <w:t xml:space="preserve">Johnson (2006)</w:t>
      </w:r>
      <w:r>
        <w:t xml:space="preserve"> </w:t>
      </w:r>
      <w:r>
        <w:t xml:space="preserve">(pp. 492-494) proposes the word as the lowest level of linguistic experience that most language users typically have awareness of.</w:t>
      </w:r>
    </w:p>
    <w:p>
      <w:pPr>
        <w:pStyle w:val="BodyText"/>
      </w:pPr>
      <w:r>
        <w:t xml:space="preserve">The other meaning of perception in common use in the various language disciplines describes a higher-level, perhaps somewhat slower, evaluative judgment of talkers and voices. This is the meaning of perception employed in folk linguistics</w:t>
      </w:r>
      <w:r>
        <w:t xml:space="preserve"> </w:t>
      </w:r>
      <w:r>
        <w:t xml:space="preserve">(N. A. Niedzielski and Preston 2000)</w:t>
      </w:r>
      <w:r>
        <w:t xml:space="preserve"> </w:t>
      </w:r>
      <w:r>
        <w:t xml:space="preserve">and perceptual dialectology</w:t>
      </w:r>
      <w:r>
        <w:t xml:space="preserve"> </w:t>
      </w:r>
      <w:r>
        <w:t xml:space="preserve">(Cramer 2021)</w:t>
      </w:r>
      <w:r>
        <w:t xml:space="preserve">. This is the level of</w:t>
      </w:r>
      <w:r>
        <w:t xml:space="preserve"> </w:t>
      </w:r>
      <w:r>
        <w:t xml:space="preserve">‘perception’</w:t>
      </w:r>
      <w:r>
        <w:t xml:space="preserve"> </w:t>
      </w:r>
      <w:r>
        <w:t xml:space="preserve">at which the sociolinguistic monitor is proposed to operate</w:t>
      </w:r>
      <w:r>
        <w:t xml:space="preserve"> </w:t>
      </w:r>
      <w:r>
        <w:t xml:space="preserve">(Labov et al. 2011)</w:t>
      </w:r>
      <w:r>
        <w:t xml:space="preserve">. Finally, and crucially for the present study, this higher, evaluative level of perception is the level for which the Matched Guise Technique was originally developed</w:t>
      </w:r>
      <w:r>
        <w:t xml:space="preserve"> </w:t>
      </w:r>
      <w:r>
        <w:t xml:space="preserve">(Lambert et al. 1960)</w:t>
      </w:r>
      <w:r>
        <w:t xml:space="preserve">.</w:t>
      </w:r>
      <w:r>
        <w:t xml:space="preserve"> </w:t>
      </w:r>
    </w:p>
    <w:bookmarkStart w:id="21" w:name="sub-mgt"/>
    <w:p>
      <w:pPr>
        <w:pStyle w:val="Heading2"/>
      </w:pPr>
      <w:r>
        <w:t xml:space="preserve">Matched Guise</w:t>
      </w:r>
    </w:p>
    <w:p>
      <w:pPr>
        <w:pStyle w:val="FirstParagraph"/>
      </w:pPr>
      <w:r>
        <w:t xml:space="preserve">The Matched Guise technique (MGT) has been deployed in numerous</w:t>
      </w:r>
      <w:r>
        <w:t xml:space="preserve"> </w:t>
      </w:r>
      <w:r>
        <w:t xml:space="preserve">configurations but, at its core, the technique pairs a single linguistic</w:t>
      </w:r>
      <w:r>
        <w:t xml:space="preserve"> </w:t>
      </w:r>
      <w:r>
        <w:t xml:space="preserve">signal (identical recordings, an identical speaker, identical texts,</w:t>
      </w:r>
      <w:r>
        <w:t xml:space="preserve"> </w:t>
      </w:r>
      <w:r>
        <w:t xml:space="preserve">etc.) with multiple purported social categories to elicit the influence</w:t>
      </w:r>
      <w:r>
        <w:t xml:space="preserve"> </w:t>
      </w:r>
      <w:r>
        <w:t xml:space="preserve">of those cues on participants’ linguistic judgments</w:t>
      </w:r>
      <w:r>
        <w:t xml:space="preserve"> </w:t>
      </w:r>
      <w:r>
        <w:t xml:space="preserve">(Campbell-Kibler 2005, 2007)</w:t>
      </w:r>
      <w:r>
        <w:t xml:space="preserve"> </w:t>
      </w:r>
      <w:r>
        <w:t xml:space="preserve">or language attitudes</w:t>
      </w:r>
      <w:r>
        <w:t xml:space="preserve"> </w:t>
      </w:r>
      <w:r>
        <w:t xml:space="preserve">(Hadodo this volume; CHAN 2021)</w:t>
      </w:r>
      <w:r>
        <w:t xml:space="preserve">. In their foundational use of the technique,</w:t>
      </w:r>
      <w:r>
        <w:t xml:space="preserve"> </w:t>
      </w:r>
      <w:r>
        <w:t xml:space="preserve">for example,</w:t>
      </w:r>
      <w:r>
        <w:t xml:space="preserve"> </w:t>
      </w:r>
      <w:r>
        <w:t xml:space="preserve">Lambert et al. (1960)</w:t>
      </w:r>
      <w:r>
        <w:t xml:space="preserve"> </w:t>
      </w:r>
      <w:r>
        <w:t xml:space="preserve">found that bilingual Montrealer’s voices</w:t>
      </w:r>
      <w:r>
        <w:t xml:space="preserve"> </w:t>
      </w:r>
      <w:r>
        <w:t xml:space="preserve">evoked quite different social judgments in French vs English guises,</w:t>
      </w:r>
      <w:r>
        <w:t xml:space="preserve"> </w:t>
      </w:r>
      <w:r>
        <w:t xml:space="preserve">providing evidence that listeners are able to perceive and connect</w:t>
      </w:r>
      <w:r>
        <w:t xml:space="preserve"> </w:t>
      </w:r>
      <w:r>
        <w:t xml:space="preserve">social information in the voice to ideological framing of social types.</w:t>
      </w:r>
      <w:r>
        <w:t xml:space="preserve"> </w:t>
      </w:r>
      <w:r>
        <w:t xml:space="preserve">In social speech perception research, cross-modal audio/visual matched</w:t>
      </w:r>
      <w:r>
        <w:t xml:space="preserve"> </w:t>
      </w:r>
      <w:r>
        <w:t xml:space="preserve">guise studies are common in which visual information serves as a</w:t>
      </w:r>
      <w:r>
        <w:t xml:space="preserve"> </w:t>
      </w:r>
      <w:r>
        <w:t xml:space="preserve">‘guise’</w:t>
      </w:r>
      <w:r>
        <w:t xml:space="preserve"> </w:t>
      </w:r>
      <w:r>
        <w:t xml:space="preserve">for identical voice recordings; researchers sometimes disregard that</w:t>
      </w:r>
      <w:r>
        <w:t xml:space="preserve"> </w:t>
      </w:r>
      <w:r>
        <w:t xml:space="preserve">even so-called standard voices carry social information</w:t>
      </w:r>
      <w:r>
        <w:t xml:space="preserve"> </w:t>
      </w:r>
      <w:r>
        <w:t xml:space="preserve">Rubin (1992)</w:t>
      </w:r>
      <w:r>
        <w:t xml:space="preserve"> </w:t>
      </w:r>
      <w:r>
        <w:t xml:space="preserve">and</w:t>
      </w:r>
      <w:r>
        <w:t xml:space="preserve"> </w:t>
      </w:r>
      <w:r>
        <w:t xml:space="preserve">sometimes take the combination of voice and visual stimuli into account</w:t>
      </w:r>
      <w:r>
        <w:t xml:space="preserve"> </w:t>
      </w:r>
      <w:r>
        <w:t xml:space="preserve">(McGowan 2015; Campbell-Kibler 2016; Gnevsheva 2017)</w:t>
      </w:r>
      <w:r>
        <w:t xml:space="preserve">. This latter type</w:t>
      </w:r>
      <w:r>
        <w:t xml:space="preserve"> </w:t>
      </w:r>
      <w:r>
        <w:t xml:space="preserve">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w:t>
      </w:r>
    </w:p>
    <w:p>
      <w:pPr>
        <w:pStyle w:val="BodyText"/>
      </w:pPr>
      <w:r>
        <w:t xml:space="preserve">But uniting these linguistic researchers, and delineating them from</w:t>
      </w:r>
      <w:r>
        <w:t xml:space="preserve"> </w:t>
      </w:r>
      <w:r>
        <w:t xml:space="preserve">colleagues in social psychology</w:t>
      </w:r>
      <w:r>
        <w:t xml:space="preserve"> </w:t>
      </w:r>
      <w:r>
        <w:t xml:space="preserve">(for discussion, see Rosseel and Grondelaers 2019)</w:t>
      </w:r>
      <w:r>
        <w:t xml:space="preserve">, is the methodological assumption that the</w:t>
      </w:r>
      <w:r>
        <w:t xml:space="preserve"> </w:t>
      </w:r>
      <w:r>
        <w:t xml:space="preserve">connection of voice to social type needs to happen below the level of</w:t>
      </w:r>
      <w:r>
        <w:t xml:space="preserve"> </w:t>
      </w:r>
      <w:r>
        <w:t xml:space="preserve">conscious awareness. Awareness here, though generally not explicitly</w:t>
      </w:r>
      <w:r>
        <w:t xml:space="preserve"> </w:t>
      </w:r>
      <w:r>
        <w:t xml:space="preserve">acknowledged, appears to be construed narrowly as participants’ ability</w:t>
      </w:r>
      <w:r>
        <w:t xml:space="preserve"> </w:t>
      </w:r>
      <w:r>
        <w:t xml:space="preserve">to identify and comment on the existence of a guise manipulation. As</w:t>
      </w:r>
      <w:r>
        <w:t xml:space="preserve"> </w:t>
      </w:r>
      <w:r>
        <w:t xml:space="preserve">researchers we demonstrate our assumption that the Matched Guise</w:t>
      </w:r>
      <w:r>
        <w:t xml:space="preserve"> </w:t>
      </w:r>
      <w:r>
        <w:t xml:space="preserve">technique must be shielded from listener awareness through attempt to</w:t>
      </w:r>
      <w:r>
        <w:t xml:space="preserve"> </w:t>
      </w:r>
      <w:r>
        <w:t xml:space="preserve">deceive participants about the intentional use of guise to elicit</w:t>
      </w:r>
      <w:r>
        <w:t xml:space="preserve"> </w:t>
      </w:r>
      <w:r>
        <w:t xml:space="preserve">evidence of social evaluations, language attitudes, segmental speech</w:t>
      </w:r>
      <w:r>
        <w:t xml:space="preserve"> </w:t>
      </w:r>
      <w:r>
        <w:t xml:space="preserve">perception, memory, etc.</w:t>
      </w:r>
    </w:p>
    <w:p>
      <w:pPr>
        <w:pStyle w:val="BodyText"/>
      </w:pPr>
      <w:r>
        <w:t xml:space="preserve">Researchers go to great lengths to ensure this lack of awareness</w:t>
      </w:r>
      <w:r>
        <w:t xml:space="preserve"> </w:t>
      </w:r>
      <w:r>
        <w:t xml:space="preserve">(e.g. Pharao and Kristiansen 2019; Grondelaers and Gent 2019)</w:t>
      </w:r>
      <w:r>
        <w:t xml:space="preserve">. However, the majority</w:t>
      </w:r>
      <w:r>
        <w:t xml:space="preserve"> </w:t>
      </w:r>
      <w:r>
        <w:t xml:space="preserve">of studies cannot speak to this lack of awareness during phonetic</w:t>
      </w:r>
      <w:r>
        <w:t xml:space="preserve"> </w:t>
      </w:r>
      <w:r>
        <w:t xml:space="preserve">perception because the data provided by the participants is relatively</w:t>
      </w:r>
      <w:r>
        <w:t xml:space="preserve"> </w:t>
      </w:r>
      <w:r>
        <w:t xml:space="preserve">late in processing and involves layers of potential introspection and</w:t>
      </w:r>
      <w:r>
        <w:t xml:space="preserve"> </w:t>
      </w:r>
      <w:r>
        <w:t xml:space="preserve">evaluation that block access to the initial online percept for listeners</w:t>
      </w:r>
      <w:r>
        <w:t xml:space="preserve"> </w:t>
      </w:r>
      <w:r>
        <w:t xml:space="preserve">and researchers alike.</w:t>
      </w:r>
      <w:r>
        <w:t xml:space="preserve"> </w:t>
      </w:r>
      <w:r>
        <w:t xml:space="preserve">McGowan and Babel (2020)</w:t>
      </w:r>
      <w:r>
        <w:t xml:space="preserve"> </w:t>
      </w:r>
      <w:r>
        <w:t xml:space="preserve">performed an audio/visual MGT</w:t>
      </w:r>
      <w:r>
        <w:t xml:space="preserve"> </w:t>
      </w:r>
      <w:r>
        <w:t xml:space="preserve">with both a task designed to get at phonetic perception of individual</w:t>
      </w:r>
      <w:r>
        <w:t xml:space="preserve"> </w:t>
      </w:r>
      <w:r>
        <w:t xml:space="preserve">segments and a sociolinguistic interview intended to investigate</w:t>
      </w:r>
      <w:r>
        <w:t xml:space="preserve"> </w:t>
      </w:r>
      <w:r>
        <w:t xml:space="preserve">listeners’ judgements about the purported speaker. Every participant was</w:t>
      </w:r>
      <w:r>
        <w:t xml:space="preserve"> </w:t>
      </w:r>
      <w:r>
        <w:t xml:space="preserve">shown both guises and while segmental and social perceptions were</w:t>
      </w:r>
      <w:r>
        <w:t xml:space="preserve"> </w:t>
      </w:r>
      <w:r>
        <w:t xml:space="preserve">aligned with the identity of the purported talker in the initial guise</w:t>
      </w:r>
      <w:r>
        <w:t xml:space="preserve"> </w:t>
      </w:r>
      <w:r>
        <w:t xml:space="preserve">presentation, these perceptions diverged in the second guise – with</w:t>
      </w:r>
      <w:r>
        <w:t xml:space="preserve"> </w:t>
      </w:r>
      <w:r>
        <w:t xml:space="preserve">phonetic perceptions remaining unchanged and social evaluations tracking</w:t>
      </w:r>
      <w:r>
        <w:t xml:space="preserve"> </w:t>
      </w:r>
      <w:r>
        <w:t xml:space="preserve">the change of guise. Of particular relevance to the present study,</w:t>
      </w:r>
      <w:r>
        <w:t xml:space="preserve"> </w:t>
      </w:r>
      <w:r>
        <w:t xml:space="preserve">despite the fact that the fricatives used in</w:t>
      </w:r>
      <w:r>
        <w:t xml:space="preserve"> </w:t>
      </w:r>
      <w:r>
        <w:t xml:space="preserve">McGowan and Babel (2020)</w:t>
      </w:r>
      <w:r>
        <w:t xml:space="preserve"> </w:t>
      </w:r>
      <w:r>
        <w:t xml:space="preserve">were not</w:t>
      </w:r>
      <w:r>
        <w:t xml:space="preserve"> </w:t>
      </w:r>
      <w:r>
        <w:t xml:space="preserve">different across guises, participants often commented on how the</w:t>
      </w:r>
      <w:r>
        <w:t xml:space="preserve"> </w:t>
      </w:r>
      <w:r>
        <w:t xml:space="preserve">fricatives participated in communicating the purported social identity.</w:t>
      </w:r>
      <w:r>
        <w:t xml:space="preserve"> </w:t>
      </w:r>
      <w:r>
        <w:t xml:space="preserve">This work raises the likelihood of at least two levels of sociophonetic</w:t>
      </w:r>
      <w:r>
        <w:t xml:space="preserve"> </w:t>
      </w:r>
      <w:r>
        <w:t xml:space="preserve">perception and suggests that further work is needed to understand the</w:t>
      </w:r>
      <w:r>
        <w:t xml:space="preserve"> </w:t>
      </w:r>
      <w:r>
        <w:t xml:space="preserve">role of awareness, and the necessity of deception, for the</w:t>
      </w:r>
      <w:r>
        <w:t xml:space="preserve"> </w:t>
      </w:r>
      <w:r>
        <w:t xml:space="preserve">“complex,</w:t>
      </w:r>
      <w:r>
        <w:t xml:space="preserve"> </w:t>
      </w:r>
      <w:r>
        <w:t xml:space="preserve">multi-layered process”</w:t>
      </w:r>
      <w:r>
        <w:t xml:space="preserve"> </w:t>
      </w:r>
      <w:r>
        <w:t xml:space="preserve">of perception</w:t>
      </w:r>
      <w:r>
        <w:t xml:space="preserve"> </w:t>
      </w:r>
      <w:r>
        <w:t xml:space="preserve">(Babel, this volume)</w:t>
      </w:r>
      <w:r>
        <w:t xml:space="preserve">.</w:t>
      </w:r>
    </w:p>
    <w:bookmarkStart w:id="20" w:name="section"/>
    <w:p>
      <w:pPr>
        <w:pStyle w:val="Heading3"/>
      </w:pPr>
    </w:p>
    <w:p>
      <w:pPr>
        <w:pStyle w:val="FirstParagraph"/>
      </w:pPr>
      <w:r>
        <w:t xml:space="preserve">Articulatorily, these fricatives mainly differ in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it is typically produced by holding the tongue tip near enough to the alveolar ridge to cause relatively high frequency turbulent airflow. English [ʃ] has a comparatively larger resonating chamber; it is typically produced with a more posterior, palato-alveolar tongue position which creates a larger resonating chamber between the place of articulation and the teeth, causing lower frequency noise than an [s] for the same talker. Concomittant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[s] produced from a larger vocal tract will typically be lower in frequency than an [s] produced from a smaller vocal tract, and listeners know this</w:t>
      </w:r>
      <w:r>
        <w:t xml:space="preserve"> </w:t>
      </w:r>
      <w:r>
        <w:t xml:space="preserve">(May 1976)</w:t>
      </w:r>
      <w:r>
        <w:t xml:space="preserve">. This effect is, in practice, entirely separable from between-talker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between [ʃ] and [s] . These continua have endpoints in prototypical examples of [ʃ] and [s] with some number of acoustic steps spliced, synthesized, or even mixed between these. Near the middle of such a continuum will be a synthetic fricative that is ambiguous as to category membership: not clearly a [ʃ] and not clearly an [s].</w:t>
      </w:r>
      <w:r>
        <w:t xml:space="preserve"> </w:t>
      </w:r>
      <w:r>
        <w:t xml:space="preserve">May (1976)</w:t>
      </w:r>
      <w:r>
        <w:t xml:space="preserve"> </w:t>
      </w:r>
      <w:r>
        <w:t xml:space="preserve">paired such a continuum from [ʃ] (centered at 2.9 kHz) to [s]</w:t>
      </w:r>
      <w:r>
        <w:t xml:space="preserve"> </w:t>
      </w:r>
      <w:r>
        <w:t xml:space="preserve">(centered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teeth will have a higher mean frequency than larger resonating chambers. Listeners’ use of apparent vocal tract size in perception reflect their knowledge of this variation</w:t>
      </w:r>
      <w:r>
        <w:t xml:space="preserve"> </w:t>
      </w:r>
      <w:r>
        <w:t xml:space="preserve">(Munson 2011)</w:t>
      </w:r>
      <w:r>
        <w:t xml:space="preserve">.</w:t>
      </w:r>
    </w:p>
    <w:p>
      <w:pPr>
        <w:pStyle w:val="BodyText"/>
      </w:pPr>
      <w:r>
        <w:t xml:space="preserve">Previous research in sociophonetic perception has established that 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w:t>
      </w:r>
      <w:r>
        <w:t xml:space="preserve">such that, for example, fricative sounds consistent with a larger vocal tract are perceived as more masculine</w:t>
      </w:r>
      <w:r>
        <w:t xml:space="preserve"> </w:t>
      </w:r>
      <w:r>
        <w:t xml:space="preserve">(Bouavichith et al. 2019)</w:t>
      </w:r>
      <w:r>
        <w:t xml:space="preserve"> </w:t>
      </w:r>
      <w:r>
        <w:t xml:space="preserve">and, in tandem, believing that a talker identifies as male can lead listeners to perceive more [ʃ]-like sounds as [s]</w:t>
      </w:r>
      <w:r>
        <w:t xml:space="preserve"> </w:t>
      </w:r>
      <w:r>
        <w:t xml:space="preserve">(Strand and Johnson 1996; Munson 2011)</w:t>
      </w:r>
      <w:r>
        <w:t xml:space="preserve">.</w:t>
      </w:r>
    </w:p>
    <w:p>
      <w:pPr>
        <w:pStyle w:val="BodyText"/>
      </w:pPr>
      <w:r>
        <w:t xml:space="preserve">The goal of the present study is to take advantage of this sociophonetic trading relation in listeners’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knowledge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volume)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bookmarkEnd w:id="20"/>
    <w:bookmarkEnd w:id="21"/>
    <w:bookmarkStart w:id="22" w:name="X01fb32f4e21b0120a62269750aea84b6b7936e1"/>
    <w:p>
      <w:pPr>
        <w:pStyle w:val="Heading2"/>
      </w:pPr>
      <w:r>
        <w:t xml:space="preserve">Coarticulatory and Social Information Influence [ʃ]-[s] perception</w:t>
      </w:r>
    </w:p>
    <w:p>
      <w:pPr>
        <w:pStyle w:val="FirstParagraph"/>
      </w:pPr>
      <w:r>
        <w:t xml:space="preserve">Listeners are sensitive to these socially-informative patterns of</w:t>
      </w:r>
      <w:r>
        <w:t xml:space="preserve"> </w:t>
      </w:r>
      <w:r>
        <w:t xml:space="preserve">[ʃ]-[s] variation, but it is important to understand how similar this</w:t>
      </w:r>
      <w:r>
        <w:t xml:space="preserve"> </w:t>
      </w:r>
      <w:r>
        <w:t xml:space="preserve">sensitivity is to what has previously been observed in segmental speech</w:t>
      </w:r>
      <w:r>
        <w:t xml:space="preserve"> </w:t>
      </w:r>
      <w:r>
        <w:t xml:space="preserve">perception. Just as vocal tract size can alter the frequencies of</w:t>
      </w:r>
      <w:r>
        <w:t xml:space="preserve"> </w:t>
      </w:r>
      <w:r>
        <w:t xml:space="preserve">fricatives</w:t>
      </w:r>
      <w:r>
        <w:t xml:space="preserve"> </w:t>
      </w:r>
      <w:r>
        <w:t xml:space="preserve">(e.g. May 1976)</w:t>
      </w:r>
      <w:r>
        <w:t xml:space="preserve">, so too can coarticulation with a following</w:t>
      </w:r>
      <w:r>
        <w:t xml:space="preserve"> </w:t>
      </w:r>
      <w:r>
        <w:t xml:space="preserve">vowel. Due to both place of articulation of the vowel and a change in</w:t>
      </w:r>
      <w:r>
        <w:t xml:space="preserve"> </w:t>
      </w:r>
      <w:r>
        <w:t xml:space="preserve">lip rounding, the fricative in</w:t>
      </w:r>
      <w:r>
        <w:t xml:space="preserve"> </w:t>
      </w:r>
      <w:r>
        <w:rPr>
          <w:i/>
          <w:iCs/>
        </w:rPr>
        <w:t xml:space="preserve">see</w:t>
      </w:r>
      <w:r>
        <w:t xml:space="preserve"> </w:t>
      </w:r>
      <w:r>
        <w:t xml:space="preserve">[si] or</w:t>
      </w:r>
      <w:r>
        <w:t xml:space="preserve"> </w:t>
      </w:r>
      <w:r>
        <w:rPr>
          <w:i/>
          <w:iCs/>
        </w:rPr>
        <w:t xml:space="preserve">she</w:t>
      </w:r>
      <w:r>
        <w:t xml:space="preserve"> </w:t>
      </w:r>
      <w:r>
        <w:t xml:space="preserve">[ʃi] will sound</w:t>
      </w:r>
      <w:r>
        <w:t xml:space="preserve"> </w:t>
      </w:r>
      <w:r>
        <w:t xml:space="preserve">higher than the fricative in</w:t>
      </w:r>
      <w:r>
        <w:t xml:space="preserve"> </w:t>
      </w:r>
      <w:r>
        <w:rPr>
          <w:i/>
          <w:iCs/>
        </w:rPr>
        <w:t xml:space="preserve">sue</w:t>
      </w:r>
      <w:r>
        <w:t xml:space="preserve"> </w:t>
      </w:r>
      <w:r>
        <w:t xml:space="preserve">[su] or</w:t>
      </w:r>
      <w:r>
        <w:t xml:space="preserve"> </w:t>
      </w:r>
      <w:r>
        <w:rPr>
          <w:i/>
          <w:iCs/>
        </w:rPr>
        <w:t xml:space="preserve">shoe</w:t>
      </w:r>
      <w:r>
        <w:t xml:space="preserve"> </w:t>
      </w:r>
      <w:r>
        <w:t xml:space="preserve">[ʃu]</w:t>
      </w:r>
      <w:r>
        <w:t xml:space="preserve"> </w:t>
      </w:r>
      <w:r>
        <w:t xml:space="preserve">(Mann and Repp 1980; Kunisaki and Fujisaki 1977; Whalen 1981)</w:t>
      </w:r>
      <w:r>
        <w:t xml:space="preserve">.</w:t>
      </w:r>
      <w:r>
        <w:t xml:space="preserve"> </w:t>
      </w:r>
      <w:r>
        <w:t xml:space="preserve">Whalen (1984)</w:t>
      </w:r>
      <w:r>
        <w:t xml:space="preserve"> </w:t>
      </w:r>
      <w:r>
        <w:t xml:space="preserve">paired</w:t>
      </w:r>
      <w:r>
        <w:t xml:space="preserve"> </w:t>
      </w:r>
      <w:r>
        <w:t xml:space="preserve">synthesized vowels with incongruously coarticulated fricatives and found</w:t>
      </w:r>
      <w:r>
        <w:t xml:space="preserve"> </w:t>
      </w:r>
      <w:r>
        <w:t xml:space="preserve">that, although researchers could not consciously identify the mismatched</w:t>
      </w:r>
      <w:r>
        <w:t xml:space="preserve"> </w:t>
      </w:r>
      <w:r>
        <w:t xml:space="preserve">stimuli, participants nevertheless showed longer reaction times due to</w:t>
      </w:r>
      <w:r>
        <w:t xml:space="preserve"> </w:t>
      </w:r>
      <w:r>
        <w:t xml:space="preserve">these coarticulatory mismatches. Listeners will readily fill-in missing</w:t>
      </w:r>
      <w:r>
        <w:t xml:space="preserve"> </w:t>
      </w:r>
      <w:r>
        <w:t xml:space="preserve">or ambiguous information, the presence of actively</w:t>
      </w:r>
      <w:r>
        <w:t xml:space="preserve"> </w:t>
      </w:r>
      <w:r>
        <w:rPr>
          <w:i/>
          <w:iCs/>
        </w:rPr>
        <w:t xml:space="preserve">incongruous</w:t>
      </w:r>
      <w:r>
        <w:t xml:space="preserve"> </w:t>
      </w:r>
      <w:r>
        <w:t xml:space="preserve">articulatory information slows listener judgments.</w:t>
      </w:r>
    </w:p>
    <w:p>
      <w:pPr>
        <w:pStyle w:val="BodyText"/>
      </w:pPr>
      <w:r>
        <w:t xml:space="preserve">Working in the context of segmental speech perception,</w:t>
      </w:r>
      <w:r>
        <w:t xml:space="preserve"> </w:t>
      </w:r>
      <w:r>
        <w:t xml:space="preserve">Mann and Repp (1980)</w:t>
      </w:r>
      <w:r>
        <w:t xml:space="preserve"> </w:t>
      </w:r>
      <w:r>
        <w:t xml:space="preserve">replicated May’s (1976) finding, extending it to natural productions of</w:t>
      </w:r>
      <w:r>
        <w:t xml:space="preserve"> </w:t>
      </w:r>
      <w:r>
        <w:t xml:space="preserve">vowels spoken by a male or female-identified talker. Similar to May’s</w:t>
      </w:r>
      <w:r>
        <w:t xml:space="preserve"> </w:t>
      </w:r>
      <w:r>
        <w:t xml:space="preserve">results with simulated vocal tract size, Mann &amp; Repp found a higher</w:t>
      </w:r>
      <w:r>
        <w:t xml:space="preserve"> </w:t>
      </w:r>
      <w:r>
        <w:t xml:space="preserve">proportion of the fricative continuum was heard as [ʃ] when paired</w:t>
      </w:r>
      <w:r>
        <w:t xml:space="preserve"> </w:t>
      </w:r>
      <w:r>
        <w:t xml:space="preserve">with the speech of the female talker. This early work, as was common in</w:t>
      </w:r>
      <w:r>
        <w:t xml:space="preserve"> </w:t>
      </w:r>
      <w:r>
        <w:t xml:space="preserve">the period</w:t>
      </w:r>
      <w:r>
        <w:t xml:space="preserve"> </w:t>
      </w:r>
      <w:r>
        <w:t xml:space="preserve">(Ohala 1984)</w:t>
      </w:r>
      <w:r>
        <w:t xml:space="preserve">, theorized size as being a relatively</w:t>
      </w:r>
      <w:r>
        <w:t xml:space="preserve"> </w:t>
      </w:r>
      <w:r>
        <w:t xml:space="preserve">deterministic feature of talker sexual dimorphism. One consequence of</w:t>
      </w:r>
      <w:r>
        <w:t xml:space="preserve"> </w:t>
      </w:r>
      <w:r>
        <w:t xml:space="preserve">this view is that gender-related variation in the speech signal was</w:t>
      </w:r>
      <w:r>
        <w:t xml:space="preserve"> </w:t>
      </w:r>
      <w:r>
        <w:t xml:space="preserve">considered mechanistic, universal, and following from purely physical</w:t>
      </w:r>
      <w:r>
        <w:t xml:space="preserve"> </w:t>
      </w:r>
      <w:r>
        <w:t xml:space="preserve">laws. If vocal tract size is presumably not available for individual</w:t>
      </w:r>
      <w:r>
        <w:t xml:space="preserve"> </w:t>
      </w:r>
      <w:r>
        <w:t xml:space="preserve">performance then listener knowledge of this variation can be</w:t>
      </w:r>
      <w:r>
        <w:t xml:space="preserve"> </w:t>
      </w:r>
      <w:r>
        <w:t xml:space="preserve">correspondingly simple. Vocal tract size may influence perception, but</w:t>
      </w:r>
      <w:r>
        <w:t xml:space="preserve"> </w:t>
      </w:r>
      <w:r>
        <w:t xml:space="preserve">it does so implicitly, automatically, and below the level of</w:t>
      </w:r>
      <w:r>
        <w:t xml:space="preserve"> </w:t>
      </w:r>
      <w:r>
        <w:t xml:space="preserve">introspective awareness.</w:t>
      </w:r>
    </w:p>
    <w:p>
      <w:pPr>
        <w:pStyle w:val="BodyText"/>
      </w:pPr>
      <w:r>
        <w:t xml:space="preserve">Strand and Johnson (1996)</w:t>
      </w:r>
      <w:r>
        <w:t xml:space="preserve"> </w:t>
      </w:r>
      <w:r>
        <w:t xml:space="preserve">conducted a pair of experiments investigating the</w:t>
      </w:r>
      <w:r>
        <w:t xml:space="preserve"> </w:t>
      </w:r>
      <w:r>
        <w:t xml:space="preserve">influence of purported gender of a talker on the perception of the</w:t>
      </w:r>
      <w:r>
        <w:t xml:space="preserve"> </w:t>
      </w:r>
      <w:r>
        <w:t xml:space="preserve">[ʃ]-[s] boundary. In their first experiment, listeners heard a [ʃ]-[s]</w:t>
      </w:r>
      <w:r>
        <w:t xml:space="preserve"> </w:t>
      </w:r>
      <w:r>
        <w:t xml:space="preserve">continuum paired with voices previously normed as prototypically female,</w:t>
      </w:r>
      <w:r>
        <w:t xml:space="preserve"> </w:t>
      </w:r>
      <w:r>
        <w:t xml:space="preserve">non-prototypically female, prototypically male, and non-prototypically</w:t>
      </w:r>
      <w:r>
        <w:t xml:space="preserve"> </w:t>
      </w:r>
      <w:r>
        <w:t xml:space="preserve">male. The result replicates</w:t>
      </w:r>
      <w:r>
        <w:t xml:space="preserve"> </w:t>
      </w:r>
      <w:r>
        <w:t xml:space="preserve">Mann and Repp (1980)</w:t>
      </w:r>
      <w:r>
        <w:t xml:space="preserve"> </w:t>
      </w:r>
      <w:r>
        <w:t xml:space="preserve">and extends it to show that</w:t>
      </w:r>
      <w:r>
        <w:t xml:space="preserve"> </w:t>
      </w:r>
      <w:r>
        <w:t xml:space="preserve">the influence of a gendered voice correlates with the protypicality of</w:t>
      </w:r>
      <w:r>
        <w:t xml:space="preserve"> </w:t>
      </w:r>
      <w:r>
        <w:t xml:space="preserve">that voice. Their second experiment finds that presenting listeners with</w:t>
      </w:r>
      <w:r>
        <w:t xml:space="preserve"> </w:t>
      </w:r>
      <w:r>
        <w:t xml:space="preserve">prototypically-gendered videos of their purported talker can, again,</w:t>
      </w:r>
      <w:r>
        <w:t xml:space="preserve"> </w:t>
      </w:r>
      <w:r>
        <w:t xml:space="preserve">shift perceptions of the [ʃ]-[s] such that listeners report hearing a</w:t>
      </w:r>
      <w:r>
        <w:t xml:space="preserve"> </w:t>
      </w:r>
      <w:r>
        <w:t xml:space="preserve">higher proportion of the continuum as [ʃ] when watching a female</w:t>
      </w:r>
      <w:r>
        <w:t xml:space="preserve"> </w:t>
      </w:r>
      <w:r>
        <w:t xml:space="preserve">talker and a higher proportion of the same continuum as [s] when</w:t>
      </w:r>
      <w:r>
        <w:t xml:space="preserve"> </w:t>
      </w:r>
      <w:r>
        <w:t xml:space="preserve">watching a male talker.</w:t>
      </w:r>
    </w:p>
    <w:p>
      <w:pPr>
        <w:pStyle w:val="BodyText"/>
      </w:pPr>
      <w:r>
        <w:t xml:space="preserve">This AV condition is reminiscent of</w:t>
      </w:r>
      <w:r>
        <w:t xml:space="preserve"> </w:t>
      </w:r>
      <w:r>
        <w:t xml:space="preserve">McGurk and MacDonald (1976)</w:t>
      </w:r>
      <w:r>
        <w:t xml:space="preserve"> </w:t>
      </w:r>
      <w:r>
        <w:t xml:space="preserve">and is</w:t>
      </w:r>
      <w:r>
        <w:t xml:space="preserve"> </w:t>
      </w:r>
      <w:r>
        <w:t xml:space="preserve">presented in that context. In the McGurk Effect, listeners presented</w:t>
      </w:r>
      <w:r>
        <w:t xml:space="preserve"> </w:t>
      </w:r>
      <w:r>
        <w:t xml:space="preserve">with, for example, video of a person pronouncing the syllable [ga],</w:t>
      </w:r>
      <w:r>
        <w:t xml:space="preserve"> </w:t>
      </w:r>
      <w:r>
        <w:t xml:space="preserve">paired with audio of the syllable [ba] will experience a third, fused,</w:t>
      </w:r>
      <w:r>
        <w:t xml:space="preserve"> </w:t>
      </w:r>
      <w:r>
        <w:t xml:space="preserve">percept [da]. A striking feature of this effect is its automaticity;</w:t>
      </w:r>
      <w:r>
        <w:t xml:space="preserve"> </w:t>
      </w:r>
      <w:r>
        <w:t xml:space="preserve">participants can not choose to perceive the two components of a fused</w:t>
      </w:r>
      <w:r>
        <w:t xml:space="preserve"> </w:t>
      </w:r>
      <w:r>
        <w:t xml:space="preserve">percept independently. Awareness of the manipulation does not undermine</w:t>
      </w:r>
      <w:r>
        <w:t xml:space="preserve"> </w:t>
      </w:r>
      <w:r>
        <w:t xml:space="preserve">the effect. Indeed,</w:t>
      </w:r>
      <w:r>
        <w:t xml:space="preserve"> </w:t>
      </w:r>
      <w:r>
        <w:t xml:space="preserve">Green et al. (1991a)</w:t>
      </w:r>
      <w:r>
        <w:t xml:space="preserve"> </w:t>
      </w:r>
      <w:r>
        <w:t xml:space="preserve">found that the McGurk</w:t>
      </w:r>
      <w:r>
        <w:t xml:space="preserve"> </w:t>
      </w:r>
      <w:r>
        <w:t xml:space="preserve">Effect succeeds even when listeners know that the visual talker and the</w:t>
      </w:r>
      <w:r>
        <w:t xml:space="preserve"> </w:t>
      </w:r>
      <w:r>
        <w:t xml:space="preserve">auditory talker can not be the same person. McGurk can occur below the</w:t>
      </w:r>
      <w:r>
        <w:t xml:space="preserve"> </w:t>
      </w:r>
      <w:r>
        <w:t xml:space="preserve">level of introspective awareness or, with instruction, above the level</w:t>
      </w:r>
      <w:r>
        <w:t xml:space="preserve"> </w:t>
      </w:r>
      <w:r>
        <w:t xml:space="preserve">of introspective awareness. However, listeners, even with awareness, can</w:t>
      </w:r>
      <w:r>
        <w:t xml:space="preserve"> </w:t>
      </w:r>
      <w:r>
        <w:t xml:space="preserve">not control their experience of the effect.</w:t>
      </w:r>
    </w:p>
    <w:p>
      <w:pPr>
        <w:pStyle w:val="BodyText"/>
      </w:pPr>
      <w:r>
        <w:t xml:space="preserve">Listeners’ phonetic judgments, whether above or below the level of</w:t>
      </w:r>
      <w:r>
        <w:t xml:space="preserve"> </w:t>
      </w:r>
      <w:r>
        <w:t xml:space="preserve">conscious awareness, depend on a rich constellation of evidence and</w:t>
      </w:r>
      <w:r>
        <w:t xml:space="preserve"> </w:t>
      </w:r>
      <w:r>
        <w:t xml:space="preserve">expectation. Vocal tract size, following vowel quality, coarticulatory</w:t>
      </w:r>
      <w:r>
        <w:t xml:space="preserve"> </w:t>
      </w:r>
      <w:r>
        <w:t xml:space="preserve">cues, and visual information, along with the acoustic properties of the</w:t>
      </w:r>
      <w:r>
        <w:t xml:space="preserve"> </w:t>
      </w:r>
      <w:r>
        <w:t xml:space="preserve">coarticulated fricative itself, can all shape how listeners report</w:t>
      </w:r>
      <w:r>
        <w:t xml:space="preserve"> </w:t>
      </w:r>
      <w:r>
        <w:t xml:space="preserve">experiencing a particular fricative. Rather than relying on a single,</w:t>
      </w:r>
      <w:r>
        <w:t xml:space="preserve"> </w:t>
      </w:r>
      <w:r>
        <w:t xml:space="preserve">invariant, phonetic cue, listeners take the entire fricative and context</w:t>
      </w:r>
      <w:r>
        <w:t xml:space="preserve"> </w:t>
      </w:r>
      <w:r>
        <w:t xml:space="preserve">into account</w:t>
      </w:r>
      <w:r>
        <w:t xml:space="preserve"> </w:t>
      </w:r>
      <w:r>
        <w:t xml:space="preserve">(Whalen 1991)</w:t>
      </w:r>
      <w:r>
        <w:t xml:space="preserve">. It is conceivable that such exquisite</w:t>
      </w:r>
      <w:r>
        <w:t xml:space="preserve"> </w:t>
      </w:r>
      <w:r>
        <w:t xml:space="preserve">sensitivity to the phonetic cues conveying linguistic category</w:t>
      </w:r>
      <w:r>
        <w:t xml:space="preserve"> </w:t>
      </w:r>
      <w:r>
        <w:t xml:space="preserve">membership might somehow restrict language users’ freedom to communicate</w:t>
      </w:r>
      <w:r>
        <w:t xml:space="preserve"> </w:t>
      </w:r>
      <w:r>
        <w:t xml:space="preserve">and perceive social information via the same phonetic signal. This would</w:t>
      </w:r>
      <w:r>
        <w:t xml:space="preserve"> </w:t>
      </w:r>
      <w:r>
        <w:t xml:space="preserve">be the prediction of a phonetic theory in which linguistic information</w:t>
      </w:r>
      <w:r>
        <w:t xml:space="preserve"> </w:t>
      </w:r>
      <w:r>
        <w:t xml:space="preserve">and social information share the phonetic signal in a kind of zero sum</w:t>
      </w:r>
      <w:r>
        <w:t xml:space="preserve"> </w:t>
      </w:r>
      <w:r>
        <w:t xml:space="preserve">game –where listeners must normalize away social variation to recover</w:t>
      </w:r>
      <w:r>
        <w:t xml:space="preserve"> </w:t>
      </w:r>
      <w:r>
        <w:t xml:space="preserve">linguistic information or lose linguistic information in favor of the</w:t>
      </w:r>
      <w:r>
        <w:t xml:space="preserve"> </w:t>
      </w:r>
      <w:r>
        <w:t xml:space="preserve">social. Instead, with these fricatives at least, we can observe the</w:t>
      </w:r>
      <w:r>
        <w:t xml:space="preserve"> </w:t>
      </w:r>
      <w:r>
        <w:t xml:space="preserve">opposite. The fricatives [ʃ] and [s] often carry social meaning</w:t>
      </w:r>
      <w:r>
        <w:t xml:space="preserve"> </w:t>
      </w:r>
      <w:r>
        <w:t xml:space="preserve">(Podesva and Kajino 2014; Mack and Munson 2012)</w:t>
      </w:r>
      <w:r>
        <w:t xml:space="preserve"> </w:t>
      </w:r>
      <w:r>
        <w:t xml:space="preserve">with [s] being</w:t>
      </w:r>
      <w:r>
        <w:t xml:space="preserve"> </w:t>
      </w:r>
      <w:r>
        <w:t xml:space="preserve">“perhaps the</w:t>
      </w:r>
      <w:r>
        <w:t xml:space="preserve"> </w:t>
      </w:r>
      <w:r>
        <w:t xml:space="preserve">most iconic phonetic variable in the field”</w:t>
      </w:r>
      <w:r>
        <w:t xml:space="preserve"> </w:t>
      </w:r>
      <w:r>
        <w:t xml:space="preserve">(Calder 2018)</w:t>
      </w:r>
      <w:r>
        <w:t xml:space="preserve">. The</w:t>
      </w:r>
      <w:r>
        <w:t xml:space="preserve"> </w:t>
      </w:r>
      <w:r>
        <w:t xml:space="preserve">implication is that the social and linguistic meanings of particular</w:t>
      </w:r>
      <w:r>
        <w:t xml:space="preserve"> </w:t>
      </w:r>
      <w:r>
        <w:t xml:space="preserve">phonetic cues are not necessarily in competition with one another.</w:t>
      </w:r>
    </w:p>
    <w:p>
      <w:pPr>
        <w:pStyle w:val="BodyText"/>
      </w:pPr>
      <w:r>
        <w:t xml:space="preserve">It is unclear from</w:t>
      </w:r>
      <w:r>
        <w:t xml:space="preserve"> </w:t>
      </w:r>
      <w:r>
        <w:t xml:space="preserve">Strand and Johnson (1996)</w:t>
      </w:r>
      <w:r>
        <w:t xml:space="preserve"> </w:t>
      </w:r>
      <w:r>
        <w:t xml:space="preserve">and subsequent work whether the</w:t>
      </w:r>
      <w:r>
        <w:t xml:space="preserve"> </w:t>
      </w:r>
      <w:r>
        <w:t xml:space="preserve">perceptual influence of visually-presented social information about</w:t>
      </w:r>
      <w:r>
        <w:t xml:space="preserve"> </w:t>
      </w:r>
      <w:r>
        <w:t xml:space="preserve">gender is implicit and automatic, as observed with coarticulation, vocal</w:t>
      </w:r>
      <w:r>
        <w:t xml:space="preserve"> </w:t>
      </w:r>
      <w:r>
        <w:t xml:space="preserve">tract size, and the McGurk effect or whether the effect is altered (or</w:t>
      </w:r>
      <w:r>
        <w:t xml:space="preserve"> </w:t>
      </w:r>
      <w:r>
        <w:t xml:space="preserve">diminished) when listeners are made aware of the manipulation and their</w:t>
      </w:r>
      <w:r>
        <w:t xml:space="preserve"> </w:t>
      </w:r>
      <w:r>
        <w:t xml:space="preserve">attention is drawn to socially-meaningful variables</w:t>
      </w:r>
      <w:r>
        <w:t xml:space="preserve"> </w:t>
      </w:r>
      <w:r>
        <w:t xml:space="preserve">(Labov et al. 2011)</w:t>
      </w:r>
      <w:r>
        <w:t xml:space="preserve">.</w:t>
      </w:r>
      <w:r>
        <w:t xml:space="preserve"> </w:t>
      </w:r>
      <w:r>
        <w:t xml:space="preserve">The present work seeks to resolve this cognitive question to better</w:t>
      </w:r>
      <w:r>
        <w:t xml:space="preserve"> </w:t>
      </w:r>
      <w:r>
        <w:t xml:space="preserve">understand precisely how the stylistic bricolage of gender is perceived and how gender perception functions in interaction. How do linguistic and non-linguistic resources</w:t>
      </w:r>
      <w:r>
        <w:t xml:space="preserve"> </w:t>
      </w:r>
      <w:r>
        <w:t xml:space="preserve">interact during perception and, finally, what happens when these signals</w:t>
      </w:r>
      <w:r>
        <w:t xml:space="preserve"> </w:t>
      </w:r>
      <w:r>
        <w:t xml:space="preserve">conflict? In order to conduct this study, however, it is necessary to be</w:t>
      </w:r>
      <w:r>
        <w:t xml:space="preserve"> </w:t>
      </w:r>
      <w:r>
        <w:t xml:space="preserve">precise about how we conceive of and operationalize gender for the</w:t>
      </w:r>
      <w:r>
        <w:t xml:space="preserve"> </w:t>
      </w:r>
      <w:r>
        <w:t xml:space="preserve">purposes of a speech perception experiment.</w:t>
      </w:r>
    </w:p>
    <w:bookmarkEnd w:id="22"/>
    <w:bookmarkStart w:id="23" w:name="Xe27d1a4138b001263dc1172d1c3185242cd00f1"/>
    <w:p>
      <w:pPr>
        <w:pStyle w:val="Heading2"/>
      </w:pPr>
      <w:r>
        <w:t xml:space="preserve">Phonetics, Speech Perception, and the Social-Construction of Gender</w:t>
      </w:r>
    </w:p>
    <w:p>
      <w:pPr>
        <w:pStyle w:val="FirstParagraph"/>
      </w:pPr>
      <w:r>
        <w:t xml:space="preserve">It has long seemed normal in phonetics to imagine that gender is a</w:t>
      </w:r>
      <w:r>
        <w:t xml:space="preserve"> </w:t>
      </w:r>
      <w:r>
        <w:t xml:space="preserve">simple, binary projection from biological sex onto social identity</w:t>
      </w:r>
      <w:r>
        <w:t xml:space="preserve"> </w:t>
      </w:r>
      <w:r>
        <w:t xml:space="preserve">(Daniel et al. 2007; Samoliński, Grzanka, and Gotlib 2007)</w:t>
      </w:r>
      <w:r>
        <w:t xml:space="preserve">. However, if these biological tendencies</w:t>
      </w:r>
      <w:r>
        <w:t xml:space="preserve"> </w:t>
      </w:r>
      <w:r>
        <w:t xml:space="preserve">were simply deterministic we would expect to see differentiation emerge only at puberty. It does not. In fact, prior to the onset of puberty, girls’ oral and nasal cavities tend to be larger than those of boys</w:t>
      </w:r>
      <w:r>
        <w:t xml:space="preserve"> </w:t>
      </w:r>
      <w:r>
        <w:t xml:space="preserve">(Samoliński, Grzanka, and Gotlib 2007)</w:t>
      </w:r>
      <w:r>
        <w:t xml:space="preserve">. If anything, we should expect lower formants and lower center and peak frequencies for girls, inverting the adult pattern. Instead what we observe is that listeners can differentiate the voices of children as young as 4 years of age using vowel formant frequencies</w:t>
      </w:r>
      <w:r>
        <w:t xml:space="preserve"> </w:t>
      </w:r>
      <w:r>
        <w:t xml:space="preserve">(Perry, Ohde, and Ashmead 2001)</w:t>
      </w:r>
      <w:r>
        <w:t xml:space="preserve">.</w:t>
      </w:r>
      <w:r>
        <w:t xml:space="preserve"> </w:t>
      </w:r>
      <w:r>
        <w:t xml:space="preserve">Schellinger, Munson, and Edwards (2017)</w:t>
      </w:r>
      <w:r>
        <w:t xml:space="preserve"> </w:t>
      </w:r>
      <w:r>
        <w:t xml:space="preserve">report a pair of experiments in which participants heard words produced by children between the ages of 2 and 5, and provided continuous ratings identifying fricatives, vowels, and gender typicality. Children typically show gendered patterns in speech at age 4 and up despite vocal tract length being non-distinct for this cohort. It is critical to remember that formants and fricatives are the result of not purely vocal tract biology but also articulator coordination. Even without biologically-differentiated vocal tracts, people who identify as male or female can perform that identity through gestural style. Vowels, in both their linguistic and social aspects, are the acoustic consequence of gestural control.</w:t>
      </w:r>
    </w:p>
    <w:p>
      <w:pPr>
        <w:pStyle w:val="BodyText"/>
      </w:pPr>
      <w:r>
        <w:t xml:space="preserve">Gender is more likely the product of, rather than an explanation for,</w:t>
      </w:r>
      <w:r>
        <w:t xml:space="preserve"> </w:t>
      </w:r>
      <w:r>
        <w:t xml:space="preserve">linguistic variation</w:t>
      </w:r>
      <w:r>
        <w:t xml:space="preserve"> </w:t>
      </w:r>
      <w:r>
        <w:t xml:space="preserve">(Eckert and Podesva 2021)</w:t>
      </w:r>
      <w:r>
        <w:t xml:space="preserve">. Just as with words, genders</w:t>
      </w:r>
      <w:r>
        <w:t xml:space="preserve"> </w:t>
      </w:r>
      <w:r>
        <w:t xml:space="preserve">are arbitrary; both the social labels and their acoustic correlates are</w:t>
      </w:r>
      <w:r>
        <w:t xml:space="preserve"> </w:t>
      </w:r>
      <w:r>
        <w:t xml:space="preserve">language specific</w:t>
      </w:r>
      <w:r>
        <w:t xml:space="preserve"> </w:t>
      </w:r>
      <w:r>
        <w:t xml:space="preserve">(Johnson 2005, 2006)</w:t>
      </w:r>
      <w:r>
        <w:t xml:space="preserve"> </w:t>
      </w:r>
      <w:r>
        <w:t xml:space="preserve">and the constellation of</w:t>
      </w:r>
      <w:r>
        <w:t xml:space="preserve"> </w:t>
      </w:r>
      <w:r>
        <w:t xml:space="preserve">meanings are socially-constructed in interaction</w:t>
      </w:r>
      <w:r>
        <w:t xml:space="preserve"> </w:t>
      </w:r>
      <w:r>
        <w:t xml:space="preserve">(Eckert 2008)</w:t>
      </w:r>
      <w:r>
        <w:t xml:space="preserve">. The</w:t>
      </w:r>
      <w:r>
        <w:t xml:space="preserve"> </w:t>
      </w:r>
      <w:r>
        <w:t xml:space="preserve">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w:t>
      </w:r>
      <w:r>
        <w:t xml:space="preserve"> </w:t>
      </w:r>
      <w:r>
        <w:t xml:space="preserve">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w:t>
      </w:r>
      <w:r>
        <w:t xml:space="preserve"> </w:t>
      </w:r>
      <w:r>
        <w:t xml:space="preserve">different in Thailand than in Japan</w:t>
      </w:r>
      <w:r>
        <w:t xml:space="preserve"> </w:t>
      </w:r>
      <w:r>
        <w:t xml:space="preserve">(Käng 2013; Alpert 2014)</w:t>
      </w:r>
      <w:r>
        <w:t xml:space="preserve">. Children</w:t>
      </w:r>
      <w:r>
        <w:t xml:space="preserve"> </w:t>
      </w:r>
      <w:r>
        <w:t xml:space="preserve">don’t perform adult-like vowel formant patterns because they were born</w:t>
      </w:r>
      <w:r>
        <w:t xml:space="preserve"> </w:t>
      </w:r>
      <w:r>
        <w:t xml:space="preserve">tiny men and women, children perform adult-like vowel formant patterns</w:t>
      </w:r>
      <w:r>
        <w:t xml:space="preserve"> </w:t>
      </w:r>
      <w:r>
        <w:t xml:space="preserve">because they identify as a gender and are using the cultural and</w:t>
      </w:r>
      <w:r>
        <w:t xml:space="preserve"> </w:t>
      </w:r>
      <w:r>
        <w:t xml:space="preserve">linguistic resources available to communicate that gender to others.</w:t>
      </w:r>
      <w:r>
        <w:t xml:space="preserve"> </w:t>
      </w:r>
      <w:r>
        <w:t xml:space="preserve">Humans are meaning-making agents, not deterministically resonating meat</w:t>
      </w:r>
      <w:r>
        <w:t xml:space="preserve"> </w:t>
      </w:r>
      <w:r>
        <w:t xml:space="preserve">tubes.</w:t>
      </w:r>
    </w:p>
    <w:p>
      <w:pPr>
        <w:pStyle w:val="BodyText"/>
      </w:pPr>
      <w:r>
        <w:t xml:space="preserve">In the earliest sociophonetic perception research it was still possible</w:t>
      </w:r>
      <w:r>
        <w:t xml:space="preserve"> </w:t>
      </w:r>
      <w:r>
        <w:t xml:space="preserve">to imagine that the kind of knowledge listeners drew on to perceive</w:t>
      </w:r>
      <w:r>
        <w:t xml:space="preserve"> </w:t>
      </w:r>
      <w:r>
        <w:t xml:space="preserve">gender was knowledge of primary biological traits. We now understand</w:t>
      </w:r>
      <w:r>
        <w:t xml:space="preserve"> </w:t>
      </w:r>
      <w:r>
        <w:t xml:space="preserve">that, instead, the influence of gender-based expectations in speech</w:t>
      </w:r>
      <w:r>
        <w:t xml:space="preserve"> </w:t>
      </w:r>
      <w:r>
        <w:t xml:space="preserve">perception is evidence of the influence of cultural knowledge on what</w:t>
      </w:r>
      <w:r>
        <w:t xml:space="preserve"> </w:t>
      </w:r>
      <w:r>
        <w:t xml:space="preserve">might previously have been construed as purely linguistic decisions</w:t>
      </w:r>
      <w:r>
        <w:t xml:space="preserve"> </w:t>
      </w:r>
      <w:r>
        <w:t xml:space="preserve">(Boyd, Fruehwald, and Hall-Lew 2021)</w:t>
      </w:r>
      <w:r>
        <w:t xml:space="preserve">. Just as vowel quality, lip rounding, and</w:t>
      </w:r>
      <w:r>
        <w:t xml:space="preserve"> </w:t>
      </w:r>
      <w:r>
        <w:t xml:space="preserve">syllable affiliation influence the perception of these fricatives, so</w:t>
      </w:r>
      <w:r>
        <w:t xml:space="preserve"> </w:t>
      </w:r>
      <w:r>
        <w:t xml:space="preserve">too do socially-constructed gender categories.</w:t>
      </w:r>
    </w:p>
    <w:p>
      <w:pPr>
        <w:pStyle w:val="BodyText"/>
      </w:pPr>
      <w:r>
        <w:t xml:space="preserve">This paper reports an audiovisual matched guise experiment with both</w:t>
      </w:r>
      <w:r>
        <w:t xml:space="preserve"> </w:t>
      </w:r>
      <w:r>
        <w:t xml:space="preserve">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w:t>
      </w:r>
      <w:r>
        <w:t xml:space="preserve"> </w:t>
      </w:r>
      <w:r>
        <w:t xml:space="preserve">task is a replication of</w:t>
      </w:r>
      <w:r>
        <w:t xml:space="preserve"> </w:t>
      </w:r>
      <w:r>
        <w:t xml:space="preserve">Strand and Johnson (1996)</w:t>
      </w:r>
      <w:r>
        <w:t xml:space="preserve">. Listeners are asked to</w:t>
      </w:r>
      <w:r>
        <w:t xml:space="preserve"> </w:t>
      </w:r>
      <w:r>
        <w:t xml:space="preserve">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w:t>
      </w:r>
      <w:r>
        <w:t xml:space="preserve"> </w:t>
      </w:r>
      <w:r>
        <w:t xml:space="preserve">continuum given manipulated beliefs about the gender identity of the</w:t>
      </w:r>
      <w:r>
        <w:t xml:space="preserve"> </w:t>
      </w:r>
      <w:r>
        <w:t xml:space="preserve">talker</w:t>
      </w:r>
      <w:r>
        <w:t xml:space="preserve"> </w:t>
      </w:r>
      <w:r>
        <w:t xml:space="preserve">(Tripp and Munson 2022; Stecker and D’Onofrio, this volume)</w:t>
      </w:r>
      <w:r>
        <w:t xml:space="preserve">. As described above,</w:t>
      </w:r>
      <w:r>
        <w:t xml:space="preserve"> </w:t>
      </w:r>
      <w:r>
        <w:t xml:space="preserve">numerous previous replications have found that listeners perceive more</w:t>
      </w:r>
      <w:r>
        <w:t xml:space="preserve"> </w:t>
      </w:r>
      <w:r>
        <w:t xml:space="preserve">of the ambiguous continuum as [ʃ] when they believe the speaker</w:t>
      </w:r>
      <w:r>
        <w:t xml:space="preserve"> </w:t>
      </w:r>
      <w:r>
        <w:t xml:space="preserve">identifies as a woman and more as [s] when they believe the speaker</w:t>
      </w:r>
      <w:r>
        <w:t xml:space="preserve"> </w:t>
      </w:r>
      <w:r>
        <w:t xml:space="preserve">identifies as a man and that, furthermore, this effect is</w:t>
      </w:r>
      <w:r>
        <w:t xml:space="preserve"> </w:t>
      </w:r>
      <w:r>
        <w:t xml:space="preserve">bi-directional, with fricative type influencing perception of gender for</w:t>
      </w:r>
      <w:r>
        <w:t xml:space="preserve"> </w:t>
      </w:r>
      <w:r>
        <w:t xml:space="preserve">an ambiguous voice</w:t>
      </w:r>
      <w:r>
        <w:t xml:space="preserve"> </w:t>
      </w:r>
      <w:r>
        <w:t xml:space="preserve">(Bouavichith et al. 2019)</w:t>
      </w:r>
      <w:r>
        <w:t xml:space="preserve">. Unusually, participants in</w:t>
      </w:r>
      <w:r>
        <w:t xml:space="preserve"> </w:t>
      </w:r>
      <w:r>
        <w:t xml:space="preserve">the present study’s</w:t>
      </w:r>
      <w:r>
        <w:t xml:space="preserve"> </w:t>
      </w:r>
      <w:r>
        <w:t xml:space="preserve">‘unhidden’</w:t>
      </w:r>
      <w:r>
        <w:t xml:space="preserve"> </w:t>
      </w:r>
      <w:r>
        <w:t xml:space="preserve">instruction condition were briefed, in</w:t>
      </w:r>
      <w:r>
        <w:t xml:space="preserve"> </w:t>
      </w:r>
      <w:r>
        <w:t xml:space="preserve">the instructions, about the guise manipulation. They were instructed</w:t>
      </w:r>
      <w:r>
        <w:t xml:space="preserve"> </w:t>
      </w:r>
      <w:r>
        <w:t xml:space="preserve">that the man or woman in the photo was not associated with the voice</w:t>
      </w:r>
      <w:r>
        <w:t xml:space="preserve"> </w:t>
      </w:r>
      <w:r>
        <w:t xml:space="preserve">they were listening to.</w:t>
      </w:r>
      <w:r>
        <w:t xml:space="preserve"> </w:t>
      </w:r>
      <w:r>
        <w:t xml:space="preserve">(Campbell-Kibler 2021)</w:t>
      </w:r>
      <w:r>
        <w:t xml:space="preserve">, using a similar</w:t>
      </w:r>
      <w:r>
        <w:t xml:space="preserve"> </w:t>
      </w:r>
      <w:r>
        <w:t xml:space="preserve">manipulation, finds that listeners have some ability to disregard social</w:t>
      </w:r>
      <w:r>
        <w:t xml:space="preserve"> </w:t>
      </w:r>
      <w:r>
        <w:t xml:space="preserve">information when making accentedness or attractiveness judgments but</w:t>
      </w:r>
      <w:r>
        <w:t xml:space="preserve"> </w:t>
      </w:r>
      <w:r>
        <w:t xml:space="preserve">that influence of available social information, particularly from the</w:t>
      </w:r>
      <w:r>
        <w:t xml:space="preserve"> </w:t>
      </w:r>
      <w:r>
        <w:t xml:space="preserve">voice, is difficult to disregard completely. In the present study,</w:t>
      </w:r>
      <w:r>
        <w:t xml:space="preserve"> </w:t>
      </w:r>
      <w:r>
        <w:t xml:space="preserve">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w:t>
      </w:r>
      <w:r>
        <w:t xml:space="preserve"> </w:t>
      </w:r>
      <w:r>
        <w:t xml:space="preserve">stimulus.</w:t>
      </w:r>
    </w:p>
    <w:bookmarkEnd w:id="23"/>
    <w:bookmarkEnd w:id="24"/>
    <w:bookmarkStart w:id="40" w:name="method"/>
    <w:p>
      <w:pPr>
        <w:pStyle w:val="Heading1"/>
      </w:pPr>
      <w:r>
        <w:t xml:space="preserve">Method</w:t>
      </w:r>
    </w:p>
    <w:bookmarkStart w:id="25" w:name="participants"/>
    <w:p>
      <w:pPr>
        <w:pStyle w:val="Heading2"/>
      </w:pPr>
      <w:r>
        <w:t xml:space="preserve">Participants</w:t>
      </w:r>
    </w:p>
    <w:p>
      <w:pPr>
        <w:pStyle w:val="FirstParagraph"/>
      </w:pPr>
      <w:r>
        <w:t xml:space="preserve">120 participants (self-identified 59 female, 61 male; ages 20 to 75)</w:t>
      </w:r>
      <w:r>
        <w:t xml:space="preserve"> </w:t>
      </w:r>
      <w:r>
        <w:t xml:space="preserve">were recruited to complete the online experiment online. These</w:t>
      </w:r>
      <w:r>
        <w:t xml:space="preserve"> </w:t>
      </w:r>
      <w:r>
        <w:t xml:space="preserve">participants were recruited through prolific.com and had provided</w:t>
      </w:r>
      <w:r>
        <w:t xml:space="preserve"> </w:t>
      </w:r>
      <w:r>
        <w:t xml:space="preserve">language history and demographic data as part of Prolific’s general</w:t>
      </w:r>
      <w:r>
        <w:t xml:space="preserve"> </w:t>
      </w:r>
      <w:r>
        <w:t xml:space="preserve">pre-screening questionnaire. Participation was restricted to a standard</w:t>
      </w:r>
      <w:r>
        <w:t xml:space="preserve"> </w:t>
      </w:r>
      <w:r>
        <w:t xml:space="preserve">sample of desktop computer users located in the USA, who spent most of their childhoods in the</w:t>
      </w:r>
      <w:r>
        <w:t xml:space="preserve"> </w:t>
      </w:r>
      <w:r>
        <w:t xml:space="preserve">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r>
        <w:t xml:space="preserve"> </w:t>
      </w:r>
      <w:r>
        <w:t xml:space="preserve">Participants were paid $3 for their time, pro-rated from a projected</w:t>
      </w:r>
      <w:r>
        <w:t xml:space="preserve"> </w:t>
      </w:r>
      <w:r>
        <w:t xml:space="preserve">rate of $20/hour (actual rate: $26.29/hour). This same instrument was</w:t>
      </w:r>
      <w:r>
        <w:t xml:space="preserve"> </w:t>
      </w:r>
      <w:r>
        <w:t xml:space="preserve">piloted in the Speech Perception lab of The Ohio State University and,</w:t>
      </w:r>
      <w:r>
        <w:t xml:space="preserve"> </w:t>
      </w:r>
      <w:r>
        <w:t xml:space="preserve">while reaction times online were generally slower than in-person,</w:t>
      </w:r>
      <w:r>
        <w:t xml:space="preserve"> </w:t>
      </w:r>
      <w:r>
        <w:t xml:space="preserve">results from the online administration were generally consistent with</w:t>
      </w:r>
      <w:r>
        <w:t xml:space="preserve"> </w:t>
      </w:r>
      <w:r>
        <w:t xml:space="preserve">results collected under laboratory conditions. Four participants were</w:t>
      </w:r>
      <w:r>
        <w:t xml:space="preserve"> </w:t>
      </w:r>
      <w:r>
        <w:t xml:space="preserve">excluded for low accuracy rates (below 85%).</w:t>
      </w:r>
    </w:p>
    <w:bookmarkEnd w:id="25"/>
    <w:bookmarkStart w:id="31" w:name="stimulus-materials"/>
    <w:p>
      <w:pPr>
        <w:pStyle w:val="Heading2"/>
      </w:pPr>
      <w:r>
        <w:t xml:space="preserve">Stimulus Materials</w:t>
      </w:r>
    </w:p>
    <w:bookmarkStart w:id="30" w:name="auditory-stimuli"/>
    <w:p>
      <w:pPr>
        <w:pStyle w:val="Heading3"/>
      </w:pPr>
      <w:r>
        <w:t xml:space="preserve">Auditory Stimuli</w:t>
      </w:r>
    </w:p>
    <w:p>
      <w:pPr>
        <w:pStyle w:val="FirstParagraph"/>
      </w:pPr>
      <w:r>
        <w:t xml:space="preserve">The auditory stimuli used in this study are the same wav-format files</w:t>
      </w:r>
      <w:r>
        <w:t xml:space="preserve"> </w:t>
      </w:r>
      <w:r>
        <w:t xml:space="preserve">used in</w:t>
      </w:r>
      <w:r>
        <w:t xml:space="preserve"> </w:t>
      </w:r>
      <w:r>
        <w:t xml:space="preserve">(Bouavichith et al. 2019)</w:t>
      </w:r>
      <w:r>
        <w:t xml:space="preserve">. The stimuli, which were generously</w:t>
      </w:r>
      <w:r>
        <w:t xml:space="preserve"> </w:t>
      </w:r>
      <w:r>
        <w:t xml:space="preserve">shared with us, contain two parts, both of which are drawn from</w:t>
      </w:r>
      <w:r>
        <w:t xml:space="preserve"> </w:t>
      </w:r>
      <w:r>
        <w:t xml:space="preserve">synthetic continua: a fricative onset and a VC rime. The fricative</w:t>
      </w:r>
      <w:r>
        <w:t xml:space="preserve"> </w:t>
      </w:r>
      <w:r>
        <w:t xml:space="preserve">onsets comprise a synthetic six step /ʃ-s/</w:t>
      </w:r>
      <w:r>
        <w:t xml:space="preserve"> </w:t>
      </w:r>
      <w:r>
        <w:t xml:space="preserve">continuum. These steps were generated with the Klatt Synthesizer in</w:t>
      </w:r>
      <w:r>
        <w:t xml:space="preserve"> </w:t>
      </w:r>
      <w:r>
        <w:t xml:space="preserve">Praat</w:t>
      </w:r>
      <w:r>
        <w:t xml:space="preserve"> </w:t>
      </w:r>
      <w:r>
        <w:t xml:space="preserve">(Boersma 2001)</w:t>
      </w:r>
      <w:r>
        <w:t xml:space="preserve"> </w:t>
      </w:r>
      <w:r>
        <w:t xml:space="preserve">using parameters identical to</w:t>
      </w:r>
      <w:r>
        <w:t xml:space="preserve"> </w:t>
      </w:r>
      <w:r>
        <w:t xml:space="preserve">Munson (2011)</w:t>
      </w:r>
      <w:r>
        <w:t xml:space="preserve"> </w:t>
      </w:r>
      <w:r>
        <w:t xml:space="preserve">ranging between the values of Munson’s second and eighth continuum steps</w:t>
      </w:r>
      <w:r>
        <w:t xml:space="preserve"> </w:t>
      </w:r>
      <w:r>
        <w:t xml:space="preserve">(which were, in turn, based on the parameters used in</w:t>
      </w:r>
      <w:r>
        <w:t xml:space="preserve"> </w:t>
      </w:r>
      <w:r>
        <w:t xml:space="preserve">Strand and Johnson (1996)</w:t>
      </w:r>
      <w:r>
        <w:t xml:space="preserve">). Centers of Gravity ranged from 3.2 kHz</w:t>
      </w:r>
      <w:r>
        <w:t xml:space="preserve"> </w:t>
      </w:r>
      <w:r>
        <w:t xml:space="preserve">(/ʃ/-like) to 7 kHz (/s/-like).</w:t>
      </w:r>
    </w:p>
    <w:p>
      <w:pPr>
        <w:pStyle w:val="BodyText"/>
      </w:pPr>
      <w:r>
        <w:t xml:space="preserve">For the VC rime, two additional continua were modified from natural</w:t>
      </w:r>
      <w:r>
        <w:t xml:space="preserve"> </w:t>
      </w:r>
      <w:r>
        <w:t xml:space="preserve">productions of [æk] spoken by one male-identifying and one</w:t>
      </w:r>
      <w:r>
        <w:t xml:space="preserve"> </w:t>
      </w:r>
      <w:r>
        <w:t xml:space="preserve">female-identifying talker in the carrier phrase</w:t>
      </w:r>
      <w:r>
        <w:t xml:space="preserve"> </w:t>
      </w:r>
      <w:r>
        <w:t xml:space="preserve">“Say sack again”</w:t>
      </w:r>
      <w:r>
        <w:t xml:space="preserve">. These</w:t>
      </w:r>
      <w:r>
        <w:t xml:space="preserve"> </w:t>
      </w:r>
      <w:r>
        <w:t xml:space="preserve">five-step rime continua were created by evenly spacing</w:t>
      </w:r>
      <w:r>
        <w:t xml:space="preserve"> </w:t>
      </w:r>
      <w:r>
        <w:t xml:space="preserve">mean F0 across consecutive steps such that the male /æk/</w:t>
      </w:r>
      <w:r>
        <w:t xml:space="preserve"> </w:t>
      </w:r>
      <w:r>
        <w:t xml:space="preserve">continuum increased F0 frequency and formant spacing from their</w:t>
      </w:r>
      <w:r>
        <w:t xml:space="preserve"> </w:t>
      </w:r>
      <w:r>
        <w:t xml:space="preserve">unmodified values while the female talker’s /æk/ continuum</w:t>
      </w:r>
      <w:r>
        <w:t xml:space="preserve"> </w:t>
      </w:r>
      <w:r>
        <w:t xml:space="preserve">decreased both parameters from unmodified. Following the separate creations of these continua, each</w:t>
      </w:r>
      <w:r>
        <w:t xml:space="preserve"> </w:t>
      </w:r>
      <w:r>
        <w:t xml:space="preserve">synthesized fricative token was concatenated with each CV rime of</w:t>
      </w:r>
      <w:r>
        <w:t xml:space="preserve"> </w:t>
      </w:r>
      <w:r>
        <w:t xml:space="preserve">/æk/ resulting in a total of 60 unique auditory stimuli.</w:t>
      </w:r>
      <w:r>
        <w:t xml:space="preserve"> </w:t>
      </w:r>
      <w:r>
        <w:t xml:space="preserve">These manipulations are described in greater detail in Bouavichith et</w:t>
      </w:r>
      <w:r>
        <w:t xml:space="preserve"> </w:t>
      </w:r>
      <w:r>
        <w:t xml:space="preserve">al’s section 2.1 and summarized visually in</w:t>
      </w:r>
      <w:r>
        <w:t xml:space="preserve"> </w:t>
      </w:r>
      <w:hyperlink w:anchor="fig-stimuli">
        <w:r>
          <w:rPr>
            <w:rStyle w:val="Hyperlink"/>
          </w:rPr>
          <w:t xml:space="preserve">Figure 1</w:t>
        </w:r>
      </w:hyperlink>
      <w:r>
        <w:t xml:space="preserve">. Unlike</w:t>
      </w:r>
      <w:r>
        <w:t xml:space="preserve"> </w:t>
      </w:r>
      <w:r>
        <w:t xml:space="preserve">MGT studies that ask a talented, multi-dialectal talker to consciously</w:t>
      </w:r>
      <w:r>
        <w:t xml:space="preserve"> </w:t>
      </w:r>
      <w:r>
        <w:t xml:space="preserve">change their speech style</w:t>
      </w:r>
      <w:r>
        <w:t xml:space="preserve"> </w:t>
      </w:r>
      <w:r>
        <w:t xml:space="preserve">(e.g. Wright 2023)</w:t>
      </w:r>
      <w:r>
        <w:t xml:space="preserve">, these stimuli were produced by one female and one male talker who were</w:t>
      </w:r>
      <w:r>
        <w:t xml:space="preserve"> </w:t>
      </w:r>
      <w:r>
        <w:t xml:space="preserve">asked to record speech in their normal voices. As these talkers</w:t>
      </w:r>
      <w:r>
        <w:t xml:space="preserve"> </w:t>
      </w:r>
      <w:r>
        <w:t xml:space="preserve">were advanced doctoral students in a linguistics PhD program, some of</w:t>
      </w:r>
      <w:r>
        <w:t xml:space="preserve"> </w:t>
      </w:r>
      <w:r>
        <w:t xml:space="preserve">the elements of such an identity are likely available to conscious</w:t>
      </w:r>
      <w:r>
        <w:t xml:space="preserve"> </w:t>
      </w:r>
      <w:r>
        <w:t xml:space="preserve">reflection, but many of these indexical features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9" w:name="fig-stimuli"/>
          <w:p>
            <w:pPr>
              <w:pStyle w:val="Compact"/>
              <w:jc w:val="center"/>
            </w:pPr>
            <w:r>
              <w:drawing>
                <wp:inline>
                  <wp:extent cx="4754880" cy="3361404"/>
                  <wp:effectExtent b="0" l="0" r="0" t="0"/>
                  <wp:docPr descr="" title="" id="27" name="Picture"/>
                  <a:graphic>
                    <a:graphicData uri="http://schemas.openxmlformats.org/drawingml/2006/picture">
                      <pic:pic>
                        <pic:nvPicPr>
                          <pic:cNvPr descr="images/figure1.png" id="28" name="Picture"/>
                          <pic:cNvPicPr>
                            <a:picLocks noChangeArrowheads="1" noChangeAspect="1"/>
                          </pic:cNvPicPr>
                        </pic:nvPicPr>
                        <pic:blipFill>
                          <a:blip r:embed="rId26"/>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and</w:t>
            </w:r>
            <w:r>
              <w:t xml:space="preserve"> </w:t>
            </w:r>
            <w:r>
              <w:t xml:space="preserve">S5 represent continuum steps from most</w:t>
            </w:r>
            <w:r>
              <w:t xml:space="preserve"> </w:t>
            </w:r>
            <w:r>
              <w:rPr>
                <w:i/>
                <w:iCs/>
              </w:rPr>
              <w:t xml:space="preserve">sack</w:t>
            </w:r>
            <w:r>
              <w:t xml:space="preserve">-like to most</w:t>
            </w:r>
            <w:r>
              <w:t xml:space="preserve"> </w:t>
            </w:r>
            <w:r>
              <w:rPr>
                <w:i/>
                <w:iCs/>
              </w:rPr>
              <w:t xml:space="preserve">shack</w:t>
            </w:r>
            <w:r>
              <w:t xml:space="preserve">-like</w:t>
            </w:r>
            <w:r>
              <w:t xml:space="preserve"> </w:t>
            </w:r>
            <w:r>
              <w:t xml:space="preserve">fricatives. F0 and F1:F2 Ratio plots show the manipulations to the Male</w:t>
            </w:r>
            <w:r>
              <w:t xml:space="preserve"> </w:t>
            </w:r>
            <w:r>
              <w:t xml:space="preserve">and Female voiced vowels.</w:t>
            </w:r>
          </w:p>
          <w:bookmarkEnd w:id="29"/>
        </w:tc>
      </w:tr>
    </w:tbl>
    <w:bookmarkEnd w:id="30"/>
    <w:bookmarkEnd w:id="31"/>
    <w:bookmarkStart w:id="37" w:name="explicit-evaluations-of-auditory-stimuli"/>
    <w:p>
      <w:pPr>
        <w:pStyle w:val="Heading2"/>
      </w:pPr>
      <w:r>
        <w:t xml:space="preserve">Explicit Evaluations of Auditory Stimuli</w:t>
      </w:r>
    </w:p>
    <w:p>
      <w:pPr>
        <w:pStyle w:val="FirstParagraph"/>
      </w:pPr>
      <w:r>
        <w:t xml:space="preserve">Because voices carry social information, we elicited explicit social ratings to better understand how our auditory stimuli might influence participants’ perception of the identities of the two talkers.40 undergraduate students at the Ohio State University (25 female, 15 male, ages 18-26) who participated in an in-person pilot version of the inverse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w:t>
      </w:r>
      <w:r>
        <w:t xml:space="preserve"> </w:t>
      </w:r>
      <w:r>
        <w:t xml:space="preserve">about the gender identity of the speaker. Most participants</w:t>
      </w:r>
      <w:r>
        <w:t xml:space="preserve"> </w:t>
      </w:r>
      <w:r>
        <w:t xml:space="preserve">(93%)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Judgements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w:t>
      </w:r>
      <w:r>
        <w:t xml:space="preserve"> </w:t>
      </w:r>
      <w:r>
        <w:t xml:space="preserve">unsure of the gender of the speaker. Average prototypicality ratings</w:t>
      </w:r>
      <w:r>
        <w:t xml:space="preserve"> </w:t>
      </w:r>
      <w:r>
        <w:t xml:space="preserve">were lower for the male speaker but similarly consistent: 3.6/5 if the</w:t>
      </w:r>
      <w:r>
        <w:t xml:space="preserve"> </w:t>
      </w:r>
      <w:r>
        <w:t xml:space="preserve">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w:t>
      </w:r>
      <w:r>
        <w:t xml:space="preserve"> </w:t>
      </w:r>
      <w:r>
        <w:t xml:space="preserve">with the female voice, judgements of the voice’s sexuality were more</w:t>
      </w:r>
      <w:r>
        <w:t xml:space="preserve"> </w:t>
      </w:r>
      <w:r>
        <w:t xml:space="preserve">variable. 65% indicated they were unsure, 14% indicated the speaker was</w:t>
      </w:r>
      <w:r>
        <w:t xml:space="preserve"> </w:t>
      </w:r>
      <w:r>
        <w:t xml:space="preserve">most likely heterosexual, and 16% indicated homosexual and, again, 1</w:t>
      </w:r>
      <w:r>
        <w:t xml:space="preserve"> </w:t>
      </w:r>
      <w:r>
        <w:t xml:space="preserve">each indicating the speaker was most likely bisexual, or another</w:t>
      </w:r>
      <w:r>
        <w:t xml:space="preserve"> </w:t>
      </w:r>
      <w:r>
        <w:t xml:space="preserve">sexuality not listed. Crucially, no participants rated the female voice as male, or the male voice as female. The variation among ratings may be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to assume in lieu of asking the talker for their gender identity.</w:t>
      </w:r>
    </w:p>
    <w:bookmarkStart w:id="36" w:name="visual-stimuli"/>
    <w:p>
      <w:pPr>
        <w:pStyle w:val="Heading3"/>
      </w:pPr>
      <w:r>
        <w:t xml:space="preserve">Visual Stimuli</w:t>
      </w:r>
    </w:p>
    <w:p>
      <w:pPr>
        <w:pStyle w:val="FirstParagraph"/>
      </w:pPr>
      <w:r>
        <w:t xml:space="preserve">The visual stimuli used in this study, again identical to the images</w:t>
      </w:r>
      <w:r>
        <w:t xml:space="preserve"> </w:t>
      </w:r>
      <w:r>
        <w:t xml:space="preserve">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w:t>
      </w:r>
      <w:r>
        <w:t xml:space="preserve"> </w:t>
      </w:r>
      <w:r>
        <w:t xml:space="preserve">were retrieved from the Chicago Face Database</w:t>
      </w:r>
      <w:r>
        <w:t xml:space="preserve"> </w:t>
      </w:r>
      <w:r>
        <w:t xml:space="preserve">(Ma, Correll, and Wittenbrink 2015)</w:t>
      </w:r>
      <w:r>
        <w:t xml:space="preserve">, a</w:t>
      </w:r>
      <w:r>
        <w:t xml:space="preserve"> </w:t>
      </w:r>
      <w:r>
        <w:t xml:space="preserve">resource containing high-resolution, normed images of faces indexed by</w:t>
      </w:r>
      <w:r>
        <w:t xml:space="preserve"> </w:t>
      </w:r>
      <w:r>
        <w:t xml:space="preserve">gender and ethnicity. The faces selected were normalized</w:t>
      </w:r>
      <w:r>
        <w:t xml:space="preserve"> </w:t>
      </w:r>
      <w:r>
        <w:t xml:space="preserve">for both physical attributes (i.e., measurements of particular facial</w:t>
      </w:r>
      <w:r>
        <w:t xml:space="preserve"> </w:t>
      </w:r>
      <w:r>
        <w:t xml:space="preserve">dimensions), subjective ratings such as attractiveness, and for gender</w:t>
      </w:r>
      <w:r>
        <w:t xml:space="preserve"> </w:t>
      </w:r>
      <w:r>
        <w:t xml:space="preserve">and gender prototypicality. As in Bouavichith et al., CFD-WF-015-006-N</w:t>
      </w:r>
      <w:r>
        <w:t xml:space="preserve"> </w:t>
      </w:r>
      <w:r>
        <w:t xml:space="preserve">was selected as the representation of the gender-protypical female</w:t>
      </w:r>
      <w:r>
        <w:t xml:space="preserve"> </w:t>
      </w:r>
      <w:r>
        <w:t xml:space="preserve">talker and CFD-WM-029-023-N was selected as the representation of the</w:t>
      </w:r>
      <w:r>
        <w:t xml:space="preserve"> </w:t>
      </w:r>
      <w:r>
        <w:t xml:space="preserve">gender-prototypical male talker. Both images were converted to greyscale</w:t>
      </w:r>
      <w:r>
        <w:t xml:space="preserve"> </w:t>
      </w:r>
      <w:r>
        <w:t xml:space="preserve">at the command line using ImageMagick</w:t>
      </w:r>
      <w:r>
        <w:t xml:space="preserve"> </w:t>
      </w:r>
      <w:r>
        <w:t xml:space="preserve">(LLC 2023)</w:t>
      </w:r>
      <w:r>
        <w:t xml:space="preserve">.</w:t>
      </w:r>
    </w:p>
    <w:p>
      <w:pPr>
        <w:pStyle w:val="BodyText"/>
      </w:pPr>
      <w:r>
        <w:t xml:space="preserve">Additionally, two gray-scale line drawings were used as visual</w:t>
      </w:r>
      <w:r>
        <w:t xml:space="preserve"> </w:t>
      </w:r>
      <w:r>
        <w:t xml:space="preserve">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w:t>
      </w:r>
      <w:r>
        <w:t xml:space="preserve"> </w:t>
      </w:r>
      <w:r>
        <w:t xml:space="preserve">of orthographic targets both to maintain consistency with Bouavichith et</w:t>
      </w:r>
      <w:r>
        <w:t xml:space="preserve"> </w:t>
      </w:r>
      <w:r>
        <w:t xml:space="preserve">al’s design and to facilitate future eye tracking investigation of this</w:t>
      </w:r>
      <w:r>
        <w:t xml:space="preserve"> </w:t>
      </w:r>
      <w:r>
        <w:t xml:space="preserve">phenomenon.</w:t>
      </w:r>
    </w:p>
    <w:tbl>
      <w:tblPr>
        <w:tblStyle w:val="Table"/>
        <w:tblW w:type="pct" w:w="5000"/>
        <w:tblLayout w:type="fixed"/>
        <w:tblLook w:firstRow="0" w:lastRow="0" w:firstColumn="0" w:lastColumn="0" w:noHBand="0" w:noVBand="0" w:val="0000"/>
      </w:tblPr>
      <w:tblGrid>
        <w:gridCol w:w="7920"/>
      </w:tblGrid>
      <w:tr>
        <w:tc>
          <w:tcPr/>
          <w:bookmarkStart w:id="35" w:name="fig-visual"/>
          <w:p>
            <w:pPr>
              <w:pStyle w:val="Compact"/>
              <w:jc w:val="center"/>
            </w:pPr>
            <w:r>
              <w:drawing>
                <wp:inline>
                  <wp:extent cx="4754880" cy="4754880"/>
                  <wp:effectExtent b="0" l="0" r="0" t="0"/>
                  <wp:docPr descr="" title="" id="33" name="Picture"/>
                  <a:graphic>
                    <a:graphicData uri="http://schemas.openxmlformats.org/drawingml/2006/picture">
                      <pic:pic>
                        <pic:nvPicPr>
                          <pic:cNvPr descr="images/facesanddrawings.jpg" id="34" name="Picture"/>
                          <pic:cNvPicPr>
                            <a:picLocks noChangeArrowheads="1" noChangeAspect="1"/>
                          </pic:cNvPicPr>
                        </pic:nvPicPr>
                        <pic:blipFill>
                          <a:blip r:embed="rId3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w:t>
            </w:r>
            <w:r>
              <w:t xml:space="preserve"> </w:t>
            </w:r>
            <w:r>
              <w:t xml:space="preserve">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5"/>
        </w:tc>
      </w:tr>
    </w:tbl>
    <w:bookmarkEnd w:id="36"/>
    <w:bookmarkEnd w:id="37"/>
    <w:bookmarkStart w:id="39" w:name="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8"/>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9"/>
    <w:bookmarkEnd w:id="40"/>
    <w:bookmarkStart w:id="44" w:name="predicted-results"/>
    <w:p>
      <w:pPr>
        <w:pStyle w:val="Heading1"/>
      </w:pPr>
      <w:r>
        <w:t xml:space="preserve">Predicted Results</w:t>
      </w:r>
    </w:p>
    <w:bookmarkStart w:id="41" w:name="face-male-or-femal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1"/>
    <w:bookmarkStart w:id="42" w:name="congruence-pairing-of-face-and-voi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 but also</w:t>
      </w:r>
      <w:r>
        <w:t xml:space="preserve"> </w:t>
      </w:r>
      <w:r>
        <w:t xml:space="preserve">(King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2"/>
    <w:bookmarkStart w:id="43" w:name="guise-hidden-or-unhidden"/>
    <w:p>
      <w:pPr>
        <w:pStyle w:val="Heading2"/>
      </w:pPr>
      <w:r>
        <w:t xml:space="preserve">Guise: Hidden or Unhidden</w:t>
      </w:r>
    </w:p>
    <w:p>
      <w:pPr>
        <w:pStyle w:val="FirstParagraph"/>
      </w:pPr>
      <w:r>
        <w:t xml:space="preserve">The primary goal of this experiment was to explore the role of listener</w:t>
      </w:r>
      <w:r>
        <w:t xml:space="preserve"> </w:t>
      </w:r>
      <w:r>
        <w:t xml:space="preserve">awareness and control in the matched guise technique. The tremendous</w:t>
      </w:r>
      <w:r>
        <w:t xml:space="preserve"> </w:t>
      </w:r>
      <w:r>
        <w:t xml:space="preserve">care researchers take to ensure that the guise manipulation is hidden</w:t>
      </w:r>
      <w:r>
        <w:t xml:space="preserve"> </w:t>
      </w:r>
      <w:r>
        <w:t xml:space="preserve">from participants suggests a kind of imagined fragility of</w:t>
      </w:r>
      <w:r>
        <w:t xml:space="preserve"> </w:t>
      </w:r>
      <w:r>
        <w:t xml:space="preserve">the effects of social information on language perception. From this</w:t>
      </w:r>
      <w:r>
        <w:t xml:space="preserve"> </w:t>
      </w:r>
      <w:r>
        <w:t xml:space="preserve">view: listeners who become aware of the guise manipulation will have</w:t>
      </w:r>
      <w:r>
        <w:t xml:space="preserve"> </w:t>
      </w:r>
      <w:r>
        <w:t xml:space="preserve">introspective access to and deliberative control over the influence of</w:t>
      </w:r>
      <w:r>
        <w:t xml:space="preserve"> </w:t>
      </w:r>
      <w:r>
        <w:t xml:space="preserve">visual social information on perception. If this is true, explaining the</w:t>
      </w:r>
      <w:r>
        <w:t xml:space="preserve"> </w:t>
      </w:r>
      <w:r>
        <w:t xml:space="preserve">guise manipulation, in the unhidden condition, should have a strongly</w:t>
      </w:r>
      <w:r>
        <w:t xml:space="preserve"> </w:t>
      </w:r>
      <w:r>
        <w:t xml:space="preserve">negative effect on the Strand effect. Alternatively, if the influence of</w:t>
      </w:r>
      <w:r>
        <w:t xml:space="preserve"> </w:t>
      </w:r>
      <w:r>
        <w:t xml:space="preserve">social information is not available to introspection or deliberative</w:t>
      </w:r>
      <w:r>
        <w:t xml:space="preserve"> </w:t>
      </w:r>
      <w:r>
        <w:t xml:space="preserve">control, we should see no change between the (traditional) hidden</w:t>
      </w:r>
      <w:r>
        <w:t xml:space="preserve"> </w:t>
      </w:r>
      <w:r>
        <w:t xml:space="preserve">matched guise and the unhidden guise.</w:t>
      </w:r>
    </w:p>
    <w:p>
      <w:pPr>
        <w:pStyle w:val="BodyText"/>
      </w:pPr>
      <w:r>
        <w:t xml:space="preserve">Additionally, we speculate that there may be a response time difference</w:t>
      </w:r>
      <w:r>
        <w:t xml:space="preserve"> </w:t>
      </w:r>
      <w:r>
        <w:t xml:space="preserve">between the Hidden and Unhidden guises even if there is no apparent</w:t>
      </w:r>
      <w:r>
        <w:t xml:space="preserve"> </w:t>
      </w:r>
      <w:r>
        <w:t xml:space="preserve">difference in percept between the conditions. It can certainly be the</w:t>
      </w:r>
      <w:r>
        <w:t xml:space="preserve"> </w:t>
      </w:r>
      <w:r>
        <w:t xml:space="preserve">case that participants will arrive at the same behavioral responses via</w:t>
      </w:r>
      <w:r>
        <w:t xml:space="preserve"> </w:t>
      </w:r>
      <w:r>
        <w:t xml:space="preserve">different cognitive processing paths, perhaps drawing on different</w:t>
      </w:r>
      <w:r>
        <w:t xml:space="preserve"> </w:t>
      </w:r>
      <w:r>
        <w:t xml:space="preserve">levels of knowledge and awareness, and that these differences may be</w:t>
      </w:r>
      <w:r>
        <w:t xml:space="preserve"> </w:t>
      </w:r>
      <w:r>
        <w:t xml:space="preserve">visible in response times between the Instruction conditions.</w:t>
      </w:r>
    </w:p>
    <w:bookmarkEnd w:id="43"/>
    <w:bookmarkEnd w:id="44"/>
    <w:bookmarkStart w:id="64" w:name="results"/>
    <w:p>
      <w:pPr>
        <w:pStyle w:val="Heading1"/>
      </w:pPr>
      <w:r>
        <w:t xml:space="preserve">Results</w:t>
      </w:r>
    </w:p>
    <w:p>
      <w:pPr>
        <w:pStyle w:val="FirstParagraph"/>
      </w:pPr>
      <w:r>
        <w:t xml:space="preserve">Participants provided a total of 14,400 trials (120 trials from each of</w:t>
      </w:r>
      <w:r>
        <w:t xml:space="preserve"> </w:t>
      </w:r>
      <w:r>
        <w:t xml:space="preserve">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w:t>
      </w:r>
      <w:r>
        <w:t xml:space="preserve"> </w:t>
      </w:r>
      <w:r>
        <w:t xml:space="preserve">calculated only for responses to the [ʃ] and [s] endpoints. Overall,</w:t>
      </w:r>
      <w:r>
        <w:t xml:space="preserve"> </w:t>
      </w:r>
      <w:r>
        <w:t xml:space="preserve">participants were highly accurate (96.8%) but four participants were</w:t>
      </w:r>
      <w:r>
        <w:t xml:space="preserve"> </w:t>
      </w:r>
      <w:r>
        <w:t xml:space="preserve">excluded from further analysis for accuracy below the pre-determined 85%</w:t>
      </w:r>
      <w:r>
        <w:t xml:space="preserve"> </w:t>
      </w:r>
      <w:r>
        <w:t xml:space="preserve">threshold reducing the total number of trials to 13,920. Trials were</w:t>
      </w:r>
      <w:r>
        <w:t xml:space="preserve"> </w:t>
      </w:r>
      <w:r>
        <w:t xml:space="preserve">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w:t>
      </w:r>
      <w:r>
        <w:t xml:space="preserve"> </w:t>
      </w:r>
      <w:r>
        <w:t xml:space="preserve">accuracy or lower.</w:t>
      </w:r>
    </w:p>
    <w:p>
      <w:pPr>
        <w:pStyle w:val="BodyText"/>
      </w:pPr>
      <w:r>
        <w:t xml:space="preserve">An additional 50 trials were excluded due to response times that were</w:t>
      </w:r>
      <w:r>
        <w:t xml:space="preserve"> </w:t>
      </w:r>
      <w:r>
        <w:t xml:space="preserve">either too fast or too slow. To reduce the effects of response time</w:t>
      </w:r>
      <w:r>
        <w:t xml:space="preserve"> </w:t>
      </w:r>
      <w:r>
        <w:t xml:space="preserve">outliers on subsequent analyses, all response times shorter than 50 ms</w:t>
      </w:r>
      <w:r>
        <w:t xml:space="preserve"> </w:t>
      </w:r>
      <w:r>
        <w:t xml:space="preserve">(N=0) and longer than 5000ms (N=50) were excluded. The 5000ms response</w:t>
      </w:r>
      <w:r>
        <w:t xml:space="preserve"> </w:t>
      </w:r>
      <w:r>
        <w:t xml:space="preserve">time cutoff was used instead of imposing an in-experiment time limit on</w:t>
      </w:r>
      <w:r>
        <w:t xml:space="preserve"> </w:t>
      </w:r>
      <w:r>
        <w:t xml:space="preserve">responses to a trial to ensure that participants were required to</w:t>
      </w:r>
      <w:r>
        <w:t xml:space="preserve"> </w:t>
      </w:r>
      <w:r>
        <w:t xml:space="preserve">respond to each trial. Altogether, 530 trials were</w:t>
      </w:r>
      <w:r>
        <w:t xml:space="preserve"> </w:t>
      </w:r>
      <w:r>
        <w:t xml:space="preserve">excluded, leaving data from 13,870 trials for analysis (approximately</w:t>
      </w:r>
      <w:r>
        <w:t xml:space="preserve"> </w:t>
      </w:r>
      <w:r>
        <w:t xml:space="preserve">96.3% of the initial data set). The majority (96.8%) of the remaining</w:t>
      </w:r>
      <w:r>
        <w:t xml:space="preserve"> </w:t>
      </w:r>
      <w:r>
        <w:t xml:space="preserve">response times were within a range between 200 and 2000ms. To increase</w:t>
      </w:r>
      <w:r>
        <w:t xml:space="preserve"> </w:t>
      </w:r>
      <w:r>
        <w:t xml:space="preserve">normality of the distribution of response times across participants, the</w:t>
      </w:r>
      <w:r>
        <w:t xml:space="preserve"> </w:t>
      </w:r>
      <w:r>
        <w:t xml:space="preserve">remaining response times were log-transformed.</w:t>
      </w:r>
    </w:p>
    <w:bookmarkStart w:id="53" w:name="ʃ-s-percepts"/>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w:t>
      </w:r>
      <w:r>
        <w:t xml:space="preserve"> </w:t>
      </w:r>
      <w:r>
        <w:t xml:space="preserve">The horizontal axis in each of these four plots is the fricative</w:t>
      </w:r>
      <w:r>
        <w:t xml:space="preserve"> </w:t>
      </w:r>
      <w:r>
        <w:t xml:space="preserve">(syllable Onset) continuum step. Step 1 of the continuum is most</w:t>
      </w:r>
      <w:r>
        <w:t xml:space="preserve"> </w:t>
      </w:r>
      <w:r>
        <w:t xml:space="preserve">[ʃ]-like,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w:t>
      </w:r>
      <w:r>
        <w:t xml:space="preserve"> </w:t>
      </w:r>
      <w:r>
        <w:t xml:space="preserve">lines present trials using the male Face. The Hidden and Unhidden</w:t>
      </w:r>
      <w:r>
        <w:t xml:space="preserve"> </w:t>
      </w:r>
      <w:r>
        <w:t xml:space="preserve">instruction conditions are represented by the left and right columns of</w:t>
      </w:r>
      <w:r>
        <w:t xml:space="preserve"> </w:t>
      </w:r>
      <w:r>
        <w:t xml:space="preserve">figures, respectively. The rows present the Congruous blocks where Face</w:t>
      </w:r>
      <w:r>
        <w:t xml:space="preserve"> </w:t>
      </w:r>
      <w:r>
        <w:t xml:space="preserve">and Coda speaker voice shared a gender identity (top) and Incongruous</w:t>
      </w:r>
      <w:r>
        <w:t xml:space="preserve"> </w:t>
      </w:r>
      <w:r>
        <w:t xml:space="preserve">trials where Face and Coda speaker voice mismatched in gender identity</w:t>
      </w:r>
      <w:r>
        <w:t xml:space="preserve"> </w:t>
      </w:r>
      <w:r>
        <w:t xml:space="preserve">(bottom).</w:t>
      </w:r>
    </w:p>
    <w:tbl>
      <w:tblPr>
        <w:tblStyle w:val="Table"/>
        <w:tblW w:type="pct" w:w="5000"/>
        <w:tblLayout w:type="fixed"/>
        <w:tblLook w:firstRow="0" w:lastRow="0" w:firstColumn="0" w:lastColumn="0" w:noHBand="0" w:noVBand="0" w:val="0000"/>
      </w:tblPr>
      <w:tblGrid>
        <w:gridCol w:w="7920"/>
      </w:tblGrid>
      <w:tr>
        <w:tc>
          <w:tcPr/>
          <w:bookmarkStart w:id="48" w:name="fig-scurve"/>
          <w:p>
            <w:pPr>
              <w:pStyle w:val="Compact"/>
              <w:jc w:val="center"/>
            </w:pPr>
            <w:r>
              <w:drawing>
                <wp:inline>
                  <wp:extent cx="4754880" cy="2937285"/>
                  <wp:effectExtent b="0" l="0" r="0" t="0"/>
                  <wp:docPr descr="" title="" id="46" name="Picture"/>
                  <a:graphic>
                    <a:graphicData uri="http://schemas.openxmlformats.org/drawingml/2006/picture">
                      <pic:pic>
                        <pic:nvPicPr>
                          <pic:cNvPr descr="images/Scurve.png" id="47" name="Picture"/>
                          <pic:cNvPicPr>
                            <a:picLocks noChangeArrowheads="1" noChangeAspect="1"/>
                          </pic:cNvPicPr>
                        </pic:nvPicPr>
                        <pic:blipFill>
                          <a:blip r:embed="rId45"/>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t xml:space="preserve">‘sack’</w:t>
            </w:r>
            <w:r>
              <w:t xml:space="preserve"> </w:t>
            </w:r>
            <w:r>
              <w:t xml:space="preserve">responses plotted as a function of [ʃ]-[s] fricative (Onset)</w:t>
            </w:r>
            <w:r>
              <w:t xml:space="preserve"> </w:t>
            </w:r>
            <w:r>
              <w:t xml:space="preserve">continuum steps and purported gender presented by the face.</w:t>
            </w:r>
          </w:p>
          <w:bookmarkEnd w:id="48"/>
        </w:tc>
      </w:tr>
    </w:tbl>
    <w:p>
      <w:pPr>
        <w:pStyle w:val="BodyText"/>
      </w:pPr>
      <w:r>
        <w:t xml:space="preserve">A successful replication of the Strand effect would mean that a higher</w:t>
      </w:r>
      <w:r>
        <w:t xml:space="preserve"> </w:t>
      </w:r>
      <w:r>
        <w:t xml:space="preserve">proportion of the ambiguous stimuli would be heard as [s] when the</w:t>
      </w:r>
      <w:r>
        <w:t xml:space="preserve"> </w:t>
      </w:r>
      <w:r>
        <w:t xml:space="preserve">purported gender suggested by the face is male than when the face is</w:t>
      </w:r>
      <w:r>
        <w:t xml:space="preserve"> </w:t>
      </w:r>
      <w:r>
        <w:t xml:space="preserve">female. This pattern appears to hold in both the Hidden and Unhidden</w:t>
      </w:r>
      <w:r>
        <w:t xml:space="preserve"> </w:t>
      </w:r>
      <w:r>
        <w:t xml:space="preserve">conditions, but only when gender identity of the talker who produced the</w:t>
      </w:r>
      <w:r>
        <w:t xml:space="preserve"> </w:t>
      </w:r>
      <w:r>
        <w:t xml:space="preserve">CV rime stimuli was congruous with the gender presented in the visual</w:t>
      </w:r>
      <w:r>
        <w:t xml:space="preserve"> </w:t>
      </w:r>
      <w:r>
        <w:t xml:space="preserve">portion of the guise. From</w:t>
      </w:r>
      <w:r>
        <w:t xml:space="preserve"> </w:t>
      </w:r>
      <w:hyperlink w:anchor="fig-scurve">
        <w:r>
          <w:rPr>
            <w:rStyle w:val="Hyperlink"/>
          </w:rPr>
          <w:t xml:space="preserve">Figure 3</w:t>
        </w:r>
      </w:hyperlink>
      <w:r>
        <w:t xml:space="preserve"> </w:t>
      </w:r>
      <w:r>
        <w:t xml:space="preserve">it would appear that listeners’ reported</w:t>
      </w:r>
      <w:r>
        <w:t xml:space="preserve"> </w:t>
      </w:r>
      <w:r>
        <w:t xml:space="preserve">percepts more closely track the voice of the talker than the face in the</w:t>
      </w:r>
      <w:r>
        <w:t xml:space="preserve"> </w:t>
      </w:r>
      <w:r>
        <w:t xml:space="preserve">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2" w:name="fig-rimes"/>
          <w:p>
            <w:pPr>
              <w:pStyle w:val="Compact"/>
              <w:jc w:val="center"/>
            </w:pPr>
            <w:r>
              <w:drawing>
                <wp:inline>
                  <wp:extent cx="4754880" cy="2937285"/>
                  <wp:effectExtent b="0" l="0" r="0" t="0"/>
                  <wp:docPr descr="" title="" id="50" name="Picture"/>
                  <a:graphic>
                    <a:graphicData uri="http://schemas.openxmlformats.org/drawingml/2006/picture">
                      <pic:pic>
                        <pic:nvPicPr>
                          <pic:cNvPr descr="images/ambiguous-by-rime-step.png" id="51" name="Picture"/>
                          <pic:cNvPicPr>
                            <a:picLocks noChangeArrowheads="1" noChangeAspect="1"/>
                          </pic:cNvPicPr>
                        </pic:nvPicPr>
                        <pic:blipFill>
                          <a:blip r:embed="rId49"/>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2"/>
        </w:tc>
      </w:tr>
    </w:tbl>
    <w:p>
      <w:pPr>
        <w:pStyle w:val="BodyText"/>
      </w:pPr>
      <w:r>
        <w:t xml:space="preserve">We predicted that, since strong phonetic correlates of gender have been</w:t>
      </w:r>
      <w:r>
        <w:t xml:space="preserve"> </w:t>
      </w:r>
      <w:r>
        <w:t xml:space="preserve">manipulated over the course of the VC rime continua, the effect of</w:t>
      </w:r>
      <w:r>
        <w:t xml:space="preserve"> </w:t>
      </w:r>
      <w:r>
        <w:t xml:space="preserve">incongruence should be strongest for the end points of the continua</w:t>
      </w:r>
      <w:r>
        <w:t xml:space="preserve"> </w:t>
      </w:r>
      <w:r>
        <w:t xml:space="preserve">where the social information presented by the voice is, presumably, most</w:t>
      </w:r>
      <w:r>
        <w:t xml:space="preserve"> </w:t>
      </w:r>
      <w:r>
        <w:t xml:space="preserve">salient and weaker as phonetically-cued gender information becomes more</w:t>
      </w:r>
      <w:r>
        <w:t xml:space="preserve"> </w:t>
      </w:r>
      <w:r>
        <w:t xml:space="preserve">ambiguous.</w:t>
      </w:r>
      <w:r>
        <w:t xml:space="preserve"> </w:t>
      </w:r>
      <w:hyperlink w:anchor="fig-rimes">
        <w:r>
          <w:rPr>
            <w:rStyle w:val="Hyperlink"/>
          </w:rPr>
          <w:t xml:space="preserve">Figure 4</w:t>
        </w:r>
      </w:hyperlink>
      <w:r>
        <w:t xml:space="preserve"> </w:t>
      </w:r>
      <w:r>
        <w:t xml:space="preserve">suggests that this prediction is at least</w:t>
      </w:r>
      <w:r>
        <w:t xml:space="preserve"> </w:t>
      </w:r>
      <w:r>
        <w:t xml:space="preserve">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w:t>
      </w:r>
      <w:r>
        <w:t xml:space="preserve"> </w:t>
      </w:r>
      <w:r>
        <w:t xml:space="preserve">[ʃ]-[s] continuum (steps 3 &amp; 4) as a function of rime continuum</w:t>
      </w:r>
      <w:r>
        <w:t xml:space="preserve"> </w:t>
      </w:r>
      <w:r>
        <w:t xml:space="preserve">step. The meaning of line color has changed in this figure. Dark lines</w:t>
      </w:r>
      <w:r>
        <w:t xml:space="preserve"> </w:t>
      </w:r>
      <w:r>
        <w:t xml:space="preserve">represent the male talker and lighter lines represent the female talker.</w:t>
      </w:r>
      <w:r>
        <w:t xml:space="preserve"> </w:t>
      </w:r>
      <w:r>
        <w:t xml:space="preserve">Step 1 on this continuum includes the most natural token for the male</w:t>
      </w:r>
      <w:r>
        <w:t xml:space="preserve"> </w:t>
      </w:r>
      <w:r>
        <w:t xml:space="preserve">talker and the most manipulated token for the female talker while step 5</w:t>
      </w:r>
      <w:r>
        <w:t xml:space="preserve"> </w:t>
      </w:r>
      <w:r>
        <w:t xml:space="preserve">includes the most natural token for the male talker and the most</w:t>
      </w:r>
      <w:r>
        <w:t xml:space="preserve"> </w:t>
      </w:r>
      <w:r>
        <w:t xml:space="preserve">manipulated token for the female talker. As before, columns present the</w:t>
      </w:r>
      <w:r>
        <w:t xml:space="preserve"> </w:t>
      </w:r>
      <w:r>
        <w:t xml:space="preserve">Hidden and Unhidden conditions while rows present the Congruous and</w:t>
      </w:r>
      <w:r>
        <w:t xml:space="preserve"> </w:t>
      </w:r>
      <w:r>
        <w:t xml:space="preserve">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F0 is a stronger predictor of listeners’ reported percept in this matched guise task than just the purported gender of the face.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3"/>
    <w:bookmarkStart w:id="58" w:name="X4404f4c35ed7b8817c56c221b22ebc46f898c63"/>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7" w:name="fig-coefs"/>
          <w:p>
            <w:pPr>
              <w:pStyle w:val="Compact"/>
              <w:jc w:val="center"/>
            </w:pPr>
            <w:r>
              <w:drawing>
                <wp:inline>
                  <wp:extent cx="4754880" cy="3169919"/>
                  <wp:effectExtent b="0" l="0" r="0" t="0"/>
                  <wp:docPr descr="" title="" id="55" name="Picture"/>
                  <a:graphic>
                    <a:graphicData uri="http://schemas.openxmlformats.org/drawingml/2006/picture">
                      <pic:pic>
                        <pic:nvPicPr>
                          <pic:cNvPr descr="images/coefs_instruction.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7"/>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8"/>
    <w:bookmarkStart w:id="63" w:name="response-times"/>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efs-logRT"/>
          <w:p>
            <w:pPr>
              <w:pStyle w:val="Compact"/>
              <w:jc w:val="center"/>
            </w:pPr>
            <w:r>
              <w:drawing>
                <wp:inline>
                  <wp:extent cx="4754880" cy="3169919"/>
                  <wp:effectExtent b="0" l="0" r="0" t="0"/>
                  <wp:docPr descr="" title="" id="60" name="Picture"/>
                  <a:graphic>
                    <a:graphicData uri="http://schemas.openxmlformats.org/drawingml/2006/picture">
                      <pic:pic>
                        <pic:nvPicPr>
                          <pic:cNvPr descr="images/coefs-logRT_instructions.png" id="61" name="Picture"/>
                          <pic:cNvPicPr>
                            <a:picLocks noChangeArrowheads="1" noChangeAspect="1"/>
                          </pic:cNvPicPr>
                        </pic:nvPicPr>
                        <pic:blipFill>
                          <a:blip r:embed="rId59"/>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2"/>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3"/>
    <w:bookmarkEnd w:id="64"/>
    <w:bookmarkStart w:id="65" w:name="discussion"/>
    <w:p>
      <w:pPr>
        <w:pStyle w:val="Heading1"/>
      </w:pPr>
      <w:r>
        <w:t xml:space="preserve">Discussion</w:t>
      </w:r>
    </w:p>
    <w:p>
      <w:pPr>
        <w:pStyle w:val="FirstParagraph"/>
      </w:pPr>
      <w:r>
        <w:t xml:space="preserve">The question that motivated this study was a desire to understand the</w:t>
      </w:r>
      <w:r>
        <w:t xml:space="preserve"> </w:t>
      </w:r>
      <w:r>
        <w:t xml:space="preserve">role of listener awareness and control in the matched guise technique.</w:t>
      </w:r>
      <w:r>
        <w:t xml:space="preserve"> </w:t>
      </w:r>
      <w:r>
        <w:t xml:space="preserve">We believe that the careful measures researchers generally employ to</w:t>
      </w:r>
      <w:r>
        <w:t xml:space="preserve"> </w:t>
      </w:r>
      <w:r>
        <w:t xml:space="preserve">obscure the nature of the guise manipulation from participants is</w:t>
      </w:r>
      <w:r>
        <w:t xml:space="preserve"> </w:t>
      </w:r>
      <w:r>
        <w:t xml:space="preserve">attributable to a long-held assumption in the sociolinguistics</w:t>
      </w:r>
      <w:r>
        <w:t xml:space="preserve"> </w:t>
      </w:r>
      <w:r>
        <w:t xml:space="preserve">literature that social knowledge is high-level knowledge, available to</w:t>
      </w:r>
      <w:r>
        <w:t xml:space="preserve"> </w:t>
      </w:r>
      <w:r>
        <w:t xml:space="preserve">introspective control, and that this differs from linguistic knowledge</w:t>
      </w:r>
      <w:r>
        <w:t xml:space="preserve"> </w:t>
      </w:r>
      <w:r>
        <w:t xml:space="preserve">which is low-level knowledge, unavailable to control</w:t>
      </w:r>
      <w:r>
        <w:t xml:space="preserve"> </w:t>
      </w:r>
      <w:r>
        <w:t xml:space="preserve">(Campbell-Kibler 2016)</w:t>
      </w:r>
      <w:r>
        <w:t xml:space="preserve">. The results of the present study are</w:t>
      </w:r>
      <w:r>
        <w:t xml:space="preserve"> </w:t>
      </w:r>
      <w:r>
        <w:t xml:space="preserve">inconsistent with this imagined fragility of the influence of social</w:t>
      </w:r>
      <w:r>
        <w:t xml:space="preserve"> </w:t>
      </w:r>
      <w:r>
        <w:t xml:space="preserve">knowledge. Revealing the nature of the guise manipulation did not</w:t>
      </w:r>
      <w:r>
        <w:t xml:space="preserve"> </w:t>
      </w:r>
      <w:r>
        <w:t xml:space="preserve">significantly influence listener responses in either the congruous or</w:t>
      </w:r>
      <w:r>
        <w:t xml:space="preserve"> </w:t>
      </w:r>
      <w:r>
        <w:t xml:space="preserve">incongruous conditions. Nor did this revelation have a significant</w:t>
      </w:r>
      <w:r>
        <w:t xml:space="preserve"> </w:t>
      </w:r>
      <w:r>
        <w:t xml:space="preserve">influence on response times in either condition.</w:t>
      </w:r>
    </w:p>
    <w:p>
      <w:pPr>
        <w:pStyle w:val="BodyText"/>
      </w:pPr>
      <w:r>
        <w:t xml:space="preserve">The finding that the Matched Guise effect holds for speech perception</w:t>
      </w:r>
      <w:r>
        <w:t xml:space="preserve"> </w:t>
      </w:r>
      <w:r>
        <w:t xml:space="preserve">both when hidden from the participant and when unhidden is inconsistent</w:t>
      </w:r>
      <w:r>
        <w:t xml:space="preserve"> </w:t>
      </w:r>
      <w:r>
        <w:t xml:space="preserve">with a model of processing in which social knowledge simply acts as a</w:t>
      </w:r>
      <w:r>
        <w:t xml:space="preserve"> </w:t>
      </w:r>
      <w:r>
        <w:t xml:space="preserve">filter on linguistic knowledge. Social knowledge influences perception</w:t>
      </w:r>
      <w:r>
        <w:t xml:space="preserve"> </w:t>
      </w:r>
      <w:r>
        <w:t xml:space="preserve">even when listeners are aware that it is, or may be,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believe the guise</w:t>
      </w:r>
      <w:r>
        <w:t xml:space="preserve"> </w:t>
      </w:r>
      <w:r>
        <w:t xml:space="preserve">manipulation</w:t>
      </w:r>
      <w:r>
        <w:t xml:space="preserve"> </w:t>
      </w:r>
      <w:r>
        <w:t xml:space="preserve">(N. Niedzielski 1999; Hay, Nolan, and Drager 2006;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1991b)</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rather than the purported gender of the Face. This pattern was</w:t>
      </w:r>
      <w:r>
        <w:t xml:space="preserve"> </w:t>
      </w:r>
      <w:r>
        <w:t xml:space="preserve">strongest in the least-ambiguous portions of the Rime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exp1 and exp2 simultaneously. One wonders, looking back at their exp2,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voice to supplement</w:t>
      </w:r>
      <w:r>
        <w:t xml:space="preserve"> </w:t>
      </w:r>
      <w:r>
        <w:t xml:space="preserve">the purported information from the Face. Even the non-prototypical</w:t>
      </w:r>
      <w:r>
        <w:t xml:space="preserve"> </w:t>
      </w:r>
      <w:r>
        <w:t xml:space="preserve">voices used in that study did pattern, in exp1, in weakly gendered ways.</w:t>
      </w:r>
      <w:r>
        <w:t xml:space="preserve"> </w:t>
      </w:r>
      <w:r>
        <w:t xml:space="preserve">This finding may provide some insight into recent failures to replicate</w:t>
      </w:r>
      <w:r>
        <w:t xml:space="preserve"> </w:t>
      </w:r>
      <w:r>
        <w:t xml:space="preserve">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ratios. However, these may not be the only cues</w:t>
      </w:r>
      <w:r>
        <w:t xml:space="preserve"> </w:t>
      </w:r>
      <w:r>
        <w:t xml:space="preserve">listeners are drawing upon with their knowledge of US English. Surely,</w:t>
      </w:r>
      <w:r>
        <w:t xml:space="preserve"> </w:t>
      </w:r>
      <w:r>
        <w:t xml:space="preserve">F0 and vowel formant ratios</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this study we have used manipulated stimuli that obscure, over the</w:t>
      </w:r>
      <w:r>
        <w:t xml:space="preserve"> </w:t>
      </w:r>
      <w:r>
        <w:t xml:space="preserve">course of two gender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 phonetic correlates of gender.</w:t>
      </w:r>
    </w:p>
    <w:bookmarkEnd w:id="65"/>
    <w:bookmarkStart w:id="174"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exp1 and exp2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in congruence, they can enhance one another. When,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volume)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 Enumerating the phonetic correlates</w:t>
      </w:r>
      <w:r>
        <w:t xml:space="preserve"> </w:t>
      </w:r>
      <w:r>
        <w:t xml:space="preserve">of gender may not be the wrong question, but it is certainly premature</w:t>
      </w:r>
      <w:r>
        <w:t xml:space="preserve"> </w:t>
      </w:r>
      <w:r>
        <w:t xml:space="preserve">given the limitations of current theory to account for what listeners</w:t>
      </w:r>
      <w:r>
        <w:t xml:space="preserve"> </w:t>
      </w:r>
      <w:r>
        <w:t xml:space="preserve">actually do. A better question is something like</w:t>
      </w:r>
      <w:r>
        <w:t xml:space="preserve"> </w:t>
      </w:r>
      <w:r>
        <w:t xml:space="preserve">“what kinds of</w:t>
      </w:r>
      <w:r>
        <w:t xml:space="preserve"> </w:t>
      </w:r>
      <w:r>
        <w:t xml:space="preserve">knowledge do listeners draw on during perception and when?”</w:t>
      </w:r>
    </w:p>
    <w:p>
      <w:pPr>
        <w:pStyle w:val="BodyText"/>
      </w:pPr>
      <w:r>
        <w:t xml:space="preserve">(Barrett et al.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listeners’ social knowledge</w:t>
      </w:r>
      <w:r>
        <w:t xml:space="preserve"> </w:t>
      </w:r>
      <w:r>
        <w:t xml:space="preserve">of speech is not delicate. The present result is equally inconsistent</w:t>
      </w:r>
      <w:r>
        <w:t xml:space="preserve"> </w:t>
      </w:r>
      <w:r>
        <w:t xml:space="preserve">with a model that disregards social knowledge entirely and with any</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is not a weakly-associated prime; Social</w:t>
      </w:r>
      <w:r>
        <w:t xml:space="preserve"> </w:t>
      </w:r>
      <w:r>
        <w:t xml:space="preserve">knowledge and linguistic knowledge are deeply intertwined in speech</w:t>
      </w:r>
      <w:r>
        <w:t xml:space="preserve"> </w:t>
      </w:r>
      <w:r>
        <w:t xml:space="preserve">perception and it is perverse to assume that the language subsystem</w:t>
      </w:r>
      <w:r>
        <w:t xml:space="preserve"> </w:t>
      </w:r>
      <w:r>
        <w:t xml:space="preserve">underlying this ability would necessarily distinguish them.</w:t>
      </w:r>
    </w:p>
    <w:bookmarkStart w:id="173" w:name="references"/>
    <w:p>
      <w:pPr>
        <w:pStyle w:val="Heading2"/>
      </w:pPr>
      <w:r>
        <w:t xml:space="preserve">References</w:t>
      </w:r>
    </w:p>
    <w:bookmarkStart w:id="172" w:name="refs"/>
    <w:bookmarkStart w:id="66"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6"/>
    <w:bookmarkStart w:id="67" w:name="ref-BabelVolume"/>
    <w:p>
      <w:pPr>
        <w:pStyle w:val="Bibliography"/>
      </w:pPr>
      <w:r>
        <w:t xml:space="preserve">Babel, Anna M. This volume.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7"/>
    <w:bookmarkStart w:id="68" w:name="ref-babelCampbell-kiblerMcGowanVolume"/>
    <w:p>
      <w:pPr>
        <w:pStyle w:val="Bibliography"/>
      </w:pPr>
      <w:r>
        <w:t xml:space="preserve">Babel, Anna M., Kathryn Campbell-Kibler, and Kevin B. McGowan. This volume.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8"/>
    <w:bookmarkStart w:id="69"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69"/>
    <w:bookmarkStart w:id="70" w:name="ref-barrett2014"/>
    <w:p>
      <w:pPr>
        <w:pStyle w:val="Bibliography"/>
      </w:pPr>
      <w:r>
        <w:t xml:space="preserve">Barrett, Rusty, L Zimman, J Davis, and J Raclaw. 2014.</w:t>
      </w:r>
      <w:r>
        <w:t xml:space="preserve"> </w:t>
      </w:r>
      <w:r>
        <w:t xml:space="preserve">“The Emergence of the Unmarked.”</w:t>
      </w:r>
      <w:r>
        <w:t xml:space="preserve"> </w:t>
      </w:r>
      <w:r>
        <w:rPr>
          <w:i/>
          <w:iCs/>
        </w:rPr>
        <w:t xml:space="preserve">Queer Excursions: Retheorizing Binaries in Language, Gender, and Sexuality</w:t>
      </w:r>
      <w:r>
        <w:t xml:space="preserve">, 195–223.</w:t>
      </w:r>
    </w:p>
    <w:bookmarkEnd w:id="70"/>
    <w:bookmarkStart w:id="72"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1">
        <w:r>
          <w:rPr>
            <w:rStyle w:val="Hyperlink"/>
          </w:rPr>
          <w:t xml:space="preserve">http://CRAN.R-project.org/package=lme4</w:t>
        </w:r>
      </w:hyperlink>
      <w:r>
        <w:t xml:space="preserve">.</w:t>
      </w:r>
    </w:p>
    <w:bookmarkEnd w:id="72"/>
    <w:bookmarkStart w:id="73"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3"/>
    <w:bookmarkStart w:id="75"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4">
        <w:r>
          <w:rPr>
            <w:rStyle w:val="Hyperlink"/>
          </w:rPr>
          <w:t xml:space="preserve">https://doi.org/10.1121/1.5101933</w:t>
        </w:r>
      </w:hyperlink>
      <w:r>
        <w:t xml:space="preserve">.</w:t>
      </w:r>
    </w:p>
    <w:bookmarkEnd w:id="75"/>
    <w:bookmarkStart w:id="77"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6">
        <w:r>
          <w:rPr>
            <w:rStyle w:val="Hyperlink"/>
          </w:rPr>
          <w:t xml:space="preserve">https://doi.org/10.1017/S0954394521000089</w:t>
        </w:r>
      </w:hyperlink>
      <w:r>
        <w:t xml:space="preserve">.</w:t>
      </w:r>
    </w:p>
    <w:bookmarkEnd w:id="77"/>
    <w:bookmarkStart w:id="78"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78"/>
    <w:bookmarkStart w:id="79"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79"/>
    <w:bookmarkStart w:id="80"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0"/>
    <w:bookmarkStart w:id="81"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1"/>
    <w:bookmarkStart w:id="82"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2"/>
    <w:bookmarkStart w:id="83"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w:t>
      </w:r>
    </w:p>
    <w:bookmarkEnd w:id="83"/>
    <w:bookmarkStart w:id="84"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4"/>
    <w:bookmarkStart w:id="85"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85"/>
    <w:bookmarkStart w:id="87"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86">
        <w:r>
          <w:rPr>
            <w:rStyle w:val="Hyperlink"/>
          </w:rPr>
          <w:t xml:space="preserve">https://doi.org/10.1037/xlm0000137</w:t>
        </w:r>
      </w:hyperlink>
      <w:r>
        <w:t xml:space="preserve">.</w:t>
      </w:r>
    </w:p>
    <w:bookmarkEnd w:id="87"/>
    <w:bookmarkStart w:id="88"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88"/>
    <w:bookmarkStart w:id="89"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89"/>
    <w:bookmarkStart w:id="91"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90">
        <w:r>
          <w:rPr>
            <w:rStyle w:val="Hyperlink"/>
          </w:rPr>
          <w:t xml:space="preserve">https://doi.org/10.1016/s0010-0277(00)00123-2</w:t>
        </w:r>
      </w:hyperlink>
      <w:r>
        <w:t xml:space="preserve">.</w:t>
      </w:r>
    </w:p>
    <w:bookmarkEnd w:id="91"/>
    <w:bookmarkStart w:id="92" w:name="ref-drager2013"/>
    <w:p>
      <w:pPr>
        <w:pStyle w:val="Bibliography"/>
      </w:pPr>
      <w:r>
        <w:t xml:space="preserve">Drager, Katie.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92"/>
    <w:bookmarkStart w:id="93"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93"/>
    <w:bookmarkStart w:id="94"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94"/>
    <w:bookmarkStart w:id="95"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95"/>
    <w:bookmarkStart w:id="96"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96"/>
    <w:bookmarkStart w:id="97"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97"/>
    <w:bookmarkStart w:id="98"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98"/>
    <w:bookmarkStart w:id="99"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99"/>
    <w:bookmarkStart w:id="100"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00"/>
    <w:bookmarkStart w:id="101"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01"/>
    <w:bookmarkStart w:id="103"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02">
        <w:r>
          <w:rPr>
            <w:rStyle w:val="Hyperlink"/>
          </w:rPr>
          <w:t xml:space="preserve">https://doi.org/10.3389/fpsyg.2015.00500</w:t>
        </w:r>
      </w:hyperlink>
      <w:r>
        <w:t xml:space="preserve">.</w:t>
      </w:r>
    </w:p>
    <w:bookmarkEnd w:id="103"/>
    <w:bookmarkStart w:id="105" w:name="ref-GreenEtAl1991"/>
    <w:p>
      <w:pPr>
        <w:pStyle w:val="Bibliography"/>
      </w:pPr>
      <w:r>
        <w:t xml:space="preserve">Green, Kerry, Patricia Kuhl, Andrew Meltzoff, and Erica Stevens. 1991b.</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04">
        <w:r>
          <w:rPr>
            <w:rStyle w:val="Hyperlink"/>
          </w:rPr>
          <w:t xml:space="preserve">http://dx.doi.org/10.3758/BF03207536</w:t>
        </w:r>
      </w:hyperlink>
      <w:r>
        <w:t xml:space="preserve">.</w:t>
      </w:r>
    </w:p>
    <w:bookmarkEnd w:id="105"/>
    <w:bookmarkStart w:id="106" w:name="ref-greenKuhlMeltzoffStevens1991"/>
    <w:p>
      <w:pPr>
        <w:pStyle w:val="Bibliography"/>
      </w:pPr>
      <w:r>
        <w:t xml:space="preserve">———. 1991a.</w:t>
      </w:r>
      <w:r>
        <w:t xml:space="preserve"> </w:t>
      </w:r>
      <w:r>
        <w:t xml:space="preserve">“Integrating Speech Information Across Talkers, Gender, and Sensory Modality:</w:t>
      </w:r>
      <w:r>
        <w:t xml:space="preserve"> </w:t>
      </w:r>
      <w:r>
        <w:t xml:space="preserve">Female</w:t>
      </w:r>
      <w:r>
        <w:t xml:space="preserve"> </w:t>
      </w:r>
      <w:r>
        <w:t xml:space="preserve">Faces and Male Voices in the</w:t>
      </w:r>
      <w:r>
        <w:t xml:space="preserve"> </w:t>
      </w:r>
      <w:r>
        <w:t xml:space="preserve">McGurk</w:t>
      </w:r>
      <w:r>
        <w:t xml:space="preserve"> </w:t>
      </w:r>
      <w:r>
        <w:t xml:space="preserve">Effect.”</w:t>
      </w:r>
      <w:r>
        <w:t xml:space="preserve"> </w:t>
      </w:r>
      <w:r>
        <w:rPr>
          <w:i/>
          <w:iCs/>
        </w:rPr>
        <w:t xml:space="preserve">Attention, Perception, &amp; Psychophysics</w:t>
      </w:r>
      <w:r>
        <w:t xml:space="preserve"> </w:t>
      </w:r>
      <w:r>
        <w:t xml:space="preserve">50 (6): 524–36.</w:t>
      </w:r>
      <w:r>
        <w:t xml:space="preserve"> </w:t>
      </w:r>
      <w:hyperlink r:id="rId104">
        <w:r>
          <w:rPr>
            <w:rStyle w:val="Hyperlink"/>
          </w:rPr>
          <w:t xml:space="preserve">http://dx.doi.org/10.3758/BF03207536</w:t>
        </w:r>
      </w:hyperlink>
      <w:r>
        <w:t xml:space="preserve">.</w:t>
      </w:r>
    </w:p>
    <w:bookmarkEnd w:id="106"/>
    <w:bookmarkStart w:id="107" w:name="ref-grondelaersVanGent2019"/>
    <w:p>
      <w:pPr>
        <w:pStyle w:val="Bibliography"/>
      </w:pPr>
      <w:r>
        <w:t xml:space="preserve">Grondelaers, Stefan, and Paul van Gent. 2019.</w:t>
      </w:r>
      <w:r>
        <w:t xml:space="preserve"> </w:t>
      </w:r>
      <w:r>
        <w:t xml:space="preserve">“How</w:t>
      </w:r>
      <w:r>
        <w:t xml:space="preserve"> </w:t>
      </w:r>
      <w:r>
        <w:t xml:space="preserve">‘Deep’</w:t>
      </w:r>
      <w:r>
        <w:t xml:space="preserve"> </w:t>
      </w:r>
      <w:r>
        <w:t xml:space="preserve">Is Dynamism? Revisiting the Evaluation of Moroccan-Flavored Netherlandic Dutch.”</w:t>
      </w:r>
      <w:r>
        <w:t xml:space="preserve"> </w:t>
      </w:r>
      <w:r>
        <w:rPr>
          <w:i/>
          <w:iCs/>
        </w:rPr>
        <w:t xml:space="preserve">Linguistics Vanguard</w:t>
      </w:r>
      <w:r>
        <w:t xml:space="preserve"> </w:t>
      </w:r>
      <w:r>
        <w:t xml:space="preserve">5 (s1).</w:t>
      </w:r>
    </w:p>
    <w:bookmarkEnd w:id="107"/>
    <w:bookmarkStart w:id="108" w:name="ref-hadodoVolume"/>
    <w:p>
      <w:pPr>
        <w:pStyle w:val="Bibliography"/>
      </w:pPr>
      <w:r>
        <w:t xml:space="preserve">Hadodo, Matthew. this volume.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08"/>
    <w:bookmarkStart w:id="109"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09"/>
    <w:bookmarkStart w:id="110"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10"/>
    <w:bookmarkStart w:id="111"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11"/>
    <w:bookmarkStart w:id="112"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12"/>
    <w:bookmarkStart w:id="113"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13"/>
    <w:bookmarkStart w:id="114"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14"/>
    <w:bookmarkStart w:id="116"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15">
        <w:r>
          <w:rPr>
            <w:rStyle w:val="Hyperlink"/>
          </w:rPr>
          <w:t xml:space="preserve">http://www.jstor.org/stable/522229</w:t>
        </w:r>
      </w:hyperlink>
      <w:r>
        <w:t xml:space="preserve">.</w:t>
      </w:r>
    </w:p>
    <w:bookmarkEnd w:id="116"/>
    <w:bookmarkStart w:id="117"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17"/>
    <w:bookmarkStart w:id="118"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18"/>
    <w:bookmarkStart w:id="119" w:name="ref-kunisakifujisaki1977"/>
    <w:p>
      <w:pPr>
        <w:pStyle w:val="Bibliography"/>
      </w:pPr>
      <w:r>
        <w:t xml:space="preserve">Kunisaki, Osamu, and Hyroya Fujisaki. 1977.</w:t>
      </w:r>
      <w:r>
        <w:t xml:space="preserve"> </w:t>
      </w:r>
      <w:r>
        <w:t xml:space="preserve">“On the Influence of Context Upon Perception of Voiceless Fricative Consonants.”</w:t>
      </w:r>
      <w:r>
        <w:t xml:space="preserve"> </w:t>
      </w:r>
      <w:r>
        <w:rPr>
          <w:i/>
          <w:iCs/>
        </w:rPr>
        <w:t xml:space="preserve">Annual Bulletin</w:t>
      </w:r>
      <w:r>
        <w:t xml:space="preserve"> </w:t>
      </w:r>
      <w:r>
        <w:t xml:space="preserve">11: 85–91.</w:t>
      </w:r>
    </w:p>
    <w:bookmarkEnd w:id="119"/>
    <w:bookmarkStart w:id="120"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20"/>
    <w:bookmarkStart w:id="121"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21"/>
    <w:bookmarkStart w:id="123"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22">
        <w:r>
          <w:rPr>
            <w:rStyle w:val="Hyperlink"/>
          </w:rPr>
          <w:t xml:space="preserve">https://doi.org/10.1371/journal.pone.0130834</w:t>
        </w:r>
      </w:hyperlink>
      <w:r>
        <w:t xml:space="preserve">.</w:t>
      </w:r>
    </w:p>
    <w:bookmarkEnd w:id="123"/>
    <w:bookmarkStart w:id="124"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24"/>
    <w:bookmarkStart w:id="126" w:name="ref-imagemagick"/>
    <w:p>
      <w:pPr>
        <w:pStyle w:val="Bibliography"/>
      </w:pPr>
      <w:r>
        <w:t xml:space="preserve">LLC, ImageMagick Studio. 2023.</w:t>
      </w:r>
      <w:r>
        <w:t xml:space="preserve"> </w:t>
      </w:r>
      <w:r>
        <w:t xml:space="preserve">“ImageMagick.”</w:t>
      </w:r>
      <w:r>
        <w:t xml:space="preserve"> </w:t>
      </w:r>
      <w:hyperlink r:id="rId125">
        <w:r>
          <w:rPr>
            <w:rStyle w:val="Hyperlink"/>
          </w:rPr>
          <w:t xml:space="preserve">https://imagemagick.org</w:t>
        </w:r>
      </w:hyperlink>
      <w:r>
        <w:t xml:space="preserve">.</w:t>
      </w:r>
    </w:p>
    <w:bookmarkEnd w:id="126"/>
    <w:bookmarkStart w:id="128"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27">
        <w:r>
          <w:rPr>
            <w:rStyle w:val="Hyperlink"/>
          </w:rPr>
          <w:t xml:space="preserve">https://doi.org/10.3758/s13428-014-0532-5</w:t>
        </w:r>
      </w:hyperlink>
      <w:r>
        <w:t xml:space="preserve">.</w:t>
      </w:r>
    </w:p>
    <w:bookmarkEnd w:id="128"/>
    <w:bookmarkStart w:id="129" w:name="ref-mackMunson2012b"/>
    <w:p>
      <w:pPr>
        <w:pStyle w:val="Bibliography"/>
      </w:pPr>
      <w:r>
        <w:t xml:space="preserve">Mack, Sara, and Benjamin Munson. 2012.</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29"/>
    <w:bookmarkStart w:id="130"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30"/>
    <w:bookmarkStart w:id="131"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31"/>
    <w:bookmarkStart w:id="132"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32"/>
    <w:bookmarkStart w:id="133"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33"/>
    <w:bookmarkStart w:id="134"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34"/>
    <w:bookmarkStart w:id="135"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35"/>
    <w:bookmarkStart w:id="136"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36"/>
    <w:bookmarkStart w:id="137"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37"/>
    <w:bookmarkStart w:id="138" w:name="ref-Niedzielski1999"/>
    <w:p>
      <w:pPr>
        <w:pStyle w:val="Bibliography"/>
      </w:pPr>
      <w:r>
        <w:t xml:space="preserve">Niedzielski, N.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38"/>
    <w:bookmarkStart w:id="139" w:name="ref-niedzielskiPreston2000"/>
    <w:p>
      <w:pPr>
        <w:pStyle w:val="Bibliography"/>
      </w:pPr>
      <w:r>
        <w:t xml:space="preserve">Niedzielski, Nancy A, and Dennis Richard Preston. 2000.</w:t>
      </w:r>
      <w:r>
        <w:t xml:space="preserve"> </w:t>
      </w:r>
      <w:r>
        <w:rPr>
          <w:i/>
          <w:iCs/>
        </w:rPr>
        <w:t xml:space="preserve">Folk Linguistics</w:t>
      </w:r>
      <w:r>
        <w:t xml:space="preserve">. Vol. 122. Walter de Gruyter.</w:t>
      </w:r>
    </w:p>
    <w:bookmarkEnd w:id="139"/>
    <w:bookmarkStart w:id="140"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40"/>
    <w:bookmarkStart w:id="141" w:name="ref-ohala1984"/>
    <w:p>
      <w:pPr>
        <w:pStyle w:val="Bibliography"/>
      </w:pPr>
      <w:r>
        <w:t xml:space="preserve">Ohala, John J. 1984.</w:t>
      </w:r>
      <w:r>
        <w:t xml:space="preserve"> </w:t>
      </w:r>
      <w:r>
        <w:t xml:space="preserve">“An Ethological Perspective on Common Cross-Language Utilization of F₀ of Voice.”</w:t>
      </w:r>
      <w:r>
        <w:t xml:space="preserve"> </w:t>
      </w:r>
      <w:r>
        <w:rPr>
          <w:i/>
          <w:iCs/>
        </w:rPr>
        <w:t xml:space="preserve">Phonetica</w:t>
      </w:r>
      <w:r>
        <w:t xml:space="preserve"> </w:t>
      </w:r>
      <w:r>
        <w:t xml:space="preserve">41 (1): 1–16.</w:t>
      </w:r>
    </w:p>
    <w:bookmarkEnd w:id="141"/>
    <w:bookmarkStart w:id="142" w:name="ref-ohala1994"/>
    <w:p>
      <w:pPr>
        <w:pStyle w:val="Bibliography"/>
      </w:pPr>
      <w:r>
        <w:t xml:space="preserve">———. 1994.</w:t>
      </w:r>
      <w:r>
        <w:t xml:space="preserve"> </w:t>
      </w:r>
      <w:r>
        <w:t xml:space="preserve">“The Frequency Code Underlies the Sound-Symbolic Use of Voice Pitch.”</w:t>
      </w:r>
      <w:r>
        <w:t xml:space="preserve"> </w:t>
      </w:r>
      <w:r>
        <w:rPr>
          <w:i/>
          <w:iCs/>
        </w:rPr>
        <w:t xml:space="preserve">Sound Symbolism</w:t>
      </w:r>
      <w:r>
        <w:t xml:space="preserve">, 325–47.</w:t>
      </w:r>
    </w:p>
    <w:bookmarkEnd w:id="142"/>
    <w:bookmarkStart w:id="143"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43"/>
    <w:bookmarkStart w:id="144"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44"/>
    <w:bookmarkStart w:id="145"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45"/>
    <w:bookmarkStart w:id="146"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46"/>
    <w:bookmarkStart w:id="147"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47"/>
    <w:bookmarkStart w:id="148"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48"/>
    <w:bookmarkStart w:id="150"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49">
        <w:r>
          <w:rPr>
            <w:rStyle w:val="Hyperlink"/>
          </w:rPr>
          <w:t xml:space="preserve">https://doi.org/10.1093/oxfordhb/9780199600472.001.0001</w:t>
        </w:r>
      </w:hyperlink>
      <w:r>
        <w:t xml:space="preserve">.</w:t>
      </w:r>
    </w:p>
    <w:bookmarkEnd w:id="150"/>
    <w:bookmarkStart w:id="151"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51"/>
    <w:bookmarkStart w:id="152"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52"/>
    <w:bookmarkStart w:id="153" w:name="ref-rubin1992"/>
    <w:p>
      <w:pPr>
        <w:pStyle w:val="Bibliography"/>
      </w:pPr>
      <w:r>
        <w:t xml:space="preserve">Rubin, Donald L. 1992.</w:t>
      </w:r>
      <w:r>
        <w:t xml:space="preserve"> </w:t>
      </w:r>
      <w:r>
        <w:t xml:space="preserve">“Nonlanguage Factors Affecting Undergraduates’ Judgments of Nonnative English-Speaking Teaching Assistants.”</w:t>
      </w:r>
      <w:r>
        <w:t xml:space="preserve"> </w:t>
      </w:r>
      <w:r>
        <w:rPr>
          <w:i/>
          <w:iCs/>
        </w:rPr>
        <w:t xml:space="preserve">Research in Higher Education</w:t>
      </w:r>
      <w:r>
        <w:t xml:space="preserve"> </w:t>
      </w:r>
      <w:r>
        <w:t xml:space="preserve">33 (4): 511–31.</w:t>
      </w:r>
    </w:p>
    <w:bookmarkEnd w:id="153"/>
    <w:bookmarkStart w:id="154"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54"/>
    <w:bookmarkStart w:id="155"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55"/>
    <w:bookmarkStart w:id="157"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56">
        <w:r>
          <w:rPr>
            <w:rStyle w:val="Hyperlink"/>
          </w:rPr>
          <w:t xml:space="preserve">https://doi.org/10.3758/BF03197491</w:t>
        </w:r>
      </w:hyperlink>
      <w:r>
        <w:t xml:space="preserve">.</w:t>
      </w:r>
    </w:p>
    <w:bookmarkEnd w:id="157"/>
    <w:bookmarkStart w:id="158"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58"/>
    <w:bookmarkStart w:id="159" w:name="ref-steckerDOnofrioVolume"/>
    <w:p>
      <w:pPr>
        <w:pStyle w:val="Bibliography"/>
      </w:pPr>
      <w:r>
        <w:t xml:space="preserve">Stecker, Amelia, and Annette D’Onofrio. This volume.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59"/>
    <w:bookmarkStart w:id="160"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60"/>
    <w:bookmarkStart w:id="161"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61"/>
    <w:bookmarkStart w:id="162"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62"/>
    <w:bookmarkStart w:id="163"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63"/>
    <w:bookmarkStart w:id="164"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64"/>
    <w:bookmarkStart w:id="165" w:name="ref-whalen1981"/>
    <w:p>
      <w:pPr>
        <w:pStyle w:val="Bibliography"/>
      </w:pPr>
      <w:r>
        <w:t xml:space="preserve">Whalen, Douglas H. 1981.</w:t>
      </w:r>
      <w:r>
        <w:t xml:space="preserve"> </w:t>
      </w:r>
      <w:r>
        <w:t xml:space="preserve">“Effects of Vocalic Formant Transitions and Vowel Quality on the English [s]–[</w:t>
      </w:r>
      <w:r>
        <w:t xml:space="preserve">š</w:t>
      </w:r>
      <w:r>
        <w:t xml:space="preserve">] Boundary.”</w:t>
      </w:r>
      <w:r>
        <w:t xml:space="preserve"> </w:t>
      </w:r>
      <w:r>
        <w:rPr>
          <w:i/>
          <w:iCs/>
        </w:rPr>
        <w:t xml:space="preserve">The Journal of the Acoustical Society of America</w:t>
      </w:r>
      <w:r>
        <w:t xml:space="preserve"> </w:t>
      </w:r>
      <w:r>
        <w:t xml:space="preserve">69 (1): 275–82.</w:t>
      </w:r>
    </w:p>
    <w:bookmarkEnd w:id="165"/>
    <w:bookmarkStart w:id="166" w:name="ref-whalen1984"/>
    <w:p>
      <w:pPr>
        <w:pStyle w:val="Bibliography"/>
      </w:pPr>
      <w:r>
        <w:t xml:space="preserve">———.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66"/>
    <w:bookmarkStart w:id="167" w:name="ref-whalen1991"/>
    <w:p>
      <w:pPr>
        <w:pStyle w:val="Bibliography"/>
      </w:pPr>
      <w:r>
        <w:t xml:space="preserve">———. 1991.</w:t>
      </w:r>
      <w:r>
        <w:t xml:space="preserve"> </w:t>
      </w:r>
      <w:r>
        <w:t xml:space="preserve">“Perception of the English/s/–/</w:t>
      </w:r>
      <w:r>
        <w:t xml:space="preserve">/Distinction Relies on Fricative Noises and Transitions, Not on Brief Spectral Slices.”</w:t>
      </w:r>
      <w:r>
        <w:t xml:space="preserve"> </w:t>
      </w:r>
      <w:r>
        <w:rPr>
          <w:i/>
          <w:iCs/>
        </w:rPr>
        <w:t xml:space="preserve">The Journal of the Acoustical Society of America</w:t>
      </w:r>
      <w:r>
        <w:t xml:space="preserve"> </w:t>
      </w:r>
      <w:r>
        <w:t xml:space="preserve">90 (4): 1776–85.</w:t>
      </w:r>
    </w:p>
    <w:bookmarkEnd w:id="167"/>
    <w:bookmarkStart w:id="168"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68"/>
    <w:bookmarkStart w:id="169"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69"/>
    <w:bookmarkStart w:id="170"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70"/>
    <w:bookmarkStart w:id="171"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71"/>
    <w:bookmarkEnd w:id="172"/>
    <w:bookmarkEnd w:id="173"/>
    <w:bookmarkEnd w:id="174"/>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8">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C4411"/>
    <w:rsid w:val="001B6542"/>
    <w:rsid w:val="00292A31"/>
    <w:rsid w:val="0056650E"/>
    <w:rsid w:val="00603281"/>
    <w:rsid w:val="00891442"/>
    <w:rsid w:val="008C4BA1"/>
    <w:rsid w:val="00BE0E21"/>
    <w:rsid w:val="00C23838"/>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caption" w:qFormat="1" w:uiPriority="35"/>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23838"/>
  </w:style>
  <w:style w:styleId="Heading1" w:type="paragraph">
    <w:name w:val="heading 1"/>
    <w:basedOn w:val="Normal"/>
    <w:next w:val="Normal"/>
    <w:link w:val="Heading1Char"/>
    <w:uiPriority w:val="9"/>
    <w:qFormat/>
    <w:rsid w:val="00C23838"/>
    <w:pPr>
      <w:keepNext/>
      <w:keepLines/>
      <w:spacing w:after="0" w:before="480"/>
      <w:outlineLvl w:val="0"/>
    </w:pPr>
    <w:rPr>
      <w:rFonts w:asciiTheme="majorHAnsi" w:cstheme="majorBidi" w:eastAsiaTheme="majorEastAsia" w:hAnsiTheme="majorHAnsi"/>
      <w:b/>
      <w:bCs/>
      <w:color w:themeColor="accent1" w:themeShade="BF" w:val="0F4761"/>
      <w:sz w:val="28"/>
      <w:szCs w:val="28"/>
    </w:rPr>
  </w:style>
  <w:style w:styleId="Heading2" w:type="paragraph">
    <w:name w:val="heading 2"/>
    <w:basedOn w:val="Normal"/>
    <w:next w:val="Normal"/>
    <w:link w:val="Heading2Char"/>
    <w:uiPriority w:val="9"/>
    <w:semiHidden/>
    <w:unhideWhenUsed/>
    <w:qFormat/>
    <w:rsid w:val="00C23838"/>
    <w:pPr>
      <w:keepNext/>
      <w:keepLines/>
      <w:spacing w:after="0" w:before="200"/>
      <w:outlineLvl w:val="1"/>
    </w:pPr>
    <w:rPr>
      <w:rFonts w:asciiTheme="majorHAnsi" w:cstheme="majorBidi" w:eastAsiaTheme="majorEastAsia" w:hAnsiTheme="majorHAnsi"/>
      <w:b/>
      <w:bCs/>
      <w:color w:themeColor="accent1" w:val="156082"/>
      <w:sz w:val="26"/>
      <w:szCs w:val="26"/>
    </w:rPr>
  </w:style>
  <w:style w:styleId="Heading3" w:type="paragraph">
    <w:name w:val="heading 3"/>
    <w:basedOn w:val="Normal"/>
    <w:next w:val="Normal"/>
    <w:link w:val="Heading3Char"/>
    <w:uiPriority w:val="9"/>
    <w:semiHidden/>
    <w:unhideWhenUsed/>
    <w:qFormat/>
    <w:rsid w:val="00C23838"/>
    <w:pPr>
      <w:keepNext/>
      <w:keepLines/>
      <w:spacing w:after="0" w:before="200"/>
      <w:outlineLvl w:val="2"/>
    </w:pPr>
    <w:rPr>
      <w:rFonts w:asciiTheme="majorHAnsi" w:cstheme="majorBidi" w:eastAsiaTheme="majorEastAsia" w:hAnsiTheme="majorHAnsi"/>
      <w:b/>
      <w:bCs/>
      <w:color w:themeColor="accent1" w:val="156082"/>
    </w:rPr>
  </w:style>
  <w:style w:styleId="Heading4" w:type="paragraph">
    <w:name w:val="heading 4"/>
    <w:basedOn w:val="Normal"/>
    <w:next w:val="Normal"/>
    <w:link w:val="Heading4Char"/>
    <w:uiPriority w:val="9"/>
    <w:semiHidden/>
    <w:unhideWhenUsed/>
    <w:qFormat/>
    <w:rsid w:val="00C23838"/>
    <w:pPr>
      <w:keepNext/>
      <w:keepLines/>
      <w:spacing w:after="0" w:before="200"/>
      <w:outlineLvl w:val="3"/>
    </w:pPr>
    <w:rPr>
      <w:rFonts w:asciiTheme="majorHAnsi" w:cstheme="majorBidi" w:eastAsiaTheme="majorEastAsia" w:hAnsiTheme="majorHAnsi"/>
      <w:b/>
      <w:bCs/>
      <w:i/>
      <w:iCs/>
      <w:color w:themeColor="accent1" w:val="156082"/>
    </w:rPr>
  </w:style>
  <w:style w:styleId="Heading5" w:type="paragraph">
    <w:name w:val="heading 5"/>
    <w:basedOn w:val="Normal"/>
    <w:next w:val="Normal"/>
    <w:link w:val="Heading5Char"/>
    <w:uiPriority w:val="9"/>
    <w:semiHidden/>
    <w:unhideWhenUsed/>
    <w:qFormat/>
    <w:rsid w:val="00C23838"/>
    <w:pPr>
      <w:keepNext/>
      <w:keepLines/>
      <w:spacing w:after="0" w:before="200"/>
      <w:outlineLvl w:val="4"/>
    </w:pPr>
    <w:rPr>
      <w:rFonts w:asciiTheme="majorHAnsi" w:cstheme="majorBidi" w:eastAsiaTheme="majorEastAsia" w:hAnsiTheme="majorHAnsi"/>
      <w:color w:themeColor="accent1" w:themeShade="7F" w:val="0A2F40"/>
    </w:rPr>
  </w:style>
  <w:style w:styleId="Heading6" w:type="paragraph">
    <w:name w:val="heading 6"/>
    <w:basedOn w:val="Normal"/>
    <w:next w:val="Normal"/>
    <w:link w:val="Heading6Char"/>
    <w:uiPriority w:val="9"/>
    <w:semiHidden/>
    <w:unhideWhenUsed/>
    <w:qFormat/>
    <w:rsid w:val="00C23838"/>
    <w:pPr>
      <w:keepNext/>
      <w:keepLines/>
      <w:spacing w:after="0" w:before="200"/>
      <w:outlineLvl w:val="5"/>
    </w:pPr>
    <w:rPr>
      <w:rFonts w:asciiTheme="majorHAnsi" w:cstheme="majorBidi" w:eastAsiaTheme="majorEastAsia" w:hAnsiTheme="majorHAnsi"/>
      <w:i/>
      <w:iCs/>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C23838"/>
    <w:pPr>
      <w:keepNext/>
      <w:keepLines/>
      <w:spacing w:after="0" w:before="200"/>
      <w:outlineLvl w:val="7"/>
    </w:pPr>
    <w:rPr>
      <w:rFonts w:asciiTheme="majorHAnsi" w:cstheme="majorBidi" w:eastAsiaTheme="majorEastAsia" w:hAnsiTheme="majorHAnsi"/>
      <w:color w:themeColor="accent1" w:val="156082"/>
      <w:sz w:val="20"/>
      <w:szCs w:val="20"/>
    </w:rPr>
  </w:style>
  <w:style w:styleId="Heading9" w:type="paragraph">
    <w:name w:val="heading 9"/>
    <w:basedOn w:val="Normal"/>
    <w:next w:val="Normal"/>
    <w:link w:val="Heading9Char"/>
    <w:uiPriority w:val="9"/>
    <w:semiHidden/>
    <w:unhideWhenUsed/>
    <w:qFormat/>
    <w:rsid w:val="00C23838"/>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23838"/>
    <w:pPr>
      <w:pBdr>
        <w:bottom w:color="156082" w:space="4" w:sz="8" w:themeColor="accent1" w:val="single"/>
      </w:pBdr>
      <w:spacing w:after="300" w:line="240" w:lineRule="auto"/>
      <w:contextualSpacing/>
    </w:pPr>
    <w:rPr>
      <w:rFonts w:asciiTheme="majorHAnsi" w:cstheme="majorBidi" w:eastAsiaTheme="majorEastAsia" w:hAnsiTheme="majorHAnsi"/>
      <w:color w:themeColor="text2" w:themeShade="BF" w:val="0A1D30"/>
      <w:spacing w:val="5"/>
      <w:kern w:val="28"/>
      <w:sz w:val="52"/>
      <w:szCs w:val="52"/>
    </w:rPr>
  </w:style>
  <w:style w:customStyle="1" w:styleId="TitleChar" w:type="character">
    <w:name w:val="Title Char"/>
    <w:basedOn w:val="DefaultParagraphFont"/>
    <w:link w:val="Title"/>
    <w:uiPriority w:val="10"/>
    <w:rsid w:val="00C23838"/>
    <w:rPr>
      <w:rFonts w:asciiTheme="majorHAnsi" w:cstheme="majorBidi" w:eastAsiaTheme="majorEastAsia" w:hAnsiTheme="majorHAnsi"/>
      <w:color w:themeColor="text2" w:themeShade="BF" w:val="0A1D30"/>
      <w:spacing w:val="5"/>
      <w:kern w:val="28"/>
      <w:sz w:val="52"/>
      <w:szCs w:val="52"/>
    </w:rPr>
  </w:style>
  <w:style w:styleId="Subtitle" w:type="paragraph">
    <w:name w:val="Subtitle"/>
    <w:basedOn w:val="Normal"/>
    <w:next w:val="Normal"/>
    <w:link w:val="SubtitleChar"/>
    <w:uiPriority w:val="11"/>
    <w:qFormat/>
    <w:rsid w:val="00C23838"/>
    <w:pPr>
      <w:numPr>
        <w:ilvl w:val="1"/>
      </w:numPr>
    </w:pPr>
    <w:rPr>
      <w:rFonts w:asciiTheme="majorHAnsi" w:cstheme="majorBidi" w:eastAsiaTheme="majorEastAsia" w:hAnsiTheme="majorHAnsi"/>
      <w:i/>
      <w:iCs/>
      <w:color w:themeColor="accent1" w:val="156082"/>
      <w:spacing w:val="15"/>
      <w:sz w:val="24"/>
      <w:szCs w:val="24"/>
    </w:rPr>
  </w:style>
  <w:style w:customStyle="1" w:styleId="SubtitleChar" w:type="character">
    <w:name w:val="Subtitle Char"/>
    <w:basedOn w:val="DefaultParagraphFont"/>
    <w:link w:val="Subtitle"/>
    <w:uiPriority w:val="11"/>
    <w:rsid w:val="00C23838"/>
    <w:rPr>
      <w:rFonts w:asciiTheme="majorHAnsi" w:cstheme="majorBidi" w:eastAsiaTheme="majorEastAsia" w:hAnsiTheme="majorHAnsi"/>
      <w:i/>
      <w:iCs/>
      <w:color w:themeColor="accent1" w:val="156082"/>
      <w:spacing w:val="15"/>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heme="majorHAnsi" w:cstheme="majorBidi" w:eastAsiaTheme="majorEastAsia" w:hAnsiTheme="majorHAnsi"/>
      <w:b/>
      <w:bCs/>
      <w:color w:themeColor="accent1" w:themeShade="BF" w:val="0F4761"/>
      <w:sz w:val="28"/>
      <w:szCs w:val="28"/>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b/>
      <w:bCs/>
      <w:color w:themeColor="accent1" w:val="156082"/>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b/>
      <w:bCs/>
      <w:color w:themeColor="accent1" w:val="156082"/>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b/>
      <w:bCs/>
      <w:i/>
      <w:iCs/>
      <w:color w:themeColor="accent1" w:val="156082"/>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7F" w:val="0A2F40"/>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i/>
      <w:iCs/>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accent1" w:val="156082"/>
      <w:sz w:val="20"/>
      <w:szCs w:val="20"/>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BF" w:val="404040"/>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23838"/>
    <w:pPr>
      <w:spacing w:line="240" w:lineRule="auto"/>
    </w:pPr>
    <w:rPr>
      <w:b/>
      <w:bCs/>
      <w:color w:themeColor="accent1" w:val="156082"/>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156082"/>
      <w:sz w:val="18"/>
      <w:szCs w:val="18"/>
    </w:rPr>
  </w:style>
  <w:style w:customStyle="1" w:styleId="VerbatimChar" w:type="character">
    <w:name w:val="Verbatim Char"/>
    <w:basedOn w:val="CaptionChar"/>
    <w:rPr>
      <w:rFonts w:ascii="Consolas" w:hAnsi="Consolas"/>
      <w:b/>
      <w:bCs/>
      <w:color w:themeColor="accent1" w:val="156082"/>
      <w:sz w:val="22"/>
      <w:szCs w:val="18"/>
    </w:rPr>
  </w:style>
  <w:style w:customStyle="1" w:styleId="SectionNumber" w:type="character">
    <w:name w:val="Section Number"/>
    <w:basedOn w:val="CaptionChar"/>
    <w:rPr>
      <w:b/>
      <w:bCs/>
      <w:color w:themeColor="accent1" w:val="156082"/>
      <w:sz w:val="18"/>
      <w:szCs w:val="18"/>
    </w:rPr>
  </w:style>
  <w:style w:styleId="FootnoteReference" w:type="character">
    <w:name w:val="footnote reference"/>
    <w:basedOn w:val="CaptionChar"/>
    <w:rPr>
      <w:b/>
      <w:bCs/>
      <w:color w:themeColor="accent1" w:val="156082"/>
      <w:sz w:val="18"/>
      <w:szCs w:val="18"/>
      <w:vertAlign w:val="superscript"/>
    </w:rPr>
  </w:style>
  <w:style w:styleId="Hyperlink" w:type="character">
    <w:name w:val="Hyperlink"/>
    <w:basedOn w:val="CaptionChar"/>
    <w:rPr>
      <w:b/>
      <w:bCs/>
      <w:color w:themeColor="accent1" w:val="156082"/>
      <w:sz w:val="18"/>
      <w:szCs w:val="18"/>
    </w:rPr>
  </w:style>
  <w:style w:styleId="TOCHeading" w:type="paragraph">
    <w:name w:val="TOC Heading"/>
    <w:basedOn w:val="Heading1"/>
    <w:next w:val="Normal"/>
    <w:uiPriority w:val="39"/>
    <w:unhideWhenUsed/>
    <w:qFormat/>
    <w:rsid w:val="00C23838"/>
    <w:pPr>
      <w:outlineLvl w:val="9"/>
    </w:p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pPr>
      <w:spacing w:after="0" w:line="240" w:lineRule="auto"/>
    </w:pPr>
  </w:style>
  <w:style w:styleId="ListParagraph" w:type="paragraph">
    <w:name w:val="List Paragraph"/>
    <w:basedOn w:val="Normal"/>
    <w:uiPriority w:val="34"/>
    <w:qFormat/>
    <w:rsid w:val="00C23838"/>
    <w:pPr>
      <w:ind w:left="720"/>
      <w:contextualSpacing/>
    </w:pPr>
  </w:style>
  <w:style w:styleId="Quote" w:type="paragraph">
    <w:name w:val="Quote"/>
    <w:basedOn w:val="Normal"/>
    <w:next w:val="Normal"/>
    <w:link w:val="QuoteChar"/>
    <w:uiPriority w:val="29"/>
    <w:qFormat/>
    <w:rsid w:val="00C23838"/>
    <w:rPr>
      <w:i/>
      <w:iCs/>
      <w:color w:themeColor="text1" w:val="000000"/>
    </w:rPr>
  </w:style>
  <w:style w:customStyle="1" w:styleId="QuoteChar" w:type="character">
    <w:name w:val="Quote Char"/>
    <w:basedOn w:val="DefaultParagraphFont"/>
    <w:link w:val="Quote"/>
    <w:uiPriority w:val="29"/>
    <w:rsid w:val="00C23838"/>
    <w:rPr>
      <w:i/>
      <w:iCs/>
      <w:color w:themeColor="text1" w:val="000000"/>
    </w:rPr>
  </w:style>
  <w:style w:styleId="IntenseQuote" w:type="paragraph">
    <w:name w:val="Intense Quote"/>
    <w:basedOn w:val="Normal"/>
    <w:next w:val="Normal"/>
    <w:link w:val="IntenseQuoteChar"/>
    <w:uiPriority w:val="30"/>
    <w:qFormat/>
    <w:rsid w:val="00C23838"/>
    <w:pPr>
      <w:pBdr>
        <w:bottom w:color="156082" w:space="4" w:sz="4" w:themeColor="accent1" w:val="single"/>
      </w:pBdr>
      <w:spacing w:after="280" w:before="200"/>
      <w:ind w:left="936" w:right="936"/>
    </w:pPr>
    <w:rPr>
      <w:b/>
      <w:bCs/>
      <w:i/>
      <w:iCs/>
      <w:color w:themeColor="accent1" w:val="156082"/>
    </w:rPr>
  </w:style>
  <w:style w:customStyle="1" w:styleId="IntenseQuoteChar" w:type="character">
    <w:name w:val="Intense Quote Char"/>
    <w:basedOn w:val="DefaultParagraphFont"/>
    <w:link w:val="IntenseQuote"/>
    <w:uiPriority w:val="30"/>
    <w:rsid w:val="00C23838"/>
    <w:rPr>
      <w:b/>
      <w:bCs/>
      <w:i/>
      <w:iCs/>
      <w:color w:themeColor="accent1" w:val="156082"/>
    </w:rPr>
  </w:style>
  <w:style w:styleId="SubtleEmphasis" w:type="character">
    <w:name w:val="Subtle Emphasis"/>
    <w:basedOn w:val="DefaultParagraphFont"/>
    <w:uiPriority w:val="19"/>
    <w:qFormat/>
    <w:rsid w:val="00C23838"/>
    <w:rPr>
      <w:i/>
      <w:iCs/>
      <w:color w:themeColor="text1" w:themeTint="7F" w:val="808080"/>
    </w:rPr>
  </w:style>
  <w:style w:styleId="IntenseEmphasis" w:type="character">
    <w:name w:val="Intense Emphasis"/>
    <w:basedOn w:val="DefaultParagraphFont"/>
    <w:uiPriority w:val="21"/>
    <w:qFormat/>
    <w:rsid w:val="00C23838"/>
    <w:rPr>
      <w:b/>
      <w:bCs/>
      <w:i/>
      <w:iCs/>
      <w:color w:themeColor="accent1" w:val="156082"/>
    </w:rPr>
  </w:style>
  <w:style w:styleId="SubtleReference" w:type="character">
    <w:name w:val="Subtle Reference"/>
    <w:basedOn w:val="DefaultParagraphFont"/>
    <w:uiPriority w:val="31"/>
    <w:qFormat/>
    <w:rsid w:val="00C23838"/>
    <w:rPr>
      <w:smallCaps/>
      <w:color w:themeColor="accent2" w:val="E97132"/>
      <w:u w:val="single"/>
    </w:rPr>
  </w:style>
  <w:style w:styleId="IntenseReference" w:type="character">
    <w:name w:val="Intense Reference"/>
    <w:basedOn w:val="DefaultParagraphFont"/>
    <w:uiPriority w:val="32"/>
    <w:qFormat/>
    <w:rsid w:val="00C23838"/>
    <w:rPr>
      <w:b/>
      <w:bCs/>
      <w:smallCaps/>
      <w:color w:themeColor="accent2" w:val="E97132"/>
      <w:spacing w:val="5"/>
      <w:u w:val="single"/>
    </w:rPr>
  </w:style>
  <w:style w:styleId="BookTitle" w:type="character">
    <w:name w:val="Book Title"/>
    <w:basedOn w:val="DefaultParagraphFont"/>
    <w:uiPriority w:val="33"/>
    <w:qFormat/>
    <w:rsid w:val="00C23838"/>
    <w:rPr>
      <w:b/>
      <w:bCs/>
      <w:smallCaps/>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hyperlink" Id="rId71" Target="http://CRAN.R-project.org/package=lme4" TargetMode="External" /><Relationship Type="http://schemas.openxmlformats.org/officeDocument/2006/relationships/hyperlink" Id="rId104" Target="http://dx.doi.org/10.3758/BF03207536" TargetMode="External" /><Relationship Type="http://schemas.openxmlformats.org/officeDocument/2006/relationships/hyperlink" Id="rId115" Target="http://www.jstor.org/stable/522229" TargetMode="External" /><Relationship Type="http://schemas.openxmlformats.org/officeDocument/2006/relationships/hyperlink" Id="rId90" Target="https://doi.org/10.1016/s0010-0277(00)00123-2" TargetMode="External" /><Relationship Type="http://schemas.openxmlformats.org/officeDocument/2006/relationships/hyperlink" Id="rId76" Target="https://doi.org/10.1017/S0954394521000089" TargetMode="External" /><Relationship Type="http://schemas.openxmlformats.org/officeDocument/2006/relationships/hyperlink" Id="rId86" Target="https://doi.org/10.1037/xlm0000137" TargetMode="External" /><Relationship Type="http://schemas.openxmlformats.org/officeDocument/2006/relationships/hyperlink" Id="rId149" Target="https://doi.org/10.1093/oxfordhb/9780199600472.001.0001" TargetMode="External" /><Relationship Type="http://schemas.openxmlformats.org/officeDocument/2006/relationships/hyperlink" Id="rId74" Target="https://doi.org/10.1121/1.5101933" TargetMode="External" /><Relationship Type="http://schemas.openxmlformats.org/officeDocument/2006/relationships/hyperlink" Id="rId122" Target="https://doi.org/10.1371/journal.pone.0130834" TargetMode="External" /><Relationship Type="http://schemas.openxmlformats.org/officeDocument/2006/relationships/hyperlink" Id="rId102" Target="https://doi.org/10.3389/fpsyg.2015.00500" TargetMode="External" /><Relationship Type="http://schemas.openxmlformats.org/officeDocument/2006/relationships/hyperlink" Id="rId156" Target="https://doi.org/10.3758/BF03197491" TargetMode="External" /><Relationship Type="http://schemas.openxmlformats.org/officeDocument/2006/relationships/hyperlink" Id="rId127" Target="https://doi.org/10.3758/s13428-014-0532-5" TargetMode="External" /><Relationship Type="http://schemas.openxmlformats.org/officeDocument/2006/relationships/hyperlink" Id="rId125"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1" Target="http://CRAN.R-project.org/package=lme4" TargetMode="External" /><Relationship Type="http://schemas.openxmlformats.org/officeDocument/2006/relationships/hyperlink" Id="rId104" Target="http://dx.doi.org/10.3758/BF03207536" TargetMode="External" /><Relationship Type="http://schemas.openxmlformats.org/officeDocument/2006/relationships/hyperlink" Id="rId115" Target="http://www.jstor.org/stable/522229" TargetMode="External" /><Relationship Type="http://schemas.openxmlformats.org/officeDocument/2006/relationships/hyperlink" Id="rId90" Target="https://doi.org/10.1016/s0010-0277(00)00123-2" TargetMode="External" /><Relationship Type="http://schemas.openxmlformats.org/officeDocument/2006/relationships/hyperlink" Id="rId76" Target="https://doi.org/10.1017/S0954394521000089" TargetMode="External" /><Relationship Type="http://schemas.openxmlformats.org/officeDocument/2006/relationships/hyperlink" Id="rId86" Target="https://doi.org/10.1037/xlm0000137" TargetMode="External" /><Relationship Type="http://schemas.openxmlformats.org/officeDocument/2006/relationships/hyperlink" Id="rId149" Target="https://doi.org/10.1093/oxfordhb/9780199600472.001.0001" TargetMode="External" /><Relationship Type="http://schemas.openxmlformats.org/officeDocument/2006/relationships/hyperlink" Id="rId74" Target="https://doi.org/10.1121/1.5101933" TargetMode="External" /><Relationship Type="http://schemas.openxmlformats.org/officeDocument/2006/relationships/hyperlink" Id="rId122" Target="https://doi.org/10.1371/journal.pone.0130834" TargetMode="External" /><Relationship Type="http://schemas.openxmlformats.org/officeDocument/2006/relationships/hyperlink" Id="rId102" Target="https://doi.org/10.3389/fpsyg.2015.00500" TargetMode="External" /><Relationship Type="http://schemas.openxmlformats.org/officeDocument/2006/relationships/hyperlink" Id="rId156" Target="https://doi.org/10.3758/BF03197491" TargetMode="External" /><Relationship Type="http://schemas.openxmlformats.org/officeDocument/2006/relationships/hyperlink" Id="rId127" Target="https://doi.org/10.3758/s13428-014-0532-5" TargetMode="External" /><Relationship Type="http://schemas.openxmlformats.org/officeDocument/2006/relationships/hyperlink" Id="rId125"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and listener awareness</dc:title>
  <dc:creator>Kyler Laycock;  Kevin B McGowan</dc:creator>
  <cp:keywords>awareness, control, inverse matched guise, sociophonetic perception</cp:keywords>
  <dcterms:created xsi:type="dcterms:W3CDTF">2024-10-24T17:25:35Z</dcterms:created>
  <dcterms:modified xsi:type="dcterms:W3CDTF">2024-10-24T17:25:35Z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2024-10-24</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