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1.png" ContentType="image/png"/>
  <Override PartName="/word/media/rId61.png" ContentType="image/png"/>
  <Override PartName="/word/media/rId56.png" ContentType="image/png"/>
  <Override PartName="/word/media/rId34.jpg" ContentType="image/jpe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Kevin B. McGowan</w:t>
      </w:r>
    </w:p>
    <w:p>
      <w:pPr>
        <w:pStyle w:val="Date"/>
      </w:pPr>
      <w:r>
        <w:t xml:space="preserve">2025-03-05</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1999; Strand &amp; Johnson, 1996)</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6" w:name="sec-intro"/>
    <w:p>
      <w:pPr>
        <w:pStyle w:val="Heading1"/>
      </w:pPr>
      <w:r>
        <w:t xml:space="preserve">Introduction</w:t>
      </w:r>
    </w:p>
    <w:p>
      <w:pPr>
        <w:pStyle w:val="FirstParagraph"/>
      </w:pPr>
      <w:r>
        <w:t xml:space="preserve">It is well established that social information can influence how listeners perceive</w:t>
      </w:r>
      <w:r>
        <w:t xml:space="preserve"> </w:t>
      </w:r>
      <w:r>
        <w:t xml:space="preserve">(Foulkes &amp; Docherty, 2006)</w:t>
      </w:r>
      <w:r>
        <w:t xml:space="preserve">, retrieve</w:t>
      </w:r>
      <w:r>
        <w:t xml:space="preserve"> </w:t>
      </w:r>
      <w:r>
        <w:t xml:space="preserve">(Walker &amp; Hay, 2011)</w:t>
      </w:r>
      <w:r>
        <w:t xml:space="preserve">, and even remember</w:t>
      </w:r>
      <w:r>
        <w:t xml:space="preserve"> </w:t>
      </w:r>
      <w:r>
        <w:t xml:space="preserve">(Nygaard et al., 1994)</w:t>
      </w:r>
      <w:r>
        <w:t xml:space="preserve"> </w:t>
      </w:r>
      <w:r>
        <w:t xml:space="preserve">the linguistic aspect of the speech signal. There is also abundant, converging evidence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(Bucholtz &amp; Hall, 2016; Hall et al., 2021; Podesva &amp; Kajino, 2014;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&amp; Munson, 2012a; Pharao et al., 2014; Strand, 1999)</w:t>
      </w:r>
      <w:r>
        <w:t xml:space="preserve">. To investigate the role of awareness in sociophonetic perception, this paper reports an audiovisual matched guise experiment, modeled on</w:t>
      </w:r>
      <w:r>
        <w:t xml:space="preserve"> </w:t>
      </w:r>
      <w:r>
        <w:t xml:space="preserve">Strand &amp;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actually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2025)</w:t>
      </w:r>
      <w:r>
        <w:t xml:space="preserve">. It is our hope that one key contribution of this paper will be to build on the general framing provided by (Babel, Campbell-Kibler, and McGowan, this issue) and to bridge gaps between research in segmental speech perception and research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2025; Bakhtin, 1981; D’Onofrio, 2021)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&amp;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puberty, can do precisely this</w:t>
      </w:r>
      <w:r>
        <w:t xml:space="preserve"> </w:t>
      </w:r>
      <w:r>
        <w:t xml:space="preserve">(Perry et al.,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&amp; Docherty, 2006, p. 411)</w:t>
      </w:r>
      <w:r>
        <w:t xml:space="preserve">; but this cue is neither necessary nor sufficient for the production and perception of gender identity</w:t>
      </w:r>
      <w:r>
        <w:t xml:space="preserve"> </w:t>
      </w:r>
      <w:r>
        <w:t xml:space="preserve">(Johnson, 2005; Zimman, 2017)</w:t>
      </w:r>
      <w:r>
        <w:t xml:space="preserve">.</w:t>
      </w:r>
    </w:p>
    <w:p>
      <w:pPr>
        <w:pStyle w:val="BodyText"/>
      </w:pPr>
      <w:r>
        <w:t xml:space="preserve">In perception, the concept of control is less intuitive. We stipulate that the ability to link a social label to its phonetic reflexes is just as clearly a task for the listener as it is for the speaker</w:t>
      </w:r>
      <w:r>
        <w:t xml:space="preserve"> </w:t>
      </w:r>
      <w:r>
        <w:t xml:space="preserve">(Babel, 2025; D’Onofrio, 2021)</w:t>
      </w:r>
      <w:r>
        <w:t xml:space="preserve">. For social meaning making to occur in interaction</w:t>
      </w:r>
      <w:r>
        <w:t xml:space="preserve"> </w:t>
      </w:r>
      <w:r>
        <w:t xml:space="preserve">(Sharma, 2025)</w:t>
      </w:r>
      <w:r>
        <w:t xml:space="preserve">, a listener must be able to control, to link, the auditory cues of a performed gender identity to the cognitive representation of that identity just as much as a speaker must be capable of the gestural control required to implement the phonetics. None of this control requires introspective awareness as perception and attention are both possible without awareness</w:t>
      </w:r>
      <w:r>
        <w:t xml:space="preserve"> </w:t>
      </w:r>
      <w:r>
        <w:t xml:space="preserve">(Craik et al., 2015; Dehaene &amp; Naccache, 2001; Prinz, 2015)</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rPr>
          <w:i/>
          <w:iCs/>
        </w:rPr>
        <w:t xml:space="preserve">perception</w:t>
      </w:r>
      <w:r>
        <w:t xml:space="preserve"> </w:t>
      </w:r>
      <w:r>
        <w:t xml:space="preserve">(Drager &amp; Kirtley, 2016a; McGowan &amp; Babel, 2020)</w:t>
      </w:r>
      <w:r>
        <w:t xml:space="preserve">.</w:t>
      </w:r>
    </w:p>
    <w:p>
      <w:pPr>
        <w:pStyle w:val="BodyText"/>
      </w:pPr>
      <w:r>
        <w:t xml:space="preserve">Within phonetics and psycholinguistics, speech perception is construed as the processing of sensory input</w:t>
      </w:r>
      <w:r>
        <w:t xml:space="preserve"> </w:t>
      </w:r>
      <w:r>
        <w:t xml:space="preserve">(cf. Evans, 2008, pp.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&amp; Marslen-Wilson, 2002; Goldinger, 1998)</w:t>
      </w:r>
      <w:r>
        <w:t xml:space="preserve">. Perception, thus construed, is typically assumed to be automatic and to occur largely below the level of conscious awareness</w:t>
      </w:r>
      <w:r>
        <w:t xml:space="preserve"> </w:t>
      </w:r>
      <w:r>
        <w:t xml:space="preserve">(Joos, 1948, p.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p. 40)</w:t>
      </w:r>
      <w:r>
        <w:t xml:space="preserve">, perceptual weighting of acoustic cues (p. 174), and phoneme restoration</w:t>
      </w:r>
      <w:r>
        <w:t xml:space="preserve"> </w:t>
      </w:r>
      <w:r>
        <w:t xml:space="preserve">(Ganong, 1980, p. 1)</w:t>
      </w:r>
      <w:r>
        <w:t xml:space="preserve">.</w:t>
      </w:r>
    </w:p>
    <w:p>
      <w:pPr>
        <w:pStyle w:val="BodyText"/>
      </w:pPr>
      <w:r>
        <w:t xml:space="preserve">The other meaning of speech perception in common use describes a higher-level, sometimes implicit, evaluative judgement of talkers and voices</w:t>
      </w:r>
      <w:r>
        <w:t xml:space="preserve"> </w:t>
      </w:r>
      <w:r>
        <w:t xml:space="preserve">(cf. Evans, 2008, pp. ‘type 2’ processing)</w:t>
      </w:r>
      <w:r>
        <w:t xml:space="preserve">. This is the meaning of perception employed in folk linguistics</w:t>
      </w:r>
      <w:r>
        <w:t xml:space="preserve"> </w:t>
      </w:r>
      <w:r>
        <w:t xml:space="preserve">(Niedzielski &amp;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&amp; Babel (2020)</w:t>
      </w:r>
      <w:r>
        <w:t xml:space="preserve">, for example, found that listeners’ performance on a vowel discrimination task and subsequent commentaries on the voices in that task sometimes agreed but more typically diverged. Furthermore, when they diverged, segmental perception tracked vowel categories established by the listeners’ previous experience with the voice, but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2025)</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vowel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This recurring disjunction in listeners’ implicit and explicit responses, even within a speaker evaluation paradigm, points to what</w:t>
      </w:r>
      <w:r>
        <w:t xml:space="preserve"> </w:t>
      </w:r>
      <w:r>
        <w:t xml:space="preserve">Kristiansen (2009, p.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(2025)</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anticipated socioindexical vocal properties. Rather than the outcome of perception (broadly construed) being a simple lexical item, a set of speech segments, a single attitude, or a summary evaluative judgement, the listener’s subjective experience appears to be a rich, potentially contradictory, superposition of all of these perceptual outcomes.</w:t>
      </w:r>
    </w:p>
    <w:bookmarkEnd w:id="21"/>
    <w:bookmarkStart w:id="22" w:name="sec-mgt"/>
    <w:p>
      <w:pPr>
        <w:pStyle w:val="Heading2"/>
      </w:pPr>
      <w:r>
        <w:t xml:space="preserve">Matched Guise: Perception, Evaluation, and Awareness</w:t>
      </w:r>
    </w:p>
    <w:p>
      <w:pPr>
        <w:pStyle w:val="FirstParagraph"/>
      </w:pPr>
      <w:r>
        <w:t xml:space="preserve">Originally, the MGT used the same talkers across guises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(Lambert et al., 1960; Laver, 1968)</w:t>
      </w:r>
      <w:r>
        <w:t xml:space="preserve">. Lambert et al. were clearly concerned that the evaluative judgements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p. 44)</w:t>
      </w:r>
      <w:r>
        <w:t xml:space="preserve">.</w:t>
      </w:r>
      <w:r>
        <w:t xml:space="preserve"> </w:t>
      </w:r>
      <w:r>
        <w:t xml:space="preserve">Pharao &amp; Kristiansen (2019, p. 2)</w:t>
      </w:r>
      <w:r>
        <w:t xml:space="preserve"> </w:t>
      </w:r>
      <w:r>
        <w:t xml:space="preserve">note that researchers, across both psychology of language and sociolinguistic traditions, go to great lengths to ensure this lack of awareness.</w:t>
      </w:r>
    </w:p>
    <w:p>
      <w:pPr>
        <w:pStyle w:val="BodyText"/>
      </w:pPr>
      <w:r>
        <w:t xml:space="preserve">Matched Guise studies do not always employ the same talker across guises, but this too appears to be motivated by awareness and control.</w:t>
      </w:r>
      <w:r>
        <w:t xml:space="preserve"> </w:t>
      </w:r>
      <w:r>
        <w:t xml:space="preserve">Milroy &amp;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 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Implicit here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2025; Clopper &amp; Pisoni, 2004)</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&amp;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(Chan, 2021; Hadodo, 2025)</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Hay, Warren, et al., 2006; McGowan, 2015)</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&amp;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&amp;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(Eckert, 2012; Ohala, 1994)</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&amp;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(Munson, 2011; Strand &amp; Johnson, 1996)</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&amp;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&amp;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&amp; miles-hercules, 2021, p.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&amp; Podesva, 2021)</w:t>
      </w:r>
      <w:r>
        <w:t xml:space="preserve">. Listeners can only make use of phonetic variation if it is indexed for them in experience or ideology</w:t>
      </w:r>
      <w:r>
        <w:t xml:space="preserve"> </w:t>
      </w:r>
      <w:r>
        <w:t xml:space="preserve">(Barrett &amp; Hall, 2024; Drager, 2010)</w:t>
      </w:r>
      <w:r>
        <w:t xml:space="preserve">. The creation and use of stimuli that are controlled by a large group of listeners maximizes the probability that a perception experiment will find an interpretable result.</w:t>
      </w:r>
    </w:p>
    <w:p>
      <w:pPr>
        <w:pStyle w:val="BodyText"/>
      </w:pPr>
      <w:r>
        <w:t xml:space="preserve">However,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must also adopt masculinizing alternations to their speech gestures if their goal is to produce a masculine-sounding voice</w:t>
      </w:r>
      <w:r>
        <w:t xml:space="preserve"> </w:t>
      </w:r>
      <w:r>
        <w:t xml:space="preserve">(Zimman, 2018)</w:t>
      </w:r>
      <w:r>
        <w:t xml:space="preserve">. Gender is more likely the product of, rather than an explanation for, linguistic variation</w:t>
      </w:r>
      <w:r>
        <w:t xml:space="preserve"> </w:t>
      </w:r>
      <w:r>
        <w:t xml:space="preserve">(Eckert &amp; Podesva, 2021)</w:t>
      </w:r>
      <w:r>
        <w:t xml:space="preserve">.</w:t>
      </w:r>
    </w:p>
    <w:p>
      <w:pPr>
        <w:pStyle w:val="BodyText"/>
      </w:pPr>
      <w:r>
        <w:t xml:space="preserve">Vowels, for example, in both their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(Alpert, 2014; Käng, 2013)</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bookmarkEnd w:id="24"/>
    <w:bookmarkStart w:id="25" w:name="the-present-study"/>
    <w:p>
      <w:pPr>
        <w:pStyle w:val="Heading2"/>
      </w:pPr>
      <w:r>
        <w:t xml:space="preserve">The present study</w:t>
      </w:r>
    </w:p>
    <w:p>
      <w:pPr>
        <w:pStyle w:val="FirstParagraph"/>
      </w:pPr>
      <w:r>
        <w:t xml:space="preserve">Here we take advantage of the sociophonetic trading relation between listeners’ gender and fricative categories to explore the role of awareness and control in socioindexical speech perception. We report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&amp;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(Stecker &amp; D’Onofrio, 2025; Tripp &amp; Munson, 2022)</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w:t>
      </w:r>
    </w:p>
    <w:p>
      <w:pPr>
        <w:pStyle w:val="BodyText"/>
      </w:pPr>
      <w:r>
        <w:t xml:space="preserve">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judgements but that influence of available social information, particularly from the voice, is difficult to disregard completely.</w:t>
      </w:r>
      <w:r>
        <w:t xml:space="preserve"> </w:t>
      </w:r>
    </w:p>
    <w:bookmarkEnd w:id="25"/>
    <w:bookmarkEnd w:id="26"/>
    <w:bookmarkStart w:id="42" w:name="sec-method"/>
    <w:p>
      <w:pPr>
        <w:pStyle w:val="Heading1"/>
      </w:pPr>
      <w:r>
        <w:t xml:space="preserve">Method</w:t>
      </w:r>
    </w:p>
    <w:bookmarkStart w:id="27"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7"/>
    <w:bookmarkStart w:id="33" w:name="sec-stimuli"/>
    <w:p>
      <w:pPr>
        <w:pStyle w:val="Heading2"/>
      </w:pPr>
      <w:r>
        <w:t xml:space="preserve">Stimulus Materials</w:t>
      </w:r>
    </w:p>
    <w:bookmarkStart w:id="32"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&amp;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1" w:name="fig-stimuli"/>
          <w:p>
            <w:pPr>
              <w:pStyle w:val="Compact"/>
              <w:jc w:val="center"/>
            </w:pPr>
            <w:r>
              <w:drawing>
                <wp:inline>
                  <wp:extent cx="4754880" cy="3511736"/>
                  <wp:effectExtent b="0" l="0" r="0" t="0"/>
                  <wp:docPr descr="" title="" id="29" name="Picture"/>
                  <a:graphic>
                    <a:graphicData uri="http://schemas.openxmlformats.org/drawingml/2006/picture">
                      <pic:pic>
                        <pic:nvPicPr>
                          <pic:cNvPr descr="images/figure1.png" id="30" name="Picture"/>
                          <pic:cNvPicPr>
                            <a:picLocks noChangeArrowheads="1" noChangeAspect="1"/>
                          </pic:cNvPicPr>
                        </pic:nvPicPr>
                        <pic:blipFill>
                          <a:blip r:embed="rId28"/>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1"/>
        </w:tc>
      </w:tr>
    </w:tbl>
    <w:bookmarkEnd w:id="32"/>
    <w:bookmarkEnd w:id="33"/>
    <w:bookmarkStart w:id="39"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judgements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judgements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Judgements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judgements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8"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et al.,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7" w:name="fig-visual"/>
          <w:p>
            <w:pPr>
              <w:pStyle w:val="Compact"/>
              <w:jc w:val="center"/>
            </w:pPr>
            <w:r>
              <w:drawing>
                <wp:inline>
                  <wp:extent cx="4754880" cy="4754880"/>
                  <wp:effectExtent b="0" l="0" r="0" t="0"/>
                  <wp:docPr descr="" title="" id="35" name="Picture"/>
                  <a:graphic>
                    <a:graphicData uri="http://schemas.openxmlformats.org/drawingml/2006/picture">
                      <pic:pic>
                        <pic:nvPicPr>
                          <pic:cNvPr descr="images/facesanddrawings.jpg" id="36" name="Picture"/>
                          <pic:cNvPicPr>
                            <a:picLocks noChangeArrowheads="1" noChangeAspect="1"/>
                          </pic:cNvPicPr>
                        </pic:nvPicPr>
                        <pic:blipFill>
                          <a:blip r:embed="rId34"/>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gender-protypical</w:t>
            </w:r>
            <w:r>
              <w:t xml:space="preserve"> </w:t>
            </w:r>
            <w:r>
              <w:t xml:space="preserve">‘male’</w:t>
            </w:r>
            <w:r>
              <w:t xml:space="preserve"> </w:t>
            </w:r>
            <w:r>
              <w:t xml:space="preserve">and</w:t>
            </w:r>
            <w:r>
              <w:t xml:space="preserve"> </w:t>
            </w:r>
            <w:r>
              <w:t xml:space="preserve">‘female’</w:t>
            </w:r>
            <w:r>
              <w:t xml:space="preserve"> </w:t>
            </w:r>
            <w:r>
              <w:t xml:space="preserve">faces (bottom)</w:t>
            </w:r>
          </w:p>
          <w:bookmarkEnd w:id="37"/>
        </w:tc>
      </w:tr>
    </w:tbl>
    <w:bookmarkEnd w:id="38"/>
    <w:bookmarkEnd w:id="39"/>
    <w:bookmarkStart w:id="41" w:name="sec-procedure"/>
    <w:p>
      <w:pPr>
        <w:pStyle w:val="Heading2"/>
      </w:pPr>
      <w:r>
        <w:t xml:space="preserve">Procedure</w:t>
      </w:r>
    </w:p>
    <w:p>
      <w:pPr>
        <w:pStyle w:val="FirstParagraph"/>
      </w:pPr>
      <w:r>
        <w:t xml:space="preserve">The experiment was created in OpenSesame v3.3</w:t>
      </w:r>
      <w:r>
        <w:t xml:space="preserve"> </w:t>
      </w:r>
      <w:r>
        <w:t xml:space="preserve">(Mathôt et al.,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et al.,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w:t>
      </w:r>
      <w:r>
        <w:t xml:space="preserve"> </w:t>
      </w:r>
      <w:r>
        <w:t xml:space="preserve">(McGowan, 2015)</w:t>
      </w:r>
      <w:r>
        <w:rPr>
          <w:rStyle w:val="FootnoteReference"/>
        </w:rPr>
        <w:footnoteReference w:id="40"/>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1"/>
    <w:bookmarkEnd w:id="42"/>
    <w:bookmarkStart w:id="46" w:name="sec-predictions"/>
    <w:p>
      <w:pPr>
        <w:pStyle w:val="Heading1"/>
      </w:pPr>
      <w:r>
        <w:t xml:space="preserve">Predicted Results</w:t>
      </w:r>
    </w:p>
    <w:bookmarkStart w:id="43" w:name="sec-pred-face"/>
    <w:p>
      <w:pPr>
        <w:pStyle w:val="Heading2"/>
      </w:pPr>
      <w:r>
        <w:t xml:space="preserve">Face: male or female</w:t>
      </w:r>
    </w:p>
    <w:p>
      <w:pPr>
        <w:pStyle w:val="FirstParagraph"/>
      </w:pPr>
      <w:r>
        <w:t xml:space="preserve">Consistent with previous results, when face and voice provide congruent social information, we anticipate that more of the [ʃ]-[s] continuum will be heard as [ʃ] when participants are shown the female face and more to be heard as [s] when participants are shown the male face.</w:t>
      </w:r>
    </w:p>
    <w:bookmarkEnd w:id="43"/>
    <w:bookmarkStart w:id="44" w:name="sec-pred-congruence"/>
    <w:p>
      <w:pPr>
        <w:pStyle w:val="Heading2"/>
      </w:pPr>
      <w:r>
        <w:t xml:space="preserve">Congruence: pairing of face and voice</w:t>
      </w:r>
    </w:p>
    <w:p>
      <w:pPr>
        <w:pStyle w:val="FirstParagraph"/>
      </w:pPr>
      <w:r>
        <w:t xml:space="preserve">However, when face and voice provide incongruent social information, we do not expect to replicate this shift in fricative category boundary. To our knowledge, the influence of incongruence has not been directly investigated for listeners’ joint perception of gender and fricative place.</w:t>
      </w:r>
      <w:r>
        <w:t xml:space="preserve"> </w:t>
      </w:r>
      <w:r>
        <w:t xml:space="preserve">Johnson et al. (1999)</w:t>
      </w:r>
      <w:r>
        <w:t xml:space="preserve"> </w:t>
      </w:r>
      <w:r>
        <w:t xml:space="preserve">tests AV integration of Male and Female faces with prototypical and non-prototypical gendered voices in a vowel quality perception task. They find what may be an incongruence effect with the prototypical male voice; listeners reported no difference in perceived vowel quality with this voice in either Face condition</w:t>
      </w:r>
      <w:r>
        <w:t xml:space="preserve"> </w:t>
      </w:r>
      <w:r>
        <w:t xml:space="preserve">(Johnson et al., 1999, p. 376)</w:t>
      </w:r>
      <w:r>
        <w:t xml:space="preserve">. We expect incongruity to influence perception for both voices, but the effect may be stronger with a prototypically male voice</w:t>
      </w:r>
      <w:r>
        <w:t xml:space="preserve"> </w:t>
      </w:r>
      <w:r>
        <w:t xml:space="preserve">(King, 2021)</w:t>
      </w:r>
      <w:r>
        <w:t xml:space="preserve">.</w:t>
      </w:r>
    </w:p>
    <w:p>
      <w:pPr>
        <w:pStyle w:val="BodyText"/>
      </w:pPr>
      <w:r>
        <w:t xml:space="preserve">We make a similar prediction for reaction times.</w:t>
      </w:r>
      <w:r>
        <w:t xml:space="preserve"> </w:t>
      </w:r>
      <w:r>
        <w:t xml:space="preserve">Johnson et al. (1999)</w:t>
      </w:r>
      <w:r>
        <w:t xml:space="preserve"> </w:t>
      </w:r>
      <w:r>
        <w:t xml:space="preserve">did not collect reaction time data, and</w:t>
      </w:r>
      <w:r>
        <w:t xml:space="preserve"> </w:t>
      </w:r>
      <w:r>
        <w:t xml:space="preserve">McGowan (2011)</w:t>
      </w:r>
      <w:r>
        <w:t xml:space="preserve"> </w:t>
      </w:r>
      <w:r>
        <w:t xml:space="preserve">reports inconsistent reaction times for incongruous trials across different tasks. However,</w:t>
      </w:r>
      <w:r>
        <w:t xml:space="preserve"> </w:t>
      </w:r>
      <w:r>
        <w:t xml:space="preserve">Whalen (1984)</w:t>
      </w:r>
      <w:r>
        <w:t xml:space="preserve"> </w:t>
      </w:r>
      <w:r>
        <w:t xml:space="preserve">finds that listeners judgements are slowed by coarticulatory mismatches. If coarticulatory and social variation are processed similarly, this should hold for listeners’ identification of fricatives on a [ʃ]-[s] continuum. Therefore, we predict longer reaction times for Incongruous conditions. Furthermore, when gender information is most clear, at gender continuum steps 1 and 2 for the Male talker and at gender steps 4 &amp; 5 for the Female talker, and in conflict with the presented Face, listeners’ response times should be</w:t>
      </w:r>
      <w:r>
        <w:t xml:space="preserve"> </w:t>
      </w:r>
      <w:r>
        <w:t xml:space="preserve">slowest.</w:t>
      </w:r>
    </w:p>
    <w:p>
      <w:pPr>
        <w:pStyle w:val="BodyText"/>
      </w:pPr>
      <w:r>
        <w:t xml:space="preserve">Since strong phonetic correlates of gender, pitch and formant spacing, have been</w:t>
      </w:r>
      <w:r>
        <w:t xml:space="preserve"> </w:t>
      </w:r>
      <w:r>
        <w:t xml:space="preserve">manipulated over the course of the VC rime continua in our auditory stimuli, we anticipate that the nullifying effect of incongruous face and voice on fricative perception should be strongest for the natural end points of the continua where the difference is most salient and should weaken as phonetically-cued gender information becomes more ambiguous. These stimuli have been independently normed for ambiguity</w:t>
      </w:r>
      <w:r>
        <w:t xml:space="preserve"> </w:t>
      </w:r>
      <w:r>
        <w:t xml:space="preserve">(Bouavichith et al., 2019, p. 1040)</w:t>
      </w:r>
      <w:r>
        <w:t xml:space="preserve"> </w:t>
      </w:r>
      <w:r>
        <w:t xml:space="preserve">in the 2nd and 3rd levels of the rime continua. This means we anticipate an interaction between Face and Rime step but only in the incongruous trials and only at the extremes of the rime continuum.</w:t>
      </w:r>
    </w:p>
    <w:bookmarkEnd w:id="44"/>
    <w:bookmarkStart w:id="45" w:name="sec-pred-guise"/>
    <w:p>
      <w:pPr>
        <w:pStyle w:val="Heading2"/>
      </w:pPr>
      <w:r>
        <w:t xml:space="preserve">Guise: Hidden or Unhidden</w:t>
      </w:r>
    </w:p>
    <w:p>
      <w:pPr>
        <w:pStyle w:val="FirstParagraph"/>
      </w:pPr>
      <w:r>
        <w:t xml:space="preserve">The care researchers take to ensure that the guise manipulation is hidden from participants suggests a kind of imagined fragility of 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on fricative perception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detectable in response times between the Instruction conditions.</w:t>
      </w:r>
    </w:p>
    <w:bookmarkEnd w:id="45"/>
    <w:bookmarkEnd w:id="46"/>
    <w:bookmarkStart w:id="66"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5"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50" w:name="fig-scurve"/>
          <w:p>
            <w:pPr>
              <w:pStyle w:val="Compact"/>
              <w:jc w:val="center"/>
            </w:pPr>
            <w:r>
              <w:drawing>
                <wp:inline>
                  <wp:extent cx="4754880" cy="2937285"/>
                  <wp:effectExtent b="0" l="0" r="0" t="0"/>
                  <wp:docPr descr="" title="" id="48" name="Picture"/>
                  <a:graphic>
                    <a:graphicData uri="http://schemas.openxmlformats.org/drawingml/2006/picture">
                      <pic:pic>
                        <pic:nvPicPr>
                          <pic:cNvPr descr="images/Scurve.png" id="49" name="Picture"/>
                          <pic:cNvPicPr>
                            <a:picLocks noChangeArrowheads="1" noChangeAspect="1"/>
                          </pic:cNvPicPr>
                        </pic:nvPicPr>
                        <pic:blipFill>
                          <a:blip r:embed="rId47"/>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onset continuum steps and purported gender of the face.</w:t>
            </w:r>
          </w:p>
          <w:bookmarkEnd w:id="50"/>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4" w:name="fig-rimes"/>
          <w:p>
            <w:pPr>
              <w:pStyle w:val="Compact"/>
              <w:jc w:val="center"/>
            </w:pPr>
            <w:r>
              <w:drawing>
                <wp:inline>
                  <wp:extent cx="4754880" cy="2937285"/>
                  <wp:effectExtent b="0" l="0" r="0" t="0"/>
                  <wp:docPr descr="" title="" id="52" name="Picture"/>
                  <a:graphic>
                    <a:graphicData uri="http://schemas.openxmlformats.org/drawingml/2006/picture">
                      <pic:pic>
                        <pic:nvPicPr>
                          <pic:cNvPr descr="images/ambiguous-by-rime-step.png" id="53" name="Picture"/>
                          <pic:cNvPicPr>
                            <a:picLocks noChangeArrowheads="1" noChangeAspect="1"/>
                          </pic:cNvPicPr>
                        </pic:nvPicPr>
                        <pic:blipFill>
                          <a:blip r:embed="rId51"/>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to ambiguous fricative trials</w:t>
            </w:r>
            <w:r>
              <w:t xml:space="preserve"> </w:t>
            </w:r>
            <w:r>
              <w:t xml:space="preserve">plotted as a function of CV rime continuum steps and gender of</w:t>
            </w:r>
            <w:r>
              <w:t xml:space="preserve"> </w:t>
            </w:r>
            <w:r>
              <w:t xml:space="preserve">stimulus talker.</w:t>
            </w:r>
          </w:p>
          <w:bookmarkEnd w:id="54"/>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5"/>
    <w:bookmarkStart w:id="60"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et al.,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9" w:name="fig-coefs"/>
          <w:p>
            <w:pPr>
              <w:pStyle w:val="Compact"/>
              <w:jc w:val="center"/>
            </w:pPr>
            <w:r>
              <w:drawing>
                <wp:inline>
                  <wp:extent cx="4754880" cy="3169919"/>
                  <wp:effectExtent b="0" l="0" r="0" t="0"/>
                  <wp:docPr descr="" title="" id="57" name="Picture"/>
                  <a:graphic>
                    <a:graphicData uri="http://schemas.openxmlformats.org/drawingml/2006/picture">
                      <pic:pic>
                        <pic:nvPicPr>
                          <pic:cNvPr descr="images/coefs_instruction.png" id="58" name="Picture"/>
                          <pic:cNvPicPr>
                            <a:picLocks noChangeArrowheads="1" noChangeAspect="1"/>
                          </pic:cNvPicPr>
                        </pic:nvPicPr>
                        <pic:blipFill>
                          <a:blip r:embed="rId56"/>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responses in the</w:t>
            </w:r>
            <w:r>
              <w:t xml:space="preserve"> </w:t>
            </w:r>
            <w:r>
              <w:t xml:space="preserve">Congruous (black) and Incongruous (gray) logistic regression models</w:t>
            </w:r>
            <w:r>
              <w:t xml:space="preserve"> </w:t>
            </w:r>
            <w:r>
              <w:t xml:space="preserve">plotted with 95% confidence intervals.</w:t>
            </w:r>
          </w:p>
          <w:bookmarkEnd w:id="59"/>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60"/>
    <w:bookmarkStart w:id="65"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et al.,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coefs-logRT"/>
          <w:p>
            <w:pPr>
              <w:pStyle w:val="Compact"/>
              <w:jc w:val="center"/>
            </w:pPr>
            <w:r>
              <w:drawing>
                <wp:inline>
                  <wp:extent cx="4754880" cy="3169919"/>
                  <wp:effectExtent b="0" l="0" r="0" t="0"/>
                  <wp:docPr descr="" title="" id="62" name="Picture"/>
                  <a:graphic>
                    <a:graphicData uri="http://schemas.openxmlformats.org/drawingml/2006/picture">
                      <pic:pic>
                        <pic:nvPicPr>
                          <pic:cNvPr descr="images/coefs-logRT_instructions.png" id="63" name="Picture"/>
                          <pic:cNvPicPr>
                            <a:picLocks noChangeArrowheads="1" noChangeAspect="1"/>
                          </pic:cNvPicPr>
                        </pic:nvPicPr>
                        <pic:blipFill>
                          <a:blip r:embed="rId61"/>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Congruous (black) and Incongruous (gray) linear regression</w:t>
            </w:r>
            <w:r>
              <w:t xml:space="preserve"> </w:t>
            </w:r>
            <w:r>
              <w:t xml:space="preserve">models plotted with 95% confidence intervals.</w:t>
            </w:r>
          </w:p>
          <w:bookmarkEnd w:id="64"/>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5"/>
    <w:bookmarkEnd w:id="66"/>
    <w:bookmarkStart w:id="67"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&amp;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judgements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&amp;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&amp;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(Hay, Nolan, et al., 2006; Hay &amp; Drager, 2010; Niedzielski, 1999)</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&amp;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&amp;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et al.,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7"/>
    <w:bookmarkStart w:id="68" w:name="conclusion"/>
    <w:p>
      <w:pPr>
        <w:pStyle w:val="Heading1"/>
      </w:pPr>
      <w:r>
        <w:t xml:space="preserve">Conclusion</w:t>
      </w:r>
    </w:p>
    <w:p>
      <w:pPr>
        <w:pStyle w:val="FirstParagraph"/>
      </w:pPr>
      <w:r>
        <w:t xml:space="preserve">Decades of research since the original findings of</w:t>
      </w:r>
      <w:r>
        <w:t xml:space="preserve"> </w:t>
      </w:r>
      <w:r>
        <w:t xml:space="preserve">Strand &amp;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&amp;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et al.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2025)</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judgements was not supported. Given that coarticulatory mismatches</w:t>
      </w:r>
      <w:r>
        <w:t xml:space="preserve"> </w:t>
      </w:r>
      <w:r>
        <w:rPr>
          <w:i/>
          <w:iCs/>
        </w:rPr>
        <w:t xml:space="preserve">do</w:t>
      </w:r>
      <w:r>
        <w:t xml:space="preserve"> </w:t>
      </w:r>
      <w:r>
        <w:t xml:space="preserve">slow listener judgements, this finding is inconsistent with a model of perception in which socioindexical variation and coarticulatory information are processed identically. It is possible that these sources of information are processed via different systems or, alternatively, that this difference merely reflects the diversity of gender conforming and non-conforming voices in our listeners’ experience.</w:t>
      </w:r>
      <w:r>
        <w:t xml:space="preserve"> </w:t>
      </w:r>
      <w:r>
        <w:t xml:space="preserve">Barrett (2014, p.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Unlike coarticulation, which is lawful and systematic</w:t>
      </w:r>
      <w:r>
        <w:t xml:space="preserve"> </w:t>
      </w:r>
      <w:r>
        <w:t xml:space="preserve">(Beddor, 2009)</w:t>
      </w:r>
      <w:r>
        <w:t xml:space="preserve">, incongruence in gender cues is a normal part of the social construction of gender</w:t>
      </w:r>
      <w:r>
        <w:t xml:space="preserve"> </w:t>
      </w:r>
      <w:r>
        <w:t xml:space="preserve">(Barrett, 2017)</w:t>
      </w:r>
      <w:r>
        <w:t xml:space="preserve">.</w:t>
      </w:r>
    </w:p>
    <w:bookmarkEnd w:id="68"/>
    <w:bookmarkStart w:id="192" w:name="sec-references"/>
    <w:p>
      <w:pPr>
        <w:pStyle w:val="Heading1"/>
      </w:pPr>
      <w:r>
        <w:t xml:space="preserve">References</w:t>
      </w:r>
    </w:p>
    <w:bookmarkStart w:id="191" w:name="refs"/>
    <w:bookmarkStart w:id="69" w:name="ref-alpert2014"/>
    <w:p>
      <w:pPr>
        <w:pStyle w:val="Bibliography"/>
      </w:pPr>
      <w:r>
        <w:t xml:space="preserve">Alpert, E. R. (2014).</w:t>
      </w:r>
      <w:r>
        <w:t xml:space="preserve"> </w:t>
      </w:r>
      <w:r>
        <w:rPr>
          <w:i/>
          <w:iCs/>
        </w:rPr>
        <w:t xml:space="preserve">Language, gender, and ideology in japanese professional matchmaking.</w:t>
      </w:r>
      <w:r>
        <w:t xml:space="preserve"> </w:t>
      </w:r>
      <w:r>
        <w:t xml:space="preserve">[PhD thesis]. University of Michigan, Department of Anthropology.</w:t>
      </w:r>
    </w:p>
    <w:bookmarkEnd w:id="69"/>
    <w:bookmarkStart w:id="70" w:name="ref-BabelIssue"/>
    <w:p>
      <w:pPr>
        <w:pStyle w:val="Bibliography"/>
      </w:pPr>
      <w:r>
        <w:t xml:space="preserve">Babel, A. M. (2025). A semiotic approach to awareness and control.</w:t>
      </w:r>
      <w:r>
        <w:t xml:space="preserve"> </w:t>
      </w:r>
      <w:r>
        <w:rPr>
          <w:i/>
          <w:iCs/>
        </w:rPr>
        <w:t xml:space="preserve">Journal of Sociolinguistics</w:t>
      </w:r>
      <w:r>
        <w:t xml:space="preserve">,</w:t>
      </w:r>
      <w:r>
        <w:t xml:space="preserve"> </w:t>
      </w:r>
      <w:r>
        <w:rPr>
          <w:i/>
          <w:iCs/>
        </w:rPr>
        <w:t xml:space="preserve">29</w:t>
      </w:r>
      <w:r>
        <w:t xml:space="preserve">(1).</w:t>
      </w:r>
    </w:p>
    <w:bookmarkEnd w:id="70"/>
    <w:bookmarkStart w:id="71" w:name="ref-bakhtin1981"/>
    <w:p>
      <w:pPr>
        <w:pStyle w:val="Bibliography"/>
      </w:pPr>
      <w:r>
        <w:t xml:space="preserve">Bakhtin, M. M.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 (2014). The emergence of the unmarked. In L. Zimman, J. Davis, &amp; J. Raclaw (Eds.),</w:t>
      </w:r>
      <w:r>
        <w:t xml:space="preserve"> </w:t>
      </w:r>
      <w:r>
        <w:rPr>
          <w:i/>
          <w:iCs/>
        </w:rPr>
        <w:t xml:space="preserve">Queer excursions: Retheorizing binaries in language, gender, and sexuality</w:t>
      </w:r>
      <w:r>
        <w:t xml:space="preserve"> </w:t>
      </w:r>
      <w:r>
        <w:t xml:space="preserve">(pp. 195–223). Oxford University Press.</w:t>
      </w:r>
    </w:p>
    <w:bookmarkEnd w:id="72"/>
    <w:bookmarkStart w:id="73" w:name="ref-barrett2017"/>
    <w:p>
      <w:pPr>
        <w:pStyle w:val="Bibliography"/>
      </w:pPr>
      <w:r>
        <w:t xml:space="preserve">Barrett, R. (2017).</w:t>
      </w:r>
      <w:r>
        <w:t xml:space="preserve"> </w:t>
      </w:r>
      <w:r>
        <w:rPr>
          <w:i/>
          <w:iCs/>
        </w:rPr>
        <w:t xml:space="preserve">From drag queens to leathermen: Language, gender, and gay male subcultures</w:t>
      </w:r>
      <w:r>
        <w:t xml:space="preserve">. Oxford University Press.</w:t>
      </w:r>
    </w:p>
    <w:bookmarkEnd w:id="73"/>
    <w:bookmarkStart w:id="74" w:name="ref-barrettHall2024"/>
    <w:p>
      <w:pPr>
        <w:pStyle w:val="Bibliography"/>
      </w:pPr>
      <w:r>
        <w:t xml:space="preserve">Barrett, R., &amp; Hall, K. (2024). Sexuality discourses: Indexical misrecognition and the politics of sex.</w:t>
      </w:r>
      <w:r>
        <w:t xml:space="preserve"> </w:t>
      </w:r>
      <w:r>
        <w:rPr>
          <w:i/>
          <w:iCs/>
        </w:rPr>
        <w:t xml:space="preserve">Annual Review of Anthropology</w:t>
      </w:r>
      <w:r>
        <w:t xml:space="preserve">,</w:t>
      </w:r>
      <w:r>
        <w:t xml:space="preserve"> </w:t>
      </w:r>
      <w:r>
        <w:rPr>
          <w:i/>
          <w:iCs/>
        </w:rPr>
        <w:t xml:space="preserve">53</w:t>
      </w:r>
      <w:r>
        <w:t xml:space="preserve">.</w:t>
      </w:r>
    </w:p>
    <w:bookmarkEnd w:id="74"/>
    <w:bookmarkStart w:id="76" w:name="ref-lme4"/>
    <w:p>
      <w:pPr>
        <w:pStyle w:val="Bibliography"/>
      </w:pPr>
      <w:r>
        <w:t xml:space="preserve">Bates, D., Maechler, M., &amp; Bolker, B. (2011).</w:t>
      </w:r>
      <w:r>
        <w:t xml:space="preserve"> </w:t>
      </w:r>
      <w:r>
        <w:rPr>
          <w:i/>
          <w:iCs/>
        </w:rPr>
        <w:t xml:space="preserve">lme4: Linear mixed-effects models using S4 classes</w:t>
      </w:r>
      <w:r>
        <w:t xml:space="preserve">.</w:t>
      </w:r>
      <w:r>
        <w:t xml:space="preserve"> </w:t>
      </w:r>
      <w:hyperlink r:id="rId75">
        <w:r>
          <w:rPr>
            <w:rStyle w:val="Hyperlink"/>
          </w:rPr>
          <w:t xml:space="preserve">http://CRAN.R-project.org/package=lme4</w:t>
        </w:r>
      </w:hyperlink>
    </w:p>
    <w:bookmarkEnd w:id="76"/>
    <w:bookmarkStart w:id="77" w:name="ref-Beddor2009"/>
    <w:p>
      <w:pPr>
        <w:pStyle w:val="Bibliography"/>
      </w:pPr>
      <w:r>
        <w:t xml:space="preserve">Beddor, P. S. (2009). A coarticulatory path to sound change.</w:t>
      </w:r>
      <w:r>
        <w:t xml:space="preserve"> </w:t>
      </w:r>
      <w:r>
        <w:rPr>
          <w:i/>
          <w:iCs/>
        </w:rPr>
        <w:t xml:space="preserve">Language</w:t>
      </w:r>
      <w:r>
        <w:t xml:space="preserve">,</w:t>
      </w:r>
      <w:r>
        <w:t xml:space="preserve"> </w:t>
      </w:r>
      <w:r>
        <w:rPr>
          <w:i/>
          <w:iCs/>
        </w:rPr>
        <w:t xml:space="preserve">85</w:t>
      </w:r>
      <w:r>
        <w:t xml:space="preserve">(4), 785–821.</w:t>
      </w:r>
    </w:p>
    <w:bookmarkEnd w:id="77"/>
    <w:bookmarkStart w:id="78" w:name="ref-Bender2005"/>
    <w:p>
      <w:pPr>
        <w:pStyle w:val="Bibliography"/>
      </w:pPr>
      <w:r>
        <w:t xml:space="preserve">Bender, E. M. (2005). On the boundaries of linguistic competence: Matched-guise experiments as evidence of knowledge of grammar.</w:t>
      </w:r>
      <w:r>
        <w:t xml:space="preserve"> </w:t>
      </w:r>
      <w:r>
        <w:rPr>
          <w:i/>
          <w:iCs/>
        </w:rPr>
        <w:t xml:space="preserve">Lingua</w:t>
      </w:r>
      <w:r>
        <w:t xml:space="preserve">,</w:t>
      </w:r>
      <w:r>
        <w:t xml:space="preserve"> </w:t>
      </w:r>
      <w:r>
        <w:rPr>
          <w:i/>
          <w:iCs/>
        </w:rPr>
        <w:t xml:space="preserve">115</w:t>
      </w:r>
      <w:r>
        <w:t xml:space="preserve">(11), 1579–1598.</w:t>
      </w:r>
    </w:p>
    <w:bookmarkEnd w:id="78"/>
    <w:bookmarkStart w:id="79" w:name="ref-praat2001"/>
    <w:p>
      <w:pPr>
        <w:pStyle w:val="Bibliography"/>
      </w:pPr>
      <w:r>
        <w:t xml:space="preserve">Boersma, P. (2001). 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341–345.</w:t>
      </w:r>
    </w:p>
    <w:bookmarkEnd w:id="79"/>
    <w:bookmarkStart w:id="81" w:name="ref-bouavichithEtAl2019"/>
    <w:p>
      <w:pPr>
        <w:pStyle w:val="Bibliography"/>
      </w:pPr>
      <w:r>
        <w:t xml:space="preserve">Bouavichith, D. A., Calloway, I. C., Craft, J. T., Hildebrandt, T., Tobin, S. J., &amp; Beddor, P. S. (2019). Bidirectional effects of priming in speech perception: Social-to-lexical and lexical-to-social.</w:t>
      </w:r>
      <w:r>
        <w:t xml:space="preserve"> </w:t>
      </w:r>
      <w:r>
        <w:rPr>
          <w:i/>
          <w:iCs/>
        </w:rPr>
        <w:t xml:space="preserve">The Journal of the Acoustical Society of America</w:t>
      </w:r>
      <w:r>
        <w:t xml:space="preserve">,</w:t>
      </w:r>
      <w:r>
        <w:t xml:space="preserve"> </w:t>
      </w:r>
      <w:r>
        <w:rPr>
          <w:i/>
          <w:iCs/>
        </w:rPr>
        <w:t xml:space="preserve">145</w:t>
      </w:r>
      <w:r>
        <w:t xml:space="preserve">.</w:t>
      </w:r>
      <w:r>
        <w:t xml:space="preserve"> </w:t>
      </w:r>
      <w:hyperlink r:id="rId80">
        <w:r>
          <w:rPr>
            <w:rStyle w:val="Hyperlink"/>
          </w:rPr>
          <w:t xml:space="preserve">https://doi.org/10.1121/1.5101933</w:t>
        </w:r>
      </w:hyperlink>
    </w:p>
    <w:bookmarkEnd w:id="81"/>
    <w:bookmarkStart w:id="82" w:name="ref-bucholtz2002"/>
    <w:p>
      <w:pPr>
        <w:pStyle w:val="Bibliography"/>
      </w:pPr>
      <w:r>
        <w:t xml:space="preserve">Bucholtz, M. (2002). 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w:t>
      </w:r>
      <w:r>
        <w:t xml:space="preserve"> </w:t>
      </w:r>
      <w:r>
        <w:rPr>
          <w:i/>
          <w:iCs/>
        </w:rPr>
        <w:t xml:space="preserve">8</w:t>
      </w:r>
      <w:r>
        <w:t xml:space="preserve">(3), 33–45.</w:t>
      </w:r>
    </w:p>
    <w:bookmarkEnd w:id="82"/>
    <w:bookmarkStart w:id="83" w:name="ref-bucholtzHall2016"/>
    <w:p>
      <w:pPr>
        <w:pStyle w:val="Bibliography"/>
      </w:pPr>
      <w:r>
        <w:t xml:space="preserve">Bucholtz, M., &amp; Hall, K. (2016). Embodied sociolinguistics.</w:t>
      </w:r>
      <w:r>
        <w:t xml:space="preserve"> </w:t>
      </w:r>
      <w:r>
        <w:rPr>
          <w:i/>
          <w:iCs/>
        </w:rPr>
        <w:t xml:space="preserve">Sociolinguistics: Theoretical Debates</w:t>
      </w:r>
      <w:r>
        <w:t xml:space="preserve">,</w:t>
      </w:r>
      <w:r>
        <w:t xml:space="preserve"> </w:t>
      </w:r>
      <w:r>
        <w:rPr>
          <w:i/>
          <w:iCs/>
        </w:rPr>
        <w:t xml:space="preserve">1</w:t>
      </w:r>
      <w:r>
        <w:t xml:space="preserve">(1), 173–200.</w:t>
      </w:r>
    </w:p>
    <w:bookmarkEnd w:id="83"/>
    <w:bookmarkStart w:id="84" w:name="ref-calder2018"/>
    <w:p>
      <w:pPr>
        <w:pStyle w:val="Bibliography"/>
      </w:pPr>
      <w:r>
        <w:t xml:space="preserve">Calder, J. (2018). From</w:t>
      </w:r>
      <w:r>
        <w:t xml:space="preserve"> </w:t>
      </w:r>
      <w:r>
        <w:t xml:space="preserve">“gay lisp”</w:t>
      </w:r>
      <w:r>
        <w:t xml:space="preserve"> </w:t>
      </w:r>
      <w:r>
        <w:t xml:space="preserve">to</w:t>
      </w:r>
      <w:r>
        <w:t xml:space="preserve"> </w:t>
      </w:r>
      <w:r>
        <w:t xml:space="preserve">“fierce queen”</w:t>
      </w:r>
      <w:r>
        <w:t xml:space="preserve">: The sociophonetics of sexuality’s most iconic variable. In K. Hall &amp; R. Barrett (Eds.),</w:t>
      </w:r>
      <w:r>
        <w:t xml:space="preserve"> </w:t>
      </w:r>
      <w:r>
        <w:rPr>
          <w:i/>
          <w:iCs/>
        </w:rPr>
        <w:t xml:space="preserve">The oxford handbook of language and sexuality</w:t>
      </w:r>
      <w:r>
        <w:t xml:space="preserve"> </w:t>
      </w:r>
      <w:r>
        <w:t xml:space="preserve">(pp. 1–23).</w:t>
      </w:r>
    </w:p>
    <w:bookmarkEnd w:id="84"/>
    <w:bookmarkStart w:id="85" w:name="ref-campbell-kibler2005"/>
    <w:p>
      <w:pPr>
        <w:pStyle w:val="Bibliography"/>
      </w:pPr>
      <w:r>
        <w:t xml:space="preserve">Campbell-Kibler, K. (2005).</w:t>
      </w:r>
      <w:r>
        <w:t xml:space="preserve"> </w:t>
      </w:r>
      <w:r>
        <w:rPr>
          <w:i/>
          <w:iCs/>
        </w:rP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Campbell-Kibler, K. (2007). Accent,(ING), and the social logic of listener perceptions.</w:t>
      </w:r>
      <w:r>
        <w:t xml:space="preserve"> </w:t>
      </w:r>
      <w:r>
        <w:rPr>
          <w:i/>
          <w:iCs/>
        </w:rPr>
        <w:t xml:space="preserve">American Speech</w:t>
      </w:r>
      <w:r>
        <w:t xml:space="preserve">,</w:t>
      </w:r>
      <w:r>
        <w:t xml:space="preserve"> </w:t>
      </w:r>
      <w:r>
        <w:rPr>
          <w:i/>
          <w:iCs/>
        </w:rPr>
        <w:t xml:space="preserve">82</w:t>
      </w:r>
      <w:r>
        <w:t xml:space="preserve">(1), 32–64.</w:t>
      </w:r>
    </w:p>
    <w:bookmarkEnd w:id="86"/>
    <w:bookmarkStart w:id="87" w:name="ref-campbell-kibler2012"/>
    <w:p>
      <w:pPr>
        <w:pStyle w:val="Bibliography"/>
      </w:pPr>
      <w:r>
        <w:t xml:space="preserve">Campbell-Kibler, K. (2012). The implicit association test and sociolinguistic meaning.</w:t>
      </w:r>
      <w:r>
        <w:t xml:space="preserve"> </w:t>
      </w:r>
      <w:r>
        <w:rPr>
          <w:i/>
          <w:iCs/>
        </w:rPr>
        <w:t xml:space="preserve">Lingua</w:t>
      </w:r>
      <w:r>
        <w:t xml:space="preserve">,</w:t>
      </w:r>
      <w:r>
        <w:t xml:space="preserve"> </w:t>
      </w:r>
      <w:r>
        <w:rPr>
          <w:i/>
          <w:iCs/>
        </w:rPr>
        <w:t xml:space="preserve">122</w:t>
      </w:r>
      <w:r>
        <w:t xml:space="preserve">(7), 753–763.</w:t>
      </w:r>
    </w:p>
    <w:bookmarkEnd w:id="87"/>
    <w:bookmarkStart w:id="88" w:name="ref-campbell-kibler2016"/>
    <w:p>
      <w:pPr>
        <w:pStyle w:val="Bibliography"/>
      </w:pPr>
      <w:r>
        <w:t xml:space="preserve">Campbell-Kibler, K. (2016). Toward a cognitively realistic model of meaningful sociolinguistic variation. In A. M. Babel (Ed.),</w:t>
      </w:r>
      <w:r>
        <w:t xml:space="preserve"> </w:t>
      </w:r>
      <w:r>
        <w:rPr>
          <w:i/>
          <w:iCs/>
        </w:rPr>
        <w:t xml:space="preserve">Awareness and control in sociolinguistic research</w:t>
      </w:r>
      <w:r>
        <w:t xml:space="preserve"> </w:t>
      </w:r>
      <w:r>
        <w:t xml:space="preserve">(pp. 123–151). Cambridge University Press Cambridge.</w:t>
      </w:r>
    </w:p>
    <w:bookmarkEnd w:id="88"/>
    <w:bookmarkStart w:id="89" w:name="ref-campbell-kibler2020"/>
    <w:p>
      <w:pPr>
        <w:pStyle w:val="Bibliography"/>
      </w:pPr>
      <w:r>
        <w:t xml:space="preserve">Campbell-Kibler, K. (2021). Deliberative control in audiovisual sociolinguistic perception.</w:t>
      </w:r>
      <w:r>
        <w:t xml:space="preserve"> </w:t>
      </w:r>
      <w:r>
        <w:rPr>
          <w:i/>
          <w:iCs/>
        </w:rPr>
        <w:t xml:space="preserve">Journal of Sociolinguistics</w:t>
      </w:r>
      <w:r>
        <w:t xml:space="preserve">,</w:t>
      </w:r>
      <w:r>
        <w:t xml:space="preserve"> </w:t>
      </w:r>
      <w:r>
        <w:rPr>
          <w:i/>
          <w:iCs/>
        </w:rPr>
        <w:t xml:space="preserve">25</w:t>
      </w:r>
      <w:r>
        <w:t xml:space="preserve">(2), 253–271.</w:t>
      </w:r>
    </w:p>
    <w:bookmarkEnd w:id="89"/>
    <w:bookmarkStart w:id="90" w:name="ref-campbell-kiblerIssue"/>
    <w:p>
      <w:pPr>
        <w:pStyle w:val="Bibliography"/>
      </w:pPr>
      <w:r>
        <w:t xml:space="preserve">Campbell-Kibler, K. (2025). Accentedness ratings do not predict sensitivity to regional variation in vowel quality.</w:t>
      </w:r>
      <w:r>
        <w:t xml:space="preserve"> </w:t>
      </w:r>
      <w:r>
        <w:rPr>
          <w:i/>
          <w:iCs/>
        </w:rPr>
        <w:t xml:space="preserve">Journal of Sociolinguistics</w:t>
      </w:r>
      <w:r>
        <w:t xml:space="preserve">,</w:t>
      </w:r>
      <w:r>
        <w:t xml:space="preserve"> </w:t>
      </w:r>
      <w:r>
        <w:rPr>
          <w:i/>
          <w:iCs/>
        </w:rPr>
        <w:t xml:space="preserve">29</w:t>
      </w:r>
      <w:r>
        <w:t xml:space="preserve">(1).</w:t>
      </w:r>
    </w:p>
    <w:bookmarkEnd w:id="90"/>
    <w:bookmarkStart w:id="92" w:name="ref-campbell-kibler-miles-hercules2021"/>
    <w:p>
      <w:pPr>
        <w:pStyle w:val="Bibliography"/>
      </w:pPr>
      <w:r>
        <w:t xml:space="preserve">Campbell-Kibler, K., &amp; miles-hercules, deandre. (2021). Perception of gender and sexuality. In J. Angouri &amp; J. Baxter (Eds.),</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w:t>
      </w:r>
      <w:r>
        <w:t xml:space="preserve">(1st ed., pp. 52–68). Routledge.</w:t>
      </w:r>
      <w:r>
        <w:t xml:space="preserve"> </w:t>
      </w:r>
      <w:hyperlink r:id="rId91">
        <w:r>
          <w:rPr>
            <w:rStyle w:val="Hyperlink"/>
          </w:rPr>
          <w:t xml:space="preserve">https://doi.org/10.4324/9781315514857-5</w:t>
        </w:r>
      </w:hyperlink>
    </w:p>
    <w:bookmarkEnd w:id="92"/>
    <w:bookmarkStart w:id="93" w:name="ref-chan2021"/>
    <w:p>
      <w:pPr>
        <w:pStyle w:val="Bibliography"/>
      </w:pPr>
      <w:r>
        <w:t xml:space="preserve">Chan, K. L. R. (2021). 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 G., &amp; Pisoni, D. B. (2004). Effects of talker variability on perceptual learning of dialects.</w:t>
      </w:r>
      <w:r>
        <w:t xml:space="preserve"> </w:t>
      </w:r>
      <w:r>
        <w:rPr>
          <w:i/>
          <w:iCs/>
        </w:rPr>
        <w:t xml:space="preserve">Language and Speech</w:t>
      </w:r>
      <w:r>
        <w:t xml:space="preserve">,</w:t>
      </w:r>
      <w:r>
        <w:t xml:space="preserve"> </w:t>
      </w:r>
      <w:r>
        <w:rPr>
          <w:i/>
          <w:iCs/>
        </w:rPr>
        <w:t xml:space="preserve">47</w:t>
      </w:r>
      <w:r>
        <w:t xml:space="preserve">(3), 207–238.</w:t>
      </w:r>
    </w:p>
    <w:bookmarkEnd w:id="94"/>
    <w:bookmarkStart w:id="96" w:name="ref-craik_recognition_2015"/>
    <w:p>
      <w:pPr>
        <w:pStyle w:val="Bibliography"/>
      </w:pPr>
      <w:r>
        <w:t xml:space="preserve">Craik, F. I. M., Rose, N. S., &amp; Gopie, N. (2015). 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w:t>
      </w:r>
      <w:r>
        <w:t xml:space="preserve"> </w:t>
      </w:r>
      <w:r>
        <w:rPr>
          <w:i/>
          <w:iCs/>
        </w:rPr>
        <w:t xml:space="preserve">41</w:t>
      </w:r>
      <w:r>
        <w:t xml:space="preserve">(5), 1271–1281.</w:t>
      </w:r>
      <w:r>
        <w:t xml:space="preserve"> </w:t>
      </w:r>
      <w:hyperlink r:id="rId95">
        <w:r>
          <w:rPr>
            <w:rStyle w:val="Hyperlink"/>
          </w:rPr>
          <w:t xml:space="preserve">https://doi.org/10.1037/xlm0000137</w:t>
        </w:r>
      </w:hyperlink>
    </w:p>
    <w:bookmarkEnd w:id="96"/>
    <w:bookmarkStart w:id="97" w:name="ref-cramer2021"/>
    <w:p>
      <w:pPr>
        <w:pStyle w:val="Bibliography"/>
      </w:pPr>
      <w:r>
        <w:t xml:space="preserve">Cramer, J. (2021). Mental maps and perceptual dialectology.</w:t>
      </w:r>
      <w:r>
        <w:t xml:space="preserve"> </w:t>
      </w:r>
      <w:r>
        <w:rPr>
          <w:i/>
          <w:iCs/>
        </w:rPr>
        <w:t xml:space="preserve">Language and Linguistics Compass</w:t>
      </w:r>
      <w:r>
        <w:t xml:space="preserve">,</w:t>
      </w:r>
      <w:r>
        <w:t xml:space="preserve"> </w:t>
      </w:r>
      <w:r>
        <w:rPr>
          <w:i/>
          <w:iCs/>
        </w:rPr>
        <w:t xml:space="preserve">15</w:t>
      </w:r>
      <w:r>
        <w:t xml:space="preserve">(2), e12405.</w:t>
      </w:r>
    </w:p>
    <w:bookmarkEnd w:id="97"/>
    <w:bookmarkStart w:id="98" w:name="ref-Donofrio2018"/>
    <w:p>
      <w:pPr>
        <w:pStyle w:val="Bibliography"/>
      </w:pPr>
      <w:r>
        <w:t xml:space="preserve">D’Onofrio, A. (2018). Controlled and automatic perceptions of a sociolinguistic marker.</w:t>
      </w:r>
      <w:r>
        <w:t xml:space="preserve"> </w:t>
      </w:r>
      <w:r>
        <w:rPr>
          <w:i/>
          <w:iCs/>
        </w:rPr>
        <w:t xml:space="preserve">Language Variation and Change</w:t>
      </w:r>
      <w:r>
        <w:t xml:space="preserve">,</w:t>
      </w:r>
      <w:r>
        <w:t xml:space="preserve"> </w:t>
      </w:r>
      <w:r>
        <w:rPr>
          <w:i/>
          <w:iCs/>
        </w:rPr>
        <w:t xml:space="preserve">30</w:t>
      </w:r>
      <w:r>
        <w:t xml:space="preserve">(2), 261–285.</w:t>
      </w:r>
    </w:p>
    <w:bookmarkEnd w:id="98"/>
    <w:bookmarkStart w:id="100" w:name="ref-donofrio2020"/>
    <w:p>
      <w:pPr>
        <w:pStyle w:val="Bibliography"/>
      </w:pPr>
      <w:r>
        <w:t xml:space="preserve">D’Onofrio, A. (2020). Personae in sociolinguistic variation.</w:t>
      </w:r>
      <w:r>
        <w:t xml:space="preserve"> </w:t>
      </w:r>
      <w:r>
        <w:rPr>
          <w:i/>
          <w:iCs/>
        </w:rPr>
        <w:t xml:space="preserve">WIREs Cognitive Science</w:t>
      </w:r>
      <w:r>
        <w:t xml:space="preserve">,</w:t>
      </w:r>
      <w:r>
        <w:t xml:space="preserve"> </w:t>
      </w:r>
      <w:r>
        <w:rPr>
          <w:i/>
          <w:iCs/>
        </w:rPr>
        <w:t xml:space="preserve">11</w:t>
      </w:r>
      <w:r>
        <w:t xml:space="preserve">(6), e1543.</w:t>
      </w:r>
      <w:r>
        <w:t xml:space="preserve"> </w:t>
      </w:r>
      <w:hyperlink r:id="rId99">
        <w:r>
          <w:rPr>
            <w:rStyle w:val="Hyperlink"/>
          </w:rPr>
          <w:t xml:space="preserve">https://doi.org/10.1002/wcs.1543</w:t>
        </w:r>
      </w:hyperlink>
    </w:p>
    <w:bookmarkEnd w:id="100"/>
    <w:bookmarkStart w:id="101" w:name="ref-donofrio2021"/>
    <w:p>
      <w:pPr>
        <w:pStyle w:val="Bibliography"/>
      </w:pPr>
      <w:r>
        <w:t xml:space="preserve">D’Onofrio, A. (2021). Sociolinguistic signs as cognitive representations.</w:t>
      </w:r>
      <w:r>
        <w:t xml:space="preserve"> </w:t>
      </w:r>
      <w:r>
        <w:rPr>
          <w:i/>
          <w:iCs/>
        </w:rPr>
        <w:t xml:space="preserve">Social Meaning in Linguistic Variation: Theorizing the Third Wave</w:t>
      </w:r>
      <w:r>
        <w:t xml:space="preserve">, 153–175.</w:t>
      </w:r>
    </w:p>
    <w:bookmarkEnd w:id="101"/>
    <w:bookmarkStart w:id="102" w:name="ref-daniel2007"/>
    <w:p>
      <w:pPr>
        <w:pStyle w:val="Bibliography"/>
      </w:pPr>
      <w:r>
        <w:t xml:space="preserve">Daniel, M. M., Lorenzi, M. C., Costa Leite, C. da, &amp; Lorenzi-Filho, G. (2007). Pharyngeal dimensions in healthy men and women.</w:t>
      </w:r>
      <w:r>
        <w:t xml:space="preserve"> </w:t>
      </w:r>
      <w:r>
        <w:rPr>
          <w:i/>
          <w:iCs/>
        </w:rPr>
        <w:t xml:space="preserve">Clinics</w:t>
      </w:r>
      <w:r>
        <w:t xml:space="preserve">,</w:t>
      </w:r>
      <w:r>
        <w:t xml:space="preserve"> </w:t>
      </w:r>
      <w:r>
        <w:rPr>
          <w:i/>
          <w:iCs/>
        </w:rPr>
        <w:t xml:space="preserve">62</w:t>
      </w:r>
      <w:r>
        <w:t xml:space="preserve">(1), 5–10.</w:t>
      </w:r>
    </w:p>
    <w:bookmarkEnd w:id="102"/>
    <w:bookmarkStart w:id="104" w:name="ref-dehaene_towards_2001"/>
    <w:p>
      <w:pPr>
        <w:pStyle w:val="Bibliography"/>
      </w:pPr>
      <w:r>
        <w:t xml:space="preserve">Dehaene, S., &amp; Naccache, L. (2001). Towards a cognitive neuroscience of consciousness: Basic evidence and a workspace framework.</w:t>
      </w:r>
      <w:r>
        <w:t xml:space="preserve"> </w:t>
      </w:r>
      <w:r>
        <w:rPr>
          <w:i/>
          <w:iCs/>
        </w:rPr>
        <w:t xml:space="preserve">Cognition</w:t>
      </w:r>
      <w:r>
        <w:t xml:space="preserve">,</w:t>
      </w:r>
      <w:r>
        <w:t xml:space="preserve"> </w:t>
      </w:r>
      <w:r>
        <w:rPr>
          <w:i/>
          <w:iCs/>
        </w:rPr>
        <w:t xml:space="preserve">79</w:t>
      </w:r>
      <w:r>
        <w:t xml:space="preserve">(1-2), 1–37.</w:t>
      </w:r>
      <w:r>
        <w:t xml:space="preserve"> </w:t>
      </w:r>
      <w:hyperlink r:id="rId103">
        <w:r>
          <w:rPr>
            <w:rStyle w:val="Hyperlink"/>
          </w:rPr>
          <w:t xml:space="preserve">https://doi.org/10.1016/s0010-0277(00)00123-2</w:t>
        </w:r>
      </w:hyperlink>
    </w:p>
    <w:bookmarkEnd w:id="104"/>
    <w:bookmarkStart w:id="105" w:name="ref-Drager2010b"/>
    <w:p>
      <w:pPr>
        <w:pStyle w:val="Bibliography"/>
      </w:pPr>
      <w:r>
        <w:t xml:space="preserve">Drager, K. (2010). Sensitivity to grammatical and sociophonetic variability in perception.</w:t>
      </w:r>
      <w:r>
        <w:t xml:space="preserve"> </w:t>
      </w:r>
      <w:r>
        <w:rPr>
          <w:i/>
          <w:iCs/>
        </w:rPr>
        <w:t xml:space="preserve">Laboratory Phonology</w:t>
      </w:r>
      <w:r>
        <w:t xml:space="preserve">,</w:t>
      </w:r>
      <w:r>
        <w:t xml:space="preserve"> </w:t>
      </w:r>
      <w:r>
        <w:rPr>
          <w:i/>
          <w:iCs/>
        </w:rPr>
        <w:t xml:space="preserve">1</w:t>
      </w:r>
      <w:r>
        <w:t xml:space="preserve">(1), 93–120.</w:t>
      </w:r>
    </w:p>
    <w:bookmarkEnd w:id="105"/>
    <w:bookmarkStart w:id="106" w:name="ref-drager2013"/>
    <w:p>
      <w:pPr>
        <w:pStyle w:val="Bibliography"/>
      </w:pPr>
      <w:r>
        <w:t xml:space="preserve">Drager, K. (2013). Experimental methods in sociolinguistics. In J. Holmes &amp; K. Hazen (Eds.),</w:t>
      </w:r>
      <w:r>
        <w:t xml:space="preserve"> </w:t>
      </w:r>
      <w:r>
        <w:rPr>
          <w:i/>
          <w:iCs/>
        </w:rPr>
        <w:t xml:space="preserve">Research methods in sociolinguistics: A practical guide</w:t>
      </w:r>
      <w:r>
        <w:t xml:space="preserve"> </w:t>
      </w:r>
      <w:r>
        <w:t xml:space="preserve">(pp. 58–73). Wiley Blackwell.</w:t>
      </w:r>
    </w:p>
    <w:bookmarkEnd w:id="106"/>
    <w:bookmarkStart w:id="107" w:name="ref-drager2016a"/>
    <w:p>
      <w:pPr>
        <w:pStyle w:val="Bibliography"/>
      </w:pPr>
      <w:r>
        <w:t xml:space="preserve">Drager, K., &amp; Kirtley, J. (2016a). Awareness, salience, and stereotypes in exemplar-based models of speech production and perception. In A. M. Babel (Ed.),</w:t>
      </w:r>
      <w:r>
        <w:t xml:space="preserve"> </w:t>
      </w:r>
      <w:r>
        <w:rPr>
          <w:i/>
          <w:iCs/>
        </w:rPr>
        <w:t xml:space="preserve">Awareness and control in sociolinguistic research</w:t>
      </w:r>
      <w:r>
        <w:t xml:space="preserve">. Cambridge University Press.</w:t>
      </w:r>
    </w:p>
    <w:bookmarkEnd w:id="107"/>
    <w:bookmarkStart w:id="108" w:name="ref-DragerKirtley2016"/>
    <w:p>
      <w:pPr>
        <w:pStyle w:val="Bibliography"/>
      </w:pPr>
      <w:r>
        <w:t xml:space="preserve">Drager, K., &amp; Kirtley, J. (2016b). Awareness, salience, and stereotypes in exemplar-based models of speech production and perception. In A. M. Babel (Ed.),</w:t>
      </w:r>
      <w:r>
        <w:t xml:space="preserve"> </w:t>
      </w:r>
      <w:r>
        <w:rPr>
          <w:i/>
          <w:iCs/>
        </w:rPr>
        <w:t xml:space="preserve">Awareness and control in sociolinguistic research</w:t>
      </w:r>
      <w:r>
        <w:t xml:space="preserve">. Cambridge University Press.</w:t>
      </w:r>
    </w:p>
    <w:bookmarkEnd w:id="108"/>
    <w:bookmarkStart w:id="109" w:name="ref-eckert2012"/>
    <w:p>
      <w:pPr>
        <w:pStyle w:val="Bibliography"/>
      </w:pPr>
      <w:r>
        <w:t xml:space="preserve">Eckert, P. (2012). 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w:t>
      </w:r>
      <w:r>
        <w:t xml:space="preserve"> </w:t>
      </w:r>
      <w:r>
        <w:rPr>
          <w:i/>
          <w:iCs/>
        </w:rPr>
        <w:t xml:space="preserve">41</w:t>
      </w:r>
      <w:r>
        <w:t xml:space="preserve">(1), 87–100.</w:t>
      </w:r>
    </w:p>
    <w:bookmarkEnd w:id="109"/>
    <w:bookmarkStart w:id="110" w:name="ref-eckertPodesva2021"/>
    <w:p>
      <w:pPr>
        <w:pStyle w:val="Bibliography"/>
      </w:pPr>
      <w:r>
        <w:t xml:space="preserve">Eckert, P., &amp; Podesva, R. J. (2021). Non-binary approaches to gender and sexuality.</w:t>
      </w:r>
      <w:r>
        <w:t xml:space="preserve"> </w:t>
      </w:r>
      <w:r>
        <w:rPr>
          <w:i/>
          <w:iCs/>
        </w:rPr>
        <w:t xml:space="preserve">The Routledge Handbook of Language, Gender, and Sexuality</w:t>
      </w:r>
      <w:r>
        <w:t xml:space="preserve">, 25–36.</w:t>
      </w:r>
    </w:p>
    <w:bookmarkEnd w:id="110"/>
    <w:bookmarkStart w:id="111" w:name="ref-evans2008"/>
    <w:p>
      <w:pPr>
        <w:pStyle w:val="Bibliography"/>
      </w:pPr>
      <w:r>
        <w:t xml:space="preserve">Evans, J. S. B. (2008). Dual-processing accounts of reasoning, judgment, and social cognition.</w:t>
      </w:r>
      <w:r>
        <w:t xml:space="preserve"> </w:t>
      </w:r>
      <w:r>
        <w:rPr>
          <w:i/>
          <w:iCs/>
        </w:rPr>
        <w:t xml:space="preserve">Annu. Rev. Psychol.</w:t>
      </w:r>
      <w:r>
        <w:t xml:space="preserve">,</w:t>
      </w:r>
      <w:r>
        <w:t xml:space="preserve"> </w:t>
      </w:r>
      <w:r>
        <w:rPr>
          <w:i/>
          <w:iCs/>
        </w:rPr>
        <w:t xml:space="preserve">59</w:t>
      </w:r>
      <w:r>
        <w:t xml:space="preserve">, 255–278.</w:t>
      </w:r>
    </w:p>
    <w:bookmarkEnd w:id="111"/>
    <w:bookmarkStart w:id="112" w:name="ref-fant1960"/>
    <w:p>
      <w:pPr>
        <w:pStyle w:val="Bibliography"/>
      </w:pPr>
      <w:r>
        <w:t xml:space="preserve">Fant, G. (1960).</w:t>
      </w:r>
      <w:r>
        <w:t xml:space="preserve"> </w:t>
      </w:r>
      <w:r>
        <w:rPr>
          <w:i/>
          <w:iCs/>
        </w:rPr>
        <w:t xml:space="preserve">Acoustic theory of speech production</w:t>
      </w:r>
      <w:r>
        <w:t xml:space="preserve">. Mouton.</w:t>
      </w:r>
    </w:p>
    <w:bookmarkEnd w:id="112"/>
    <w:bookmarkStart w:id="113" w:name="ref-foulkesDocherty2006"/>
    <w:p>
      <w:pPr>
        <w:pStyle w:val="Bibliography"/>
      </w:pPr>
      <w:r>
        <w:t xml:space="preserve">Foulkes, P., &amp; Docherty, G. (2006). The social life of phonetics and phonology.</w:t>
      </w:r>
      <w:r>
        <w:t xml:space="preserve"> </w:t>
      </w:r>
      <w:r>
        <w:rPr>
          <w:i/>
          <w:iCs/>
        </w:rPr>
        <w:t xml:space="preserve">Journal of Phonetics</w:t>
      </w:r>
      <w:r>
        <w:t xml:space="preserve">,</w:t>
      </w:r>
      <w:r>
        <w:t xml:space="preserve"> </w:t>
      </w:r>
      <w:r>
        <w:rPr>
          <w:i/>
          <w:iCs/>
        </w:rPr>
        <w:t xml:space="preserve">34</w:t>
      </w:r>
      <w:r>
        <w:t xml:space="preserve">, 409–438.</w:t>
      </w:r>
    </w:p>
    <w:bookmarkEnd w:id="113"/>
    <w:bookmarkStart w:id="114" w:name="ref-Fowler1986"/>
    <w:p>
      <w:pPr>
        <w:pStyle w:val="Bibliography"/>
      </w:pPr>
      <w:r>
        <w:t xml:space="preserve">Fowler, C. A. (1986). An event approach to the study of speech perception from a direct— realist perspective.</w:t>
      </w:r>
      <w:r>
        <w:t xml:space="preserve"> </w:t>
      </w:r>
      <w:r>
        <w:rPr>
          <w:i/>
          <w:iCs/>
        </w:rPr>
        <w:t xml:space="preserve">Journal of Phonetics</w:t>
      </w:r>
      <w:r>
        <w:t xml:space="preserve">,</w:t>
      </w:r>
      <w:r>
        <w:t xml:space="preserve"> </w:t>
      </w:r>
      <w:r>
        <w:rPr>
          <w:i/>
          <w:iCs/>
        </w:rPr>
        <w:t xml:space="preserve">14</w:t>
      </w:r>
      <w:r>
        <w:t xml:space="preserve">, 3–28.</w:t>
      </w:r>
    </w:p>
    <w:bookmarkEnd w:id="114"/>
    <w:bookmarkStart w:id="115" w:name="ref-fuchsToda2010"/>
    <w:p>
      <w:pPr>
        <w:pStyle w:val="Bibliography"/>
      </w:pPr>
      <w:r>
        <w:t xml:space="preserve">Fuchs, S., &amp; Toda, M. (2010). Do differences in male versus female /s/ reflect biological or sociophonetic factors.</w:t>
      </w:r>
      <w:r>
        <w:t xml:space="preserve"> </w:t>
      </w:r>
      <w:r>
        <w:rPr>
          <w:i/>
          <w:iCs/>
        </w:rPr>
        <w:t xml:space="preserve">Turbulent Sounds: An Interdisciplinary Guide</w:t>
      </w:r>
      <w:r>
        <w:t xml:space="preserve">,</w:t>
      </w:r>
      <w:r>
        <w:t xml:space="preserve"> </w:t>
      </w:r>
      <w:r>
        <w:rPr>
          <w:i/>
          <w:iCs/>
        </w:rPr>
        <w:t xml:space="preserve">21</w:t>
      </w:r>
      <w:r>
        <w:t xml:space="preserve">, 281–302.</w:t>
      </w:r>
    </w:p>
    <w:bookmarkEnd w:id="115"/>
    <w:bookmarkStart w:id="116" w:name="ref-Ganong1980"/>
    <w:p>
      <w:pPr>
        <w:pStyle w:val="Bibliography"/>
      </w:pPr>
      <w:r>
        <w:t xml:space="preserve">Ganong, W. F. (1980). Phonetic categorization in auditory word perception.</w:t>
      </w:r>
      <w:r>
        <w:t xml:space="preserve"> </w:t>
      </w:r>
      <w:r>
        <w:rPr>
          <w:i/>
          <w:iCs/>
        </w:rPr>
        <w:t xml:space="preserve">Journal of Experimental Psychology: Human Perception and Performance</w:t>
      </w:r>
      <w:r>
        <w:t xml:space="preserve">,</w:t>
      </w:r>
      <w:r>
        <w:t xml:space="preserve"> </w:t>
      </w:r>
      <w:r>
        <w:rPr>
          <w:i/>
          <w:iCs/>
        </w:rPr>
        <w:t xml:space="preserve">6</w:t>
      </w:r>
      <w:r>
        <w:t xml:space="preserve">, 110–125.</w:t>
      </w:r>
    </w:p>
    <w:bookmarkEnd w:id="116"/>
    <w:bookmarkStart w:id="117" w:name="ref-gaskell2002representation"/>
    <w:p>
      <w:pPr>
        <w:pStyle w:val="Bibliography"/>
      </w:pPr>
      <w:r>
        <w:t xml:space="preserve">Gaskell, M. G., &amp; Marslen-Wilson, W. D. (2002). Representation and competition in the perception of spoken words.</w:t>
      </w:r>
      <w:r>
        <w:t xml:space="preserve"> </w:t>
      </w:r>
      <w:r>
        <w:rPr>
          <w:i/>
          <w:iCs/>
        </w:rPr>
        <w:t xml:space="preserve">Cognitive Psychology</w:t>
      </w:r>
      <w:r>
        <w:t xml:space="preserve">,</w:t>
      </w:r>
      <w:r>
        <w:t xml:space="preserve"> </w:t>
      </w:r>
      <w:r>
        <w:rPr>
          <w:i/>
          <w:iCs/>
        </w:rPr>
        <w:t xml:space="preserve">45</w:t>
      </w:r>
      <w:r>
        <w:t xml:space="preserve">(2), 220–266.</w:t>
      </w:r>
    </w:p>
    <w:bookmarkEnd w:id="117"/>
    <w:bookmarkStart w:id="118" w:name="ref-giles1970"/>
    <w:p>
      <w:pPr>
        <w:pStyle w:val="Bibliography"/>
      </w:pPr>
      <w:r>
        <w:t xml:space="preserve">Giles, H. (1970). Evaluative reactions to accents.</w:t>
      </w:r>
      <w:r>
        <w:t xml:space="preserve"> </w:t>
      </w:r>
      <w:r>
        <w:rPr>
          <w:i/>
          <w:iCs/>
        </w:rPr>
        <w:t xml:space="preserve">Educational Review</w:t>
      </w:r>
      <w:r>
        <w:t xml:space="preserve">,</w:t>
      </w:r>
      <w:r>
        <w:t xml:space="preserve"> </w:t>
      </w:r>
      <w:r>
        <w:rPr>
          <w:i/>
          <w:iCs/>
        </w:rPr>
        <w:t xml:space="preserve">22</w:t>
      </w:r>
      <w:r>
        <w:t xml:space="preserve">(3), 211–227.</w:t>
      </w:r>
    </w:p>
    <w:bookmarkEnd w:id="118"/>
    <w:bookmarkStart w:id="119" w:name="ref-gnevsheva2017"/>
    <w:p>
      <w:pPr>
        <w:pStyle w:val="Bibliography"/>
      </w:pPr>
      <w:r>
        <w:t xml:space="preserve">Gnevsheva, K. (2017). Within-speaker variation in passing for a native speaker.</w:t>
      </w:r>
      <w:r>
        <w:t xml:space="preserve"> </w:t>
      </w:r>
      <w:r>
        <w:rPr>
          <w:i/>
          <w:iCs/>
        </w:rPr>
        <w:t xml:space="preserve">International Journal of Bilingualism</w:t>
      </w:r>
      <w:r>
        <w:t xml:space="preserve">,</w:t>
      </w:r>
      <w:r>
        <w:t xml:space="preserve"> </w:t>
      </w:r>
      <w:r>
        <w:rPr>
          <w:i/>
          <w:iCs/>
        </w:rPr>
        <w:t xml:space="preserve">21</w:t>
      </w:r>
      <w:r>
        <w:t xml:space="preserve">(2), 213–227.</w:t>
      </w:r>
    </w:p>
    <w:bookmarkEnd w:id="119"/>
    <w:bookmarkStart w:id="120" w:name="ref-Goldinger1998"/>
    <w:p>
      <w:pPr>
        <w:pStyle w:val="Bibliography"/>
      </w:pPr>
      <w:r>
        <w:t xml:space="preserve">Goldinger, S. D. (1998). Echoes of echoes? An episodic theory of lexical access.</w:t>
      </w:r>
      <w:r>
        <w:t xml:space="preserve"> </w:t>
      </w:r>
      <w:r>
        <w:rPr>
          <w:i/>
          <w:iCs/>
        </w:rPr>
        <w:t xml:space="preserve">Psychological Review</w:t>
      </w:r>
      <w:r>
        <w:t xml:space="preserve">,</w:t>
      </w:r>
      <w:r>
        <w:t xml:space="preserve"> </w:t>
      </w:r>
      <w:r>
        <w:rPr>
          <w:i/>
          <w:iCs/>
        </w:rPr>
        <w:t xml:space="preserve">105</w:t>
      </w:r>
      <w:r>
        <w:t xml:space="preserve">(2), 251–279.</w:t>
      </w:r>
    </w:p>
    <w:bookmarkEnd w:id="120"/>
    <w:bookmarkStart w:id="121" w:name="ref-GreenEtAl1991"/>
    <w:p>
      <w:pPr>
        <w:pStyle w:val="Bibliography"/>
      </w:pPr>
      <w:r>
        <w:t xml:space="preserve">Green, K., Kuhl, P., Meltzoff, A., &amp; Stevens, E. (1991). Integrating speech information across talkers, gender, and sensory modality: Female faces and male voices in the McGurk effect.</w:t>
      </w:r>
      <w:r>
        <w:t xml:space="preserve"> </w:t>
      </w:r>
      <w:r>
        <w:rPr>
          <w:i/>
          <w:iCs/>
        </w:rPr>
        <w:t xml:space="preserve">Attention, Perception, &amp; Psychophysics</w:t>
      </w:r>
      <w:r>
        <w:t xml:space="preserve">,</w:t>
      </w:r>
      <w:r>
        <w:t xml:space="preserve"> </w:t>
      </w:r>
      <w:r>
        <w:rPr>
          <w:i/>
          <w:iCs/>
        </w:rPr>
        <w:t xml:space="preserve">50</w:t>
      </w:r>
      <w:r>
        <w:t xml:space="preserve">, 524–536.</w:t>
      </w:r>
    </w:p>
    <w:bookmarkEnd w:id="121"/>
    <w:bookmarkStart w:id="122" w:name="ref-hadodoIssue"/>
    <w:p>
      <w:pPr>
        <w:pStyle w:val="Bibliography"/>
      </w:pPr>
      <w:r>
        <w:t xml:space="preserve">Hadodo, M. (2025). Situating experience in social meaning: Ethnography, experiments and exemplars in the enregisterment of istanbul greek.</w:t>
      </w:r>
      <w:r>
        <w:t xml:space="preserve"> </w:t>
      </w:r>
      <w:r>
        <w:rPr>
          <w:i/>
          <w:iCs/>
        </w:rPr>
        <w:t xml:space="preserve">Journal of Sociolinguistics</w:t>
      </w:r>
      <w:r>
        <w:t xml:space="preserve">,</w:t>
      </w:r>
      <w:r>
        <w:t xml:space="preserve"> </w:t>
      </w:r>
      <w:r>
        <w:rPr>
          <w:i/>
          <w:iCs/>
        </w:rPr>
        <w:t xml:space="preserve">29</w:t>
      </w:r>
      <w:r>
        <w:t xml:space="preserve">(2).</w:t>
      </w:r>
    </w:p>
    <w:bookmarkEnd w:id="122"/>
    <w:bookmarkStart w:id="123" w:name="ref-hall2021language"/>
    <w:p>
      <w:pPr>
        <w:pStyle w:val="Bibliography"/>
      </w:pPr>
      <w:r>
        <w:t xml:space="preserve">Hall, K., Borba, R., &amp; Hiramoto, M. (2021). 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&amp; Drager, K. (2010). Stuffed toys and speech perception.</w:t>
      </w:r>
      <w:r>
        <w:t xml:space="preserve"> </w:t>
      </w:r>
      <w:r>
        <w:rPr>
          <w:i/>
          <w:iCs/>
        </w:rPr>
        <w:t xml:space="preserve">Linguistics</w:t>
      </w:r>
      <w:r>
        <w:t xml:space="preserve">,</w:t>
      </w:r>
      <w:r>
        <w:t xml:space="preserve"> </w:t>
      </w:r>
      <w:r>
        <w:rPr>
          <w:i/>
          <w:iCs/>
        </w:rPr>
        <w:t xml:space="preserve">48</w:t>
      </w:r>
      <w:r>
        <w:t xml:space="preserve">(4), 865–892.</w:t>
      </w:r>
    </w:p>
    <w:bookmarkEnd w:id="124"/>
    <w:bookmarkStart w:id="125" w:name="ref-haynolandrager2006"/>
    <w:p>
      <w:pPr>
        <w:pStyle w:val="Bibliography"/>
      </w:pPr>
      <w:r>
        <w:t xml:space="preserve">Hay, J., Nolan, A., &amp; Drager, K. (2006). From fush to feesh: Exemplar priming in speech perception.</w:t>
      </w:r>
      <w:r>
        <w:t xml:space="preserve"> </w:t>
      </w:r>
      <w:r>
        <w:rPr>
          <w:i/>
          <w:iCs/>
        </w:rPr>
        <w:t xml:space="preserve">The Linguistic Review</w:t>
      </w:r>
      <w:r>
        <w:t xml:space="preserve">,</w:t>
      </w:r>
      <w:r>
        <w:t xml:space="preserve"> </w:t>
      </w:r>
      <w:r>
        <w:rPr>
          <w:i/>
          <w:iCs/>
        </w:rPr>
        <w:t xml:space="preserve">23</w:t>
      </w:r>
      <w:r>
        <w:t xml:space="preserve">(3), 351–379.</w:t>
      </w:r>
    </w:p>
    <w:bookmarkEnd w:id="125"/>
    <w:bookmarkStart w:id="126" w:name="ref-haywarrendrager2006"/>
    <w:p>
      <w:pPr>
        <w:pStyle w:val="Bibliography"/>
      </w:pPr>
      <w:r>
        <w:t xml:space="preserve">Hay, J., Warren, P., &amp; Drager, K. (2006). Factors influencing speech perception in the context of a merger-in-progress.</w:t>
      </w:r>
      <w:r>
        <w:t xml:space="preserve"> </w:t>
      </w:r>
      <w:r>
        <w:rPr>
          <w:i/>
          <w:iCs/>
        </w:rPr>
        <w:t xml:space="preserve">Journal of Phonetics</w:t>
      </w:r>
      <w:r>
        <w:t xml:space="preserve">,</w:t>
      </w:r>
      <w:r>
        <w:t xml:space="preserve"> </w:t>
      </w:r>
      <w:r>
        <w:rPr>
          <w:i/>
          <w:iCs/>
        </w:rPr>
        <w:t xml:space="preserve">34</w:t>
      </w:r>
      <w:r>
        <w:t xml:space="preserve">(4), 458–484.</w:t>
      </w:r>
    </w:p>
    <w:bookmarkEnd w:id="126"/>
    <w:bookmarkStart w:id="127" w:name="ref-inoue2003"/>
    <w:p>
      <w:pPr>
        <w:pStyle w:val="Bibliography"/>
      </w:pPr>
      <w:r>
        <w:t xml:space="preserve">Inoue, M. (2003). 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w:t>
      </w:r>
      <w:r>
        <w:t xml:space="preserve"> </w:t>
      </w:r>
      <w:r>
        <w:rPr>
          <w:i/>
          <w:iCs/>
        </w:rPr>
        <w:t xml:space="preserve">23</w:t>
      </w:r>
      <w:r>
        <w:t xml:space="preserve">(3-4), 315–330.</w:t>
      </w:r>
    </w:p>
    <w:bookmarkEnd w:id="127"/>
    <w:bookmarkStart w:id="128" w:name="ref-johnson2005"/>
    <w:p>
      <w:pPr>
        <w:pStyle w:val="Bibliography"/>
      </w:pPr>
      <w:r>
        <w:t xml:space="preserve">Johnson, K. (2005). Speaker normalization in speech perception. In D. B. Pisoni &amp; R. Remez (Eds.),</w:t>
      </w:r>
      <w:r>
        <w:t xml:space="preserve"> </w:t>
      </w:r>
      <w:r>
        <w:rPr>
          <w:i/>
          <w:iCs/>
        </w:rPr>
        <w:t xml:space="preserve">The handbook of speech perception</w:t>
      </w:r>
      <w:r>
        <w:t xml:space="preserve"> </w:t>
      </w:r>
      <w:r>
        <w:t xml:space="preserve">(pp. 363–389).</w:t>
      </w:r>
    </w:p>
    <w:bookmarkEnd w:id="128"/>
    <w:bookmarkStart w:id="129" w:name="ref-Johnson2006"/>
    <w:p>
      <w:pPr>
        <w:pStyle w:val="Bibliography"/>
      </w:pPr>
      <w:r>
        <w:t xml:space="preserve">Johnson, K. (2006).</w:t>
      </w:r>
      <w:r>
        <w:t xml:space="preserve"> </w:t>
      </w:r>
      <w:r>
        <w:t xml:space="preserve">Resonance in an exemplar-based lexicon: The emergence of social identity and phonology.</w:t>
      </w:r>
      <w:r>
        <w:t xml:space="preserve"> </w:t>
      </w:r>
      <w:r>
        <w:rPr>
          <w:i/>
          <w:iCs/>
        </w:rPr>
        <w:t xml:space="preserve">Journal of Phonetics</w:t>
      </w:r>
      <w:r>
        <w:t xml:space="preserve">,</w:t>
      </w:r>
      <w:r>
        <w:t xml:space="preserve"> </w:t>
      </w:r>
      <w:r>
        <w:rPr>
          <w:i/>
          <w:iCs/>
        </w:rPr>
        <w:t xml:space="preserve">34</w:t>
      </w:r>
      <w:r>
        <w:t xml:space="preserve">, 485–499.</w:t>
      </w:r>
    </w:p>
    <w:bookmarkEnd w:id="129"/>
    <w:bookmarkStart w:id="130" w:name="ref-johnsonstranddimperio1999"/>
    <w:p>
      <w:pPr>
        <w:pStyle w:val="Bibliography"/>
      </w:pPr>
      <w:r>
        <w:t xml:space="preserve">Johnson, K., Strand, E. A., &amp; D’Imperio, M. (1999). Auditory–visual integration of talker gender in vowel perception.</w:t>
      </w:r>
      <w:r>
        <w:t xml:space="preserve"> </w:t>
      </w:r>
      <w:r>
        <w:rPr>
          <w:i/>
          <w:iCs/>
        </w:rPr>
        <w:t xml:space="preserve">Journal of Phonetics</w:t>
      </w:r>
      <w:r>
        <w:t xml:space="preserve">,</w:t>
      </w:r>
      <w:r>
        <w:t xml:space="preserve"> </w:t>
      </w:r>
      <w:r>
        <w:rPr>
          <w:i/>
          <w:iCs/>
        </w:rPr>
        <w:t xml:space="preserve">27</w:t>
      </w:r>
      <w:r>
        <w:t xml:space="preserve">(4), 359–384.</w:t>
      </w:r>
    </w:p>
    <w:bookmarkEnd w:id="130"/>
    <w:bookmarkStart w:id="131" w:name="ref-Joos1948"/>
    <w:p>
      <w:pPr>
        <w:pStyle w:val="Bibliography"/>
      </w:pPr>
      <w:r>
        <w:t xml:space="preserve">Joos, M. (1948). Acoustic phonetics.</w:t>
      </w:r>
      <w:r>
        <w:t xml:space="preserve"> </w:t>
      </w:r>
      <w:r>
        <w:rPr>
          <w:i/>
          <w:iCs/>
        </w:rPr>
        <w:t xml:space="preserve">Language</w:t>
      </w:r>
      <w:r>
        <w:t xml:space="preserve">,</w:t>
      </w:r>
      <w:r>
        <w:t xml:space="preserve"> </w:t>
      </w:r>
      <w:r>
        <w:rPr>
          <w:i/>
          <w:iCs/>
        </w:rPr>
        <w:t xml:space="preserve">24</w:t>
      </w:r>
      <w:r>
        <w:t xml:space="preserve">(2), 5–136.</w:t>
      </w:r>
    </w:p>
    <w:bookmarkEnd w:id="131"/>
    <w:bookmarkStart w:id="132" w:name="ref-kang2013"/>
    <w:p>
      <w:pPr>
        <w:pStyle w:val="Bibliography"/>
      </w:pPr>
      <w:r>
        <w:t xml:space="preserve">Käng, D. B. (2013). Conceptualizing thai genderscapes: Transformation and continuity in the thai sex/gender system. In</w:t>
      </w:r>
      <w:r>
        <w:t xml:space="preserve"> </w:t>
      </w:r>
      <w:r>
        <w:rPr>
          <w:i/>
          <w:iCs/>
        </w:rPr>
        <w:t xml:space="preserve">Contemporary socio-cultural and political perspectives in thailand</w:t>
      </w:r>
      <w:r>
        <w:t xml:space="preserve"> </w:t>
      </w:r>
      <w:r>
        <w:t xml:space="preserve">(pp. 409–429). Springer.</w:t>
      </w:r>
    </w:p>
    <w:bookmarkEnd w:id="132"/>
    <w:bookmarkStart w:id="133" w:name="ref-king2021"/>
    <w:p>
      <w:pPr>
        <w:pStyle w:val="Bibliography"/>
      </w:pPr>
      <w:r>
        <w:t xml:space="preserve">King, E. T. (2021).</w:t>
      </w:r>
      <w:r>
        <w:t xml:space="preserve"> </w:t>
      </w:r>
      <w:r>
        <w:rPr>
          <w:i/>
          <w:iCs/>
        </w:rPr>
        <w:t xml:space="preserve">Speaker and group specificity in spoken word recognition</w:t>
      </w:r>
      <w:r>
        <w:t xml:space="preserve"> </w:t>
      </w:r>
      <w:r>
        <w:t xml:space="preserve">[PhD thesis]. Stanford University.</w:t>
      </w:r>
    </w:p>
    <w:bookmarkEnd w:id="133"/>
    <w:bookmarkStart w:id="134" w:name="ref-kristiansen2009"/>
    <w:p>
      <w:pPr>
        <w:pStyle w:val="Bibliography"/>
      </w:pPr>
      <w:r>
        <w:t xml:space="preserve">Kristiansen, T. (2009). The macro-level social meanings of late-modern danish accents.</w:t>
      </w:r>
      <w:r>
        <w:t xml:space="preserve"> </w:t>
      </w:r>
      <w:r>
        <w:rPr>
          <w:i/>
          <w:iCs/>
        </w:rPr>
        <w:t xml:space="preserve">Acta Linguistica Hafniensia</w:t>
      </w:r>
      <w:r>
        <w:t xml:space="preserve">,</w:t>
      </w:r>
      <w:r>
        <w:t xml:space="preserve"> </w:t>
      </w:r>
      <w:r>
        <w:rPr>
          <w:i/>
          <w:iCs/>
        </w:rPr>
        <w:t xml:space="preserve">41</w:t>
      </w:r>
      <w:r>
        <w:t xml:space="preserve">(1), 167–192.</w:t>
      </w:r>
    </w:p>
    <w:bookmarkEnd w:id="134"/>
    <w:bookmarkStart w:id="135" w:name="ref-labovEtAl2011"/>
    <w:p>
      <w:pPr>
        <w:pStyle w:val="Bibliography"/>
      </w:pPr>
      <w:r>
        <w:t xml:space="preserve">Labov, W., Ash, S., Ravindranath, M., Weldon, T., Baranowski, M., &amp; Nagy, N. (2011). Properties of the sociolinguistic monitor.</w:t>
      </w:r>
      <w:r>
        <w:t xml:space="preserve"> </w:t>
      </w:r>
      <w:r>
        <w:rPr>
          <w:i/>
          <w:iCs/>
        </w:rPr>
        <w:t xml:space="preserve">Journal of Sociolinguistics</w:t>
      </w:r>
      <w:r>
        <w:t xml:space="preserve">,</w:t>
      </w:r>
      <w:r>
        <w:t xml:space="preserve"> </w:t>
      </w:r>
      <w:r>
        <w:rPr>
          <w:i/>
          <w:iCs/>
        </w:rPr>
        <w:t xml:space="preserve">15</w:t>
      </w:r>
      <w:r>
        <w:t xml:space="preserve">(4), 431–463.</w:t>
      </w:r>
    </w:p>
    <w:bookmarkEnd w:id="135"/>
    <w:bookmarkStart w:id="136" w:name="ref-lambertEtAl1960"/>
    <w:p>
      <w:pPr>
        <w:pStyle w:val="Bibliography"/>
      </w:pPr>
      <w:r>
        <w:t xml:space="preserve">Lambert, W. E., Hodgson, R. C., Gardner, R. C., &amp; Fillenbaum, S. (1960). Evaluational reactions to spoken languages.</w:t>
      </w:r>
      <w:r>
        <w:t xml:space="preserve"> </w:t>
      </w:r>
      <w:r>
        <w:rPr>
          <w:i/>
          <w:iCs/>
        </w:rPr>
        <w:t xml:space="preserve">The Journal of Abnormal and Social Psychology</w:t>
      </w:r>
      <w:r>
        <w:t xml:space="preserve">,</w:t>
      </w:r>
      <w:r>
        <w:t xml:space="preserve"> </w:t>
      </w:r>
      <w:r>
        <w:rPr>
          <w:i/>
          <w:iCs/>
        </w:rPr>
        <w:t xml:space="preserve">60</w:t>
      </w:r>
      <w:r>
        <w:t xml:space="preserve">(1), 44.</w:t>
      </w:r>
    </w:p>
    <w:bookmarkEnd w:id="136"/>
    <w:bookmarkStart w:id="138" w:name="ref-JATOS"/>
    <w:p>
      <w:pPr>
        <w:pStyle w:val="Bibliography"/>
      </w:pPr>
      <w:r>
        <w:t xml:space="preserve">Lange, K., Kuhn, S., &amp; Filevich, E. (2015). "Just another tool for online studies” (JATOS): An easy solution for setup and management of web servers supporting online studies.</w:t>
      </w:r>
      <w:r>
        <w:t xml:space="preserve"> </w:t>
      </w:r>
      <w:r>
        <w:rPr>
          <w:i/>
          <w:iCs/>
        </w:rPr>
        <w:t xml:space="preserve">PLOS ONE</w:t>
      </w:r>
      <w:r>
        <w:t xml:space="preserve">,</w:t>
      </w:r>
      <w:r>
        <w:t xml:space="preserve"> </w:t>
      </w:r>
      <w:r>
        <w:rPr>
          <w:i/>
          <w:iCs/>
        </w:rPr>
        <w:t xml:space="preserve">10</w:t>
      </w:r>
      <w:r>
        <w:t xml:space="preserve">(6), 1–14.</w:t>
      </w:r>
      <w:r>
        <w:t xml:space="preserve"> </w:t>
      </w:r>
      <w:hyperlink r:id="rId137">
        <w:r>
          <w:rPr>
            <w:rStyle w:val="Hyperlink"/>
          </w:rPr>
          <w:t xml:space="preserve">https://doi.org/10.1371/journal.pone.0130834</w:t>
        </w:r>
      </w:hyperlink>
    </w:p>
    <w:bookmarkEnd w:id="138"/>
    <w:bookmarkStart w:id="140" w:name="ref-laver1968"/>
    <w:p>
      <w:pPr>
        <w:pStyle w:val="Bibliography"/>
      </w:pPr>
      <w:r>
        <w:t xml:space="preserve">Laver, J. D. M. (1968). Voice quality and indexical information.</w:t>
      </w:r>
      <w:r>
        <w:t xml:space="preserve"> </w:t>
      </w:r>
      <w:r>
        <w:rPr>
          <w:i/>
          <w:iCs/>
        </w:rPr>
        <w:t xml:space="preserve">British Journal of Disorders of Communication</w:t>
      </w:r>
      <w:r>
        <w:t xml:space="preserve">,</w:t>
      </w:r>
      <w:r>
        <w:t xml:space="preserve"> </w:t>
      </w:r>
      <w:r>
        <w:rPr>
          <w:i/>
          <w:iCs/>
        </w:rPr>
        <w:t xml:space="preserve">3</w:t>
      </w:r>
      <w:r>
        <w:t xml:space="preserve">(1), 43–54.</w:t>
      </w:r>
      <w:r>
        <w:t xml:space="preserve"> </w:t>
      </w:r>
      <w:hyperlink r:id="rId139">
        <w:r>
          <w:rPr>
            <w:rStyle w:val="Hyperlink"/>
          </w:rPr>
          <w:t xml:space="preserve">https://doi.org/10.3109/13682826809011440</w:t>
        </w:r>
      </w:hyperlink>
    </w:p>
    <w:bookmarkEnd w:id="140"/>
    <w:bookmarkStart w:id="142" w:name="ref-levonFox2014"/>
    <w:p>
      <w:pPr>
        <w:pStyle w:val="Bibliography"/>
      </w:pPr>
      <w:r>
        <w:t xml:space="preserve">Levon, E., &amp; Fox, S. (2014). 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w:t>
      </w:r>
      <w:r>
        <w:t xml:space="preserve"> </w:t>
      </w:r>
      <w:r>
        <w:rPr>
          <w:i/>
          <w:iCs/>
        </w:rPr>
        <w:t xml:space="preserve">42</w:t>
      </w:r>
      <w:r>
        <w:t xml:space="preserve">(3), 185–217.</w:t>
      </w:r>
      <w:r>
        <w:t xml:space="preserve"> </w:t>
      </w:r>
      <w:hyperlink r:id="rId141">
        <w:r>
          <w:rPr>
            <w:rStyle w:val="Hyperlink"/>
          </w:rPr>
          <w:t xml:space="preserve">https://doi.org/10.1177/0075424214531487</w:t>
        </w:r>
      </w:hyperlink>
    </w:p>
    <w:bookmarkEnd w:id="142"/>
    <w:bookmarkStart w:id="143" w:name="ref-lisker1986"/>
    <w:p>
      <w:pPr>
        <w:pStyle w:val="Bibliography"/>
      </w:pPr>
      <w:r>
        <w:t xml:space="preserve">Lisker, L. (1986).</w:t>
      </w:r>
      <w:r>
        <w:t xml:space="preserve"> </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w:t>
      </w:r>
      <w:r>
        <w:t xml:space="preserve"> </w:t>
      </w:r>
      <w:r>
        <w:rPr>
          <w:i/>
          <w:iCs/>
        </w:rPr>
        <w:t xml:space="preserve">29</w:t>
      </w:r>
      <w:r>
        <w:t xml:space="preserve">(1), 3–11.</w:t>
      </w:r>
    </w:p>
    <w:bookmarkEnd w:id="143"/>
    <w:bookmarkStart w:id="144" w:name="ref-ChicagoFaceDatabase"/>
    <w:p>
      <w:pPr>
        <w:pStyle w:val="Bibliography"/>
      </w:pPr>
      <w:r>
        <w:t xml:space="preserve">Ma, D. S., Correll, J., &amp; Wittenbrink, B. (2015). The chicago face database: A free stimulus set of faces and norming data.</w:t>
      </w:r>
      <w:r>
        <w:t xml:space="preserve"> </w:t>
      </w:r>
      <w:r>
        <w:rPr>
          <w:i/>
          <w:iCs/>
        </w:rPr>
        <w:t xml:space="preserve">Behavior Research Methods</w:t>
      </w:r>
      <w:r>
        <w:t xml:space="preserve">,</w:t>
      </w:r>
      <w:r>
        <w:t xml:space="preserve"> </w:t>
      </w:r>
      <w:r>
        <w:rPr>
          <w:i/>
          <w:iCs/>
        </w:rPr>
        <w:t xml:space="preserve">47</w:t>
      </w:r>
      <w:r>
        <w:t xml:space="preserve">(4), 1122–1135.</w:t>
      </w:r>
    </w:p>
    <w:bookmarkEnd w:id="144"/>
    <w:bookmarkStart w:id="145" w:name="ref-mackMunson2012b"/>
    <w:p>
      <w:pPr>
        <w:pStyle w:val="Bibliography"/>
      </w:pPr>
      <w:r>
        <w:t xml:space="preserve">Mack, S., &amp; Munson, B. (2012a). The association between/s/quality and perceived sexual orientation of men’s voices: Implicit and explicit measures.</w:t>
      </w:r>
      <w:r>
        <w:t xml:space="preserve"> </w:t>
      </w:r>
      <w:r>
        <w:rPr>
          <w:i/>
          <w:iCs/>
        </w:rPr>
        <w:t xml:space="preserve">Journal of Phonetics</w:t>
      </w:r>
      <w:r>
        <w:t xml:space="preserve">,</w:t>
      </w:r>
      <w:r>
        <w:t xml:space="preserve"> </w:t>
      </w:r>
      <w:r>
        <w:rPr>
          <w:i/>
          <w:iCs/>
        </w:rPr>
        <w:t xml:space="preserve">40</w:t>
      </w:r>
      <w:r>
        <w:t xml:space="preserve">(1), 198–212.</w:t>
      </w:r>
    </w:p>
    <w:bookmarkEnd w:id="145"/>
    <w:bookmarkStart w:id="147" w:name="ref-mackmunson2012"/>
    <w:p>
      <w:pPr>
        <w:pStyle w:val="Bibliography"/>
      </w:pPr>
      <w:r>
        <w:t xml:space="preserve">Mack, S., &amp; Munson, B. (2012b). 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w:t>
      </w:r>
      <w:r>
        <w:t xml:space="preserve"> </w:t>
      </w:r>
      <w:r>
        <w:rPr>
          <w:i/>
          <w:iCs/>
        </w:rPr>
        <w:t xml:space="preserve">40</w:t>
      </w:r>
      <w:r>
        <w:t xml:space="preserve">(1), 198–212. https://doi.org/</w:t>
      </w:r>
      <w:hyperlink r:id="rId146">
        <w:r>
          <w:rPr>
            <w:rStyle w:val="Hyperlink"/>
          </w:rPr>
          <w:t xml:space="preserve">https://doi.org/10.1016/j.wocn.2011.10.002</w:t>
        </w:r>
      </w:hyperlink>
    </w:p>
    <w:bookmarkEnd w:id="147"/>
    <w:bookmarkStart w:id="148" w:name="ref-MannRepp1980"/>
    <w:p>
      <w:pPr>
        <w:pStyle w:val="Bibliography"/>
      </w:pPr>
      <w:r>
        <w:t xml:space="preserve">Mann, V. A., &amp; Repp, B. H. (1980). Influence of vocalic context on perception of the [∫]-[s] distinction.</w:t>
      </w:r>
      <w:r>
        <w:t xml:space="preserve"> </w:t>
      </w:r>
      <w:r>
        <w:rPr>
          <w:i/>
          <w:iCs/>
        </w:rPr>
        <w:t xml:space="preserve">Perception &amp; Psychophysics</w:t>
      </w:r>
      <w:r>
        <w:t xml:space="preserve">,</w:t>
      </w:r>
      <w:r>
        <w:t xml:space="preserve"> </w:t>
      </w:r>
      <w:r>
        <w:rPr>
          <w:i/>
          <w:iCs/>
        </w:rPr>
        <w:t xml:space="preserve">28</w:t>
      </w:r>
      <w:r>
        <w:t xml:space="preserve">(3), 213–228.</w:t>
      </w:r>
    </w:p>
    <w:bookmarkEnd w:id="148"/>
    <w:bookmarkStart w:id="149" w:name="ref-opensesame"/>
    <w:p>
      <w:pPr>
        <w:pStyle w:val="Bibliography"/>
      </w:pPr>
      <w:r>
        <w:t xml:space="preserve">Mathôt, S., Schreij, D., &amp; Theeuwes, J. (2012). Opensesame: An open-source, graphical experiment builder for the social sciences.</w:t>
      </w:r>
      <w:r>
        <w:t xml:space="preserve"> </w:t>
      </w:r>
      <w:r>
        <w:rPr>
          <w:i/>
          <w:iCs/>
        </w:rPr>
        <w:t xml:space="preserve">Behavior Research Methods</w:t>
      </w:r>
      <w:r>
        <w:t xml:space="preserve">,</w:t>
      </w:r>
      <w:r>
        <w:t xml:space="preserve"> </w:t>
      </w:r>
      <w:r>
        <w:rPr>
          <w:i/>
          <w:iCs/>
        </w:rPr>
        <w:t xml:space="preserve">44</w:t>
      </w:r>
      <w:r>
        <w:t xml:space="preserve">(2), 314–324.</w:t>
      </w:r>
    </w:p>
    <w:bookmarkEnd w:id="149"/>
    <w:bookmarkStart w:id="150" w:name="ref-may1976"/>
    <w:p>
      <w:pPr>
        <w:pStyle w:val="Bibliography"/>
      </w:pPr>
      <w:r>
        <w:t xml:space="preserve">May, J. (1976).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150"/>
    <w:bookmarkStart w:id="151" w:name="ref-McGowan2011"/>
    <w:p>
      <w:pPr>
        <w:pStyle w:val="Bibliography"/>
      </w:pPr>
      <w:r>
        <w:t xml:space="preserve">McGowan, K. B. (2011).</w:t>
      </w:r>
      <w:r>
        <w:t xml:space="preserve"> </w:t>
      </w:r>
      <w:r>
        <w:rPr>
          <w:i/>
          <w:iCs/>
        </w:rPr>
        <w:t xml:space="preserve">The role of socioindexical expectation in speech perception</w:t>
      </w:r>
      <w:r>
        <w:t xml:space="preserve"> </w:t>
      </w:r>
      <w:r>
        <w:t xml:space="preserve">[PhD thesis]. University of Michigan.</w:t>
      </w:r>
    </w:p>
    <w:bookmarkEnd w:id="151"/>
    <w:bookmarkStart w:id="152" w:name="ref-McGowan2015"/>
    <w:p>
      <w:pPr>
        <w:pStyle w:val="Bibliography"/>
      </w:pPr>
      <w:r>
        <w:t xml:space="preserve">McGowan, K. B. (2015). Social expectation improves speech perception in noise.</w:t>
      </w:r>
      <w:r>
        <w:t xml:space="preserve"> </w:t>
      </w:r>
      <w:r>
        <w:rPr>
          <w:i/>
          <w:iCs/>
        </w:rPr>
        <w:t xml:space="preserve">Language and Speech</w:t>
      </w:r>
      <w:r>
        <w:t xml:space="preserve">,</w:t>
      </w:r>
      <w:r>
        <w:t xml:space="preserve"> </w:t>
      </w:r>
      <w:r>
        <w:rPr>
          <w:i/>
          <w:iCs/>
        </w:rPr>
        <w:t xml:space="preserve">58</w:t>
      </w:r>
      <w:r>
        <w:t xml:space="preserve">(4), 502–521.</w:t>
      </w:r>
    </w:p>
    <w:bookmarkEnd w:id="152"/>
    <w:bookmarkStart w:id="153" w:name="ref-mcgowan2016"/>
    <w:p>
      <w:pPr>
        <w:pStyle w:val="Bibliography"/>
      </w:pPr>
      <w:r>
        <w:t xml:space="preserve">McGowan, K. B. (2016). Sounding chinese and listening chinese: Awareness and knowledge in the laboratory. In A. M. Babel (Ed.),</w:t>
      </w:r>
      <w:r>
        <w:t xml:space="preserve"> </w:t>
      </w:r>
      <w:r>
        <w:rPr>
          <w:i/>
          <w:iCs/>
        </w:rPr>
        <w:t xml:space="preserve">Awareness and control in sociolinguistic research</w:t>
      </w:r>
      <w:r>
        <w:t xml:space="preserve"> </w:t>
      </w:r>
      <w:r>
        <w:t xml:space="preserve">(pp. 25–61). Cambridge University Press Cambridge.</w:t>
      </w:r>
    </w:p>
    <w:bookmarkEnd w:id="153"/>
    <w:bookmarkStart w:id="154" w:name="ref-mcgowanBabel2020"/>
    <w:p>
      <w:pPr>
        <w:pStyle w:val="Bibliography"/>
      </w:pPr>
      <w:r>
        <w:t xml:space="preserve">McGowan, K. B., &amp; Babel, A. M. (2020). Perceiving isn’t believing: Divergence in levels of sociolinguistic awareness.</w:t>
      </w:r>
      <w:r>
        <w:t xml:space="preserve"> </w:t>
      </w:r>
      <w:r>
        <w:rPr>
          <w:i/>
          <w:iCs/>
        </w:rPr>
        <w:t xml:space="preserve">Language in Society</w:t>
      </w:r>
      <w:r>
        <w:t xml:space="preserve">,</w:t>
      </w:r>
      <w:r>
        <w:t xml:space="preserve"> </w:t>
      </w:r>
      <w:r>
        <w:rPr>
          <w:i/>
          <w:iCs/>
        </w:rPr>
        <w:t xml:space="preserve">49</w:t>
      </w:r>
      <w:r>
        <w:t xml:space="preserve">(2), 231–256.</w:t>
      </w:r>
    </w:p>
    <w:bookmarkEnd w:id="154"/>
    <w:bookmarkStart w:id="155" w:name="ref-McGurkMacDonald1976"/>
    <w:p>
      <w:pPr>
        <w:pStyle w:val="Bibliography"/>
      </w:pPr>
      <w:r>
        <w:t xml:space="preserve">McGurk, H., &amp; MacDonald, J. (1976). Hearing lips and seeing voices.</w:t>
      </w:r>
      <w:r>
        <w:t xml:space="preserve"> </w:t>
      </w:r>
      <w:r>
        <w:rPr>
          <w:i/>
          <w:iCs/>
        </w:rPr>
        <w:t xml:space="preserve">Nature</w:t>
      </w:r>
      <w:r>
        <w:t xml:space="preserve">,</w:t>
      </w:r>
      <w:r>
        <w:t xml:space="preserve"> </w:t>
      </w:r>
      <w:r>
        <w:rPr>
          <w:i/>
          <w:iCs/>
        </w:rPr>
        <w:t xml:space="preserve">264</w:t>
      </w:r>
      <w:r>
        <w:t xml:space="preserve">, 746–748.</w:t>
      </w:r>
    </w:p>
    <w:bookmarkEnd w:id="155"/>
    <w:bookmarkStart w:id="156" w:name="ref-milroyMcClenaghan1977"/>
    <w:p>
      <w:pPr>
        <w:pStyle w:val="Bibliography"/>
      </w:pPr>
      <w:r>
        <w:t xml:space="preserve">Milroy, L., &amp; McClenaghan, P. (1977). Stereotyped reactions to four educated accents in ulster.</w:t>
      </w:r>
      <w:r>
        <w:t xml:space="preserve"> </w:t>
      </w:r>
      <w:r>
        <w:rPr>
          <w:i/>
          <w:iCs/>
        </w:rPr>
        <w:t xml:space="preserve">Belfast Working Papers in Language and Linguistics</w:t>
      </w:r>
      <w:r>
        <w:t xml:space="preserve">,</w:t>
      </w:r>
      <w:r>
        <w:t xml:space="preserve"> </w:t>
      </w:r>
      <w:r>
        <w:rPr>
          <w:i/>
          <w:iCs/>
        </w:rPr>
        <w:t xml:space="preserve">2</w:t>
      </w:r>
      <w:r>
        <w:t xml:space="preserve">(4), 1–11.</w:t>
      </w:r>
    </w:p>
    <w:bookmarkEnd w:id="156"/>
    <w:bookmarkStart w:id="157" w:name="ref-munson2011"/>
    <w:p>
      <w:pPr>
        <w:pStyle w:val="Bibliography"/>
      </w:pPr>
      <w:r>
        <w:t xml:space="preserve">Munson, B. (2011). The influence of actual and imputed talker gender on fricative perception, revisited (l).</w:t>
      </w:r>
      <w:r>
        <w:t xml:space="preserve"> </w:t>
      </w:r>
      <w:r>
        <w:rPr>
          <w:i/>
          <w:iCs/>
        </w:rPr>
        <w:t xml:space="preserve">The Journal of the Acoustical Society of America</w:t>
      </w:r>
      <w:r>
        <w:t xml:space="preserve">,</w:t>
      </w:r>
      <w:r>
        <w:t xml:space="preserve"> </w:t>
      </w:r>
      <w:r>
        <w:rPr>
          <w:i/>
          <w:iCs/>
        </w:rPr>
        <w:t xml:space="preserve">130</w:t>
      </w:r>
      <w:r>
        <w:t xml:space="preserve">(5), 2631–2634.</w:t>
      </w:r>
    </w:p>
    <w:bookmarkEnd w:id="157"/>
    <w:bookmarkStart w:id="158" w:name="ref-Niedzielski1999"/>
    <w:p>
      <w:pPr>
        <w:pStyle w:val="Bibliography"/>
      </w:pPr>
      <w:r>
        <w:t xml:space="preserve">Niedzielski, N. (1999). The effect of social information on the perception of sociolinguistic variables.</w:t>
      </w:r>
      <w:r>
        <w:t xml:space="preserve"> </w:t>
      </w:r>
      <w:r>
        <w:rPr>
          <w:i/>
          <w:iCs/>
        </w:rPr>
        <w:t xml:space="preserve">Journal of Language and Social Psychology</w:t>
      </w:r>
      <w:r>
        <w:t xml:space="preserve">,</w:t>
      </w:r>
      <w:r>
        <w:t xml:space="preserve"> </w:t>
      </w:r>
      <w:r>
        <w:rPr>
          <w:i/>
          <w:iCs/>
        </w:rPr>
        <w:t xml:space="preserve">18</w:t>
      </w:r>
      <w:r>
        <w:t xml:space="preserve">(1), 62–85.</w:t>
      </w:r>
    </w:p>
    <w:bookmarkEnd w:id="158"/>
    <w:bookmarkStart w:id="159" w:name="ref-niedzielskiPreston2000"/>
    <w:p>
      <w:pPr>
        <w:pStyle w:val="Bibliography"/>
      </w:pPr>
      <w:r>
        <w:t xml:space="preserve">Niedzielski, N., &amp; Preston, D. R. (2000).</w:t>
      </w:r>
      <w:r>
        <w:t xml:space="preserve"> </w:t>
      </w:r>
      <w:r>
        <w:rPr>
          <w:i/>
          <w:iCs/>
        </w:rPr>
        <w:t xml:space="preserve">Folk linguistics</w:t>
      </w:r>
      <w:r>
        <w:t xml:space="preserve"> </w:t>
      </w:r>
      <w:r>
        <w:t xml:space="preserve">(Vol. 122). Walter de Gruyter.</w:t>
      </w:r>
    </w:p>
    <w:bookmarkEnd w:id="159"/>
    <w:bookmarkStart w:id="160" w:name="ref-nygaard1994"/>
    <w:p>
      <w:pPr>
        <w:pStyle w:val="Bibliography"/>
      </w:pPr>
      <w:r>
        <w:t xml:space="preserve">Nygaard, L. C., Sommers, M. S., &amp; Pisoni, D. B. (1994). Speech perception as a talker-contingent process.</w:t>
      </w:r>
      <w:r>
        <w:t xml:space="preserve"> </w:t>
      </w:r>
      <w:r>
        <w:rPr>
          <w:i/>
          <w:iCs/>
        </w:rPr>
        <w:t xml:space="preserve">Psychological Science</w:t>
      </w:r>
      <w:r>
        <w:t xml:space="preserve">,</w:t>
      </w:r>
      <w:r>
        <w:t xml:space="preserve"> </w:t>
      </w:r>
      <w:r>
        <w:rPr>
          <w:i/>
          <w:iCs/>
        </w:rPr>
        <w:t xml:space="preserve">5</w:t>
      </w:r>
      <w:r>
        <w:t xml:space="preserve">(1), 42–46.</w:t>
      </w:r>
    </w:p>
    <w:bookmarkEnd w:id="160"/>
    <w:bookmarkStart w:id="161" w:name="ref-ohala1994"/>
    <w:p>
      <w:pPr>
        <w:pStyle w:val="Bibliography"/>
      </w:pPr>
      <w:r>
        <w:t xml:space="preserve">Ohala, J. J. (1994). The frequency code underlies the sound-symbolic use of voice pitch.</w:t>
      </w:r>
      <w:r>
        <w:t xml:space="preserve"> </w:t>
      </w:r>
      <w:r>
        <w:rPr>
          <w:i/>
          <w:iCs/>
        </w:rPr>
        <w:t xml:space="preserve">Sound Symbolism</w:t>
      </w:r>
      <w:r>
        <w:t xml:space="preserve">, 325–347.</w:t>
      </w:r>
    </w:p>
    <w:bookmarkEnd w:id="161"/>
    <w:bookmarkStart w:id="162" w:name="ref-perryOhdeAshmead2001"/>
    <w:p>
      <w:pPr>
        <w:pStyle w:val="Bibliography"/>
      </w:pPr>
      <w:r>
        <w:t xml:space="preserve">Perry, T. L., Ohde, R. N., &amp; Ashmead, D. H. (2001). The acoustic bases for gender identification from children’s voices.</w:t>
      </w:r>
      <w:r>
        <w:t xml:space="preserve"> </w:t>
      </w:r>
      <w:r>
        <w:rPr>
          <w:i/>
          <w:iCs/>
        </w:rPr>
        <w:t xml:space="preserve">The Journal of the Acoustical Society of America</w:t>
      </w:r>
      <w:r>
        <w:t xml:space="preserve">,</w:t>
      </w:r>
      <w:r>
        <w:t xml:space="preserve"> </w:t>
      </w:r>
      <w:r>
        <w:rPr>
          <w:i/>
          <w:iCs/>
        </w:rPr>
        <w:t xml:space="preserve">109</w:t>
      </w:r>
      <w:r>
        <w:t xml:space="preserve">(6), 2988–2998.</w:t>
      </w:r>
    </w:p>
    <w:bookmarkEnd w:id="162"/>
    <w:bookmarkStart w:id="163" w:name="ref-pharaoKristiansen2019"/>
    <w:p>
      <w:pPr>
        <w:pStyle w:val="Bibliography"/>
      </w:pPr>
      <w:r>
        <w:t xml:space="preserve">Pharao, N., &amp; Kristiansen, T. (2019). Reflections on the relation between direct/indirect methods and explicit/implicit attitudes.</w:t>
      </w:r>
      <w:r>
        <w:t xml:space="preserve"> </w:t>
      </w:r>
      <w:r>
        <w:rPr>
          <w:i/>
          <w:iCs/>
        </w:rPr>
        <w:t xml:space="preserve">Linguistics Vanguard</w:t>
      </w:r>
      <w:r>
        <w:t xml:space="preserve">,</w:t>
      </w:r>
      <w:r>
        <w:t xml:space="preserve"> </w:t>
      </w:r>
      <w:r>
        <w:rPr>
          <w:i/>
          <w:iCs/>
        </w:rPr>
        <w:t xml:space="preserve">5</w:t>
      </w:r>
      <w:r>
        <w:t xml:space="preserve">(s1).</w:t>
      </w:r>
    </w:p>
    <w:bookmarkEnd w:id="163"/>
    <w:bookmarkStart w:id="164" w:name="ref-pharao2014"/>
    <w:p>
      <w:pPr>
        <w:pStyle w:val="Bibliography"/>
      </w:pPr>
      <w:r>
        <w:t xml:space="preserve">Pharao, N., Maegaard, M., Møller, J. S., &amp; Kristiansen, T. (2014). Indexical meanings of [s+] among copenhagen youth: Social perception of a phonetic variant in different prosodic contexts.</w:t>
      </w:r>
      <w:r>
        <w:t xml:space="preserve"> </w:t>
      </w:r>
      <w:r>
        <w:rPr>
          <w:i/>
          <w:iCs/>
        </w:rPr>
        <w:t xml:space="preserve">Language in Society</w:t>
      </w:r>
      <w:r>
        <w:t xml:space="preserve">,</w:t>
      </w:r>
      <w:r>
        <w:t xml:space="preserve"> </w:t>
      </w:r>
      <w:r>
        <w:rPr>
          <w:i/>
          <w:iCs/>
        </w:rPr>
        <w:t xml:space="preserve">43</w:t>
      </w:r>
      <w:r>
        <w:t xml:space="preserve">(1), 1–31.</w:t>
      </w:r>
    </w:p>
    <w:bookmarkEnd w:id="164"/>
    <w:bookmarkStart w:id="165" w:name="ref-pierrehumbert2003phonetic"/>
    <w:p>
      <w:pPr>
        <w:pStyle w:val="Bibliography"/>
      </w:pPr>
      <w:r>
        <w:t xml:space="preserve">Pierrehumbert, J. B. (2003). Phonetic diversity, statistical learning, and acquisition of phonology.</w:t>
      </w:r>
      <w:r>
        <w:t xml:space="preserve"> </w:t>
      </w:r>
      <w:r>
        <w:rPr>
          <w:i/>
          <w:iCs/>
        </w:rPr>
        <w:t xml:space="preserve">Language and Speech</w:t>
      </w:r>
      <w:r>
        <w:t xml:space="preserve">,</w:t>
      </w:r>
      <w:r>
        <w:t xml:space="preserve"> </w:t>
      </w:r>
      <w:r>
        <w:rPr>
          <w:i/>
          <w:iCs/>
        </w:rPr>
        <w:t xml:space="preserve">46</w:t>
      </w:r>
      <w:r>
        <w:t xml:space="preserve">(2-3), 115–154.</w:t>
      </w:r>
    </w:p>
    <w:bookmarkEnd w:id="165"/>
    <w:bookmarkStart w:id="166" w:name="ref-podesvaKajino2014"/>
    <w:p>
      <w:pPr>
        <w:pStyle w:val="Bibliography"/>
      </w:pPr>
      <w:r>
        <w:t xml:space="preserve">Podesva, R. J., &amp; Kajino, S. (2014). Sociophonetics, gender, and sexuality.</w:t>
      </w:r>
      <w:r>
        <w:t xml:space="preserve"> </w:t>
      </w:r>
      <w:r>
        <w:rPr>
          <w:i/>
          <w:iCs/>
        </w:rPr>
        <w:t xml:space="preserve">The Handbook of Language, Gender, and Sexuality</w:t>
      </w:r>
      <w:r>
        <w:t xml:space="preserve">, 103–122.</w:t>
      </w:r>
    </w:p>
    <w:bookmarkEnd w:id="166"/>
    <w:bookmarkStart w:id="167" w:name="ref-preston1996"/>
    <w:p>
      <w:pPr>
        <w:pStyle w:val="Bibliography"/>
      </w:pPr>
      <w:r>
        <w:t xml:space="preserve">Preston, D. R. (1996). Whaddayaknow?: The modes of folk linguistic awareness.</w:t>
      </w:r>
      <w:r>
        <w:t xml:space="preserve"> </w:t>
      </w:r>
      <w:r>
        <w:rPr>
          <w:i/>
          <w:iCs/>
        </w:rPr>
        <w:t xml:space="preserve">Language Awareness</w:t>
      </w:r>
      <w:r>
        <w:t xml:space="preserve">,</w:t>
      </w:r>
      <w:r>
        <w:t xml:space="preserve"> </w:t>
      </w:r>
      <w:r>
        <w:rPr>
          <w:i/>
          <w:iCs/>
        </w:rPr>
        <w:t xml:space="preserve">5</w:t>
      </w:r>
      <w:r>
        <w:t xml:space="preserve">(1), 40–74.</w:t>
      </w:r>
    </w:p>
    <w:bookmarkEnd w:id="167"/>
    <w:bookmarkStart w:id="169" w:name="ref-prinz_unconscious_2015"/>
    <w:p>
      <w:pPr>
        <w:pStyle w:val="Bibliography"/>
      </w:pPr>
      <w:r>
        <w:t xml:space="preserve">Prinz, J. J. (2015). Unconscious perception. 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w:t>
      </w:r>
      <w:r>
        <w:t xml:space="preserve">(pp. 371–389). Oxford University Press.</w:t>
      </w:r>
      <w:r>
        <w:t xml:space="preserve"> </w:t>
      </w:r>
      <w:hyperlink r:id="rId168">
        <w:r>
          <w:rPr>
            <w:rStyle w:val="Hyperlink"/>
          </w:rPr>
          <w:t xml:space="preserve">https://doi.org/10.1093/oxfordhb/9780199600472.001.0001</w:t>
        </w:r>
      </w:hyperlink>
    </w:p>
    <w:bookmarkEnd w:id="169"/>
    <w:bookmarkStart w:id="170" w:name="ref-repp1982"/>
    <w:p>
      <w:pPr>
        <w:pStyle w:val="Bibliography"/>
      </w:pPr>
      <w:r>
        <w:t xml:space="preserve">Repp, B. H. (1982). Phonetic trading relations and context effects: New experimental evidence for a speech mode of perception.</w:t>
      </w:r>
      <w:r>
        <w:t xml:space="preserve"> </w:t>
      </w:r>
      <w:r>
        <w:rPr>
          <w:i/>
          <w:iCs/>
        </w:rPr>
        <w:t xml:space="preserve">Psychological Bulletin</w:t>
      </w:r>
      <w:r>
        <w:t xml:space="preserve">,</w:t>
      </w:r>
      <w:r>
        <w:t xml:space="preserve"> </w:t>
      </w:r>
      <w:r>
        <w:rPr>
          <w:i/>
          <w:iCs/>
        </w:rPr>
        <w:t xml:space="preserve">92</w:t>
      </w:r>
      <w:r>
        <w:t xml:space="preserve">(1), 81.</w:t>
      </w:r>
    </w:p>
    <w:bookmarkEnd w:id="170"/>
    <w:bookmarkStart w:id="171" w:name="ref-rosseelGrondelaers2019"/>
    <w:p>
      <w:pPr>
        <w:pStyle w:val="Bibliography"/>
      </w:pPr>
      <w:r>
        <w:t xml:space="preserve">Rosseel, L., &amp; Grondelaers, S. (2019). Implicitness and experimental methods in language variation research.</w:t>
      </w:r>
      <w:r>
        <w:t xml:space="preserve"> </w:t>
      </w:r>
      <w:r>
        <w:rPr>
          <w:i/>
          <w:iCs/>
        </w:rPr>
        <w:t xml:space="preserve">Linguistics Vanguard</w:t>
      </w:r>
      <w:r>
        <w:t xml:space="preserve">,</w:t>
      </w:r>
      <w:r>
        <w:t xml:space="preserve"> </w:t>
      </w:r>
      <w:r>
        <w:rPr>
          <w:i/>
          <w:iCs/>
        </w:rPr>
        <w:t xml:space="preserve">5</w:t>
      </w:r>
      <w:r>
        <w:t xml:space="preserve">(s1).</w:t>
      </w:r>
    </w:p>
    <w:bookmarkEnd w:id="171"/>
    <w:bookmarkStart w:id="172" w:name="ref-sawusch2005"/>
    <w:p>
      <w:pPr>
        <w:pStyle w:val="Bibliography"/>
      </w:pPr>
      <w:r>
        <w:t xml:space="preserve">Sawusch, J. R. (2005). Acoustic analysis and synthesis of speech.</w:t>
      </w:r>
      <w:r>
        <w:t xml:space="preserve"> </w:t>
      </w:r>
      <w:r>
        <w:rPr>
          <w:i/>
          <w:iCs/>
        </w:rPr>
        <w:t xml:space="preserve">The Handbook of Speech Perception</w:t>
      </w:r>
      <w:r>
        <w:t xml:space="preserve">, 6–27.</w:t>
      </w:r>
    </w:p>
    <w:bookmarkEnd w:id="172"/>
    <w:bookmarkStart w:id="173" w:name="ref-schellingerMunsonEdwards2017"/>
    <w:p>
      <w:pPr>
        <w:pStyle w:val="Bibliography"/>
      </w:pPr>
      <w:r>
        <w:t xml:space="preserve">Schellinger, S. K., Munson, B., &amp; Edwards, J. (2017). 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w:t>
      </w:r>
      <w:r>
        <w:t xml:space="preserve"> </w:t>
      </w:r>
      <w:r>
        <w:rPr>
          <w:i/>
          <w:iCs/>
        </w:rPr>
        <w:t xml:space="preserve">31</w:t>
      </w:r>
      <w:r>
        <w:t xml:space="preserve">(1), 80–103.</w:t>
      </w:r>
    </w:p>
    <w:bookmarkEnd w:id="173"/>
    <w:bookmarkStart w:id="175" w:name="ref-schulman1974"/>
    <w:p>
      <w:pPr>
        <w:pStyle w:val="Bibliography"/>
      </w:pPr>
      <w:r>
        <w:t xml:space="preserve">Schulman, A. I. (1974). Memory for words recently classified.</w:t>
      </w:r>
      <w:r>
        <w:t xml:space="preserve"> </w:t>
      </w:r>
      <w:r>
        <w:rPr>
          <w:i/>
          <w:iCs/>
        </w:rPr>
        <w:t xml:space="preserve">Memory &amp; Cognition</w:t>
      </w:r>
      <w:r>
        <w:t xml:space="preserve">,</w:t>
      </w:r>
      <w:r>
        <w:t xml:space="preserve"> </w:t>
      </w:r>
      <w:r>
        <w:rPr>
          <w:i/>
          <w:iCs/>
        </w:rPr>
        <w:t xml:space="preserve">2</w:t>
      </w:r>
      <w:r>
        <w:t xml:space="preserve">(1), 47–52.</w:t>
      </w:r>
      <w:r>
        <w:t xml:space="preserve"> </w:t>
      </w:r>
      <w:hyperlink r:id="rId174">
        <w:r>
          <w:rPr>
            <w:rStyle w:val="Hyperlink"/>
          </w:rPr>
          <w:t xml:space="preserve">https://doi.org/10.3758/BF03197491</w:t>
        </w:r>
      </w:hyperlink>
    </w:p>
    <w:bookmarkEnd w:id="175"/>
    <w:bookmarkStart w:id="176" w:name="ref-shadle1991"/>
    <w:p>
      <w:pPr>
        <w:pStyle w:val="Bibliography"/>
      </w:pPr>
      <w:r>
        <w:t xml:space="preserve">Shadle, C. H. (1991). The effect of geometry on source mechanisms of fricative consonants.</w:t>
      </w:r>
      <w:r>
        <w:t xml:space="preserve"> </w:t>
      </w:r>
      <w:r>
        <w:rPr>
          <w:i/>
          <w:iCs/>
        </w:rPr>
        <w:t xml:space="preserve">Journal of Phonetics</w:t>
      </w:r>
      <w:r>
        <w:t xml:space="preserve">,</w:t>
      </w:r>
      <w:r>
        <w:t xml:space="preserve"> </w:t>
      </w:r>
      <w:r>
        <w:rPr>
          <w:i/>
          <w:iCs/>
        </w:rPr>
        <w:t xml:space="preserve">19</w:t>
      </w:r>
      <w:r>
        <w:t xml:space="preserve">(3-4), 409–424.</w:t>
      </w:r>
    </w:p>
    <w:bookmarkEnd w:id="176"/>
    <w:bookmarkStart w:id="177" w:name="ref-SharmaIssue"/>
    <w:p>
      <w:pPr>
        <w:pStyle w:val="Bibliography"/>
      </w:pPr>
      <w:r>
        <w:t xml:space="preserve">Sharma, D. (2025). The style game: A socio-cognitive approach to accommodation in real time.</w:t>
      </w:r>
      <w:r>
        <w:t xml:space="preserve"> </w:t>
      </w:r>
      <w:r>
        <w:rPr>
          <w:i/>
          <w:iCs/>
        </w:rPr>
        <w:t xml:space="preserve">Journal of Sociolinguistics</w:t>
      </w:r>
      <w:r>
        <w:t xml:space="preserve">,</w:t>
      </w:r>
      <w:r>
        <w:t xml:space="preserve"> </w:t>
      </w:r>
      <w:r>
        <w:rPr>
          <w:i/>
          <w:iCs/>
        </w:rPr>
        <w:t xml:space="preserve">29</w:t>
      </w:r>
      <w:r>
        <w:t xml:space="preserve">(3).</w:t>
      </w:r>
    </w:p>
    <w:bookmarkEnd w:id="177"/>
    <w:bookmarkStart w:id="178" w:name="ref-Squires2013"/>
    <w:p>
      <w:pPr>
        <w:pStyle w:val="Bibliography"/>
      </w:pPr>
      <w:r>
        <w:t xml:space="preserve">Squires, L. (2013). It don’t go both ways: Limited bidirectionality in sociolinguistic perception.</w:t>
      </w:r>
      <w:r>
        <w:t xml:space="preserve"> </w:t>
      </w:r>
      <w:r>
        <w:rPr>
          <w:i/>
          <w:iCs/>
        </w:rPr>
        <w:t xml:space="preserve">Journal of Sociolinguistics</w:t>
      </w:r>
      <w:r>
        <w:t xml:space="preserve">,</w:t>
      </w:r>
      <w:r>
        <w:t xml:space="preserve"> </w:t>
      </w:r>
      <w:r>
        <w:rPr>
          <w:i/>
          <w:iCs/>
        </w:rPr>
        <w:t xml:space="preserve">17</w:t>
      </w:r>
      <w:r>
        <w:t xml:space="preserve">(2), 200–237.</w:t>
      </w:r>
    </w:p>
    <w:bookmarkEnd w:id="178"/>
    <w:bookmarkStart w:id="179" w:name="ref-steckerDOnofrioIssue"/>
    <w:p>
      <w:pPr>
        <w:pStyle w:val="Bibliography"/>
      </w:pPr>
      <w:r>
        <w:t xml:space="preserve">Stecker, A., &amp; D’Onofrio, A. (2025). Recognizing uptalk: Memory and metalinguistic commentary for a sociolinguistic feature.</w:t>
      </w:r>
      <w:r>
        <w:t xml:space="preserve"> </w:t>
      </w:r>
      <w:r>
        <w:rPr>
          <w:i/>
          <w:iCs/>
        </w:rPr>
        <w:t xml:space="preserve">Journal of Sociolinguistics</w:t>
      </w:r>
      <w:r>
        <w:t xml:space="preserve">,</w:t>
      </w:r>
      <w:r>
        <w:t xml:space="preserve"> </w:t>
      </w:r>
      <w:r>
        <w:rPr>
          <w:i/>
          <w:iCs/>
        </w:rPr>
        <w:t xml:space="preserve">29</w:t>
      </w:r>
      <w:r>
        <w:t xml:space="preserve">(2).</w:t>
      </w:r>
    </w:p>
    <w:bookmarkEnd w:id="179"/>
    <w:bookmarkStart w:id="180" w:name="ref-strand1999"/>
    <w:p>
      <w:pPr>
        <w:pStyle w:val="Bibliography"/>
      </w:pPr>
      <w:r>
        <w:t xml:space="preserve">Strand, E. A. (1999). Uncovering the role of gender stereotypes in speech perception.</w:t>
      </w:r>
      <w:r>
        <w:t xml:space="preserve"> </w:t>
      </w:r>
      <w:r>
        <w:rPr>
          <w:i/>
          <w:iCs/>
        </w:rPr>
        <w:t xml:space="preserve">Journal of Language and Social Psychology</w:t>
      </w:r>
      <w:r>
        <w:t xml:space="preserve">,</w:t>
      </w:r>
      <w:r>
        <w:t xml:space="preserve"> </w:t>
      </w:r>
      <w:r>
        <w:rPr>
          <w:i/>
          <w:iCs/>
        </w:rPr>
        <w:t xml:space="preserve">18</w:t>
      </w:r>
      <w:r>
        <w:t xml:space="preserve">(1), 86–100.</w:t>
      </w:r>
    </w:p>
    <w:bookmarkEnd w:id="180"/>
    <w:bookmarkStart w:id="182" w:name="ref-strandJohnson1996"/>
    <w:p>
      <w:pPr>
        <w:pStyle w:val="Bibliography"/>
      </w:pPr>
      <w:r>
        <w:t xml:space="preserve">Strand, E. A., &amp; Johnson, K. (1996). 2. Gradient and visual speaker normalization in the perception of fricatives. In D. Gibbon (Ed.),</w:t>
      </w:r>
      <w:r>
        <w:t xml:space="preserve"> </w:t>
      </w:r>
      <w:r>
        <w:rPr>
          <w:i/>
          <w:iCs/>
        </w:rPr>
        <w:t xml:space="preserve">Results of the 3rd KONVENS conference, bielefeld, october 1996</w:t>
      </w:r>
      <w:r>
        <w:t xml:space="preserve"> </w:t>
      </w:r>
      <w:r>
        <w:t xml:space="preserve">(pp. 14–26). De Gruyter Mouton.</w:t>
      </w:r>
      <w:r>
        <w:t xml:space="preserve"> </w:t>
      </w:r>
      <w:hyperlink r:id="rId181">
        <w:r>
          <w:rPr>
            <w:rStyle w:val="Hyperlink"/>
          </w:rPr>
          <w:t xml:space="preserve">https://doi.org/doi:10.1515/9783110821895-003</w:t>
        </w:r>
      </w:hyperlink>
    </w:p>
    <w:bookmarkEnd w:id="182"/>
    <w:bookmarkStart w:id="183" w:name="ref-sumner2014"/>
    <w:p>
      <w:pPr>
        <w:pStyle w:val="Bibliography"/>
      </w:pPr>
      <w:r>
        <w:t xml:space="preserve">Sumner, M., Kim, S. K., King, E., &amp; McGowan, K. B. (2014). The socially weighted encoding of spoken words: A dual-route approach to speech perception.</w:t>
      </w:r>
      <w:r>
        <w:t xml:space="preserve"> </w:t>
      </w:r>
      <w:r>
        <w:rPr>
          <w:i/>
          <w:iCs/>
        </w:rPr>
        <w:t xml:space="preserve">Frontiers in Psychology</w:t>
      </w:r>
      <w:r>
        <w:t xml:space="preserve">,</w:t>
      </w:r>
      <w:r>
        <w:t xml:space="preserve"> </w:t>
      </w:r>
      <w:r>
        <w:rPr>
          <w:i/>
          <w:iCs/>
        </w:rPr>
        <w:t xml:space="preserve">4</w:t>
      </w:r>
      <w:r>
        <w:t xml:space="preserve">, 1015.</w:t>
      </w:r>
    </w:p>
    <w:bookmarkEnd w:id="183"/>
    <w:bookmarkStart w:id="184" w:name="ref-trippMunson2022"/>
    <w:p>
      <w:pPr>
        <w:pStyle w:val="Bibliography"/>
      </w:pPr>
      <w:r>
        <w:t xml:space="preserve">Tripp, A., &amp; Munson, B. (2022). Perceiving gender while perceiving language: Integrating psycholinguistics and gender theory.</w:t>
      </w:r>
      <w:r>
        <w:t xml:space="preserve"> </w:t>
      </w:r>
      <w:r>
        <w:rPr>
          <w:i/>
          <w:iCs/>
        </w:rPr>
        <w:t xml:space="preserve">Wiley Interdisciplinary Reviews: Cognitive Science</w:t>
      </w:r>
      <w:r>
        <w:t xml:space="preserve">,</w:t>
      </w:r>
      <w:r>
        <w:t xml:space="preserve"> </w:t>
      </w:r>
      <w:r>
        <w:rPr>
          <w:i/>
          <w:iCs/>
        </w:rPr>
        <w:t xml:space="preserve">13</w:t>
      </w:r>
      <w:r>
        <w:t xml:space="preserve">(2), e1583.</w:t>
      </w:r>
    </w:p>
    <w:bookmarkEnd w:id="184"/>
    <w:bookmarkStart w:id="185" w:name="ref-walkerHay2011"/>
    <w:p>
      <w:pPr>
        <w:pStyle w:val="Bibliography"/>
      </w:pPr>
      <w:r>
        <w:t xml:space="preserve">Walker, A., &amp; Hay, J. (2011). Congruence between ‘word age’and ‘voice age’facilitates lexical access.</w:t>
      </w:r>
      <w:r>
        <w:t xml:space="preserve"> </w:t>
      </w:r>
      <w:r>
        <w:rPr>
          <w:i/>
          <w:iCs/>
        </w:rPr>
        <w:t xml:space="preserve">Laboratory Phonology</w:t>
      </w:r>
      <w:r>
        <w:t xml:space="preserve">,</w:t>
      </w:r>
      <w:r>
        <w:t xml:space="preserve"> </w:t>
      </w:r>
      <w:r>
        <w:rPr>
          <w:i/>
          <w:iCs/>
        </w:rPr>
        <w:t xml:space="preserve">2</w:t>
      </w:r>
      <w:r>
        <w:t xml:space="preserve">(1), 219–237.</w:t>
      </w:r>
    </w:p>
    <w:bookmarkEnd w:id="185"/>
    <w:bookmarkStart w:id="186" w:name="ref-whalen1984"/>
    <w:p>
      <w:pPr>
        <w:pStyle w:val="Bibliography"/>
      </w:pPr>
      <w:r>
        <w:t xml:space="preserve">Whalen, D. H. (1984). 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w:t>
      </w:r>
      <w:r>
        <w:t xml:space="preserve"> </w:t>
      </w:r>
      <w:r>
        <w:rPr>
          <w:i/>
          <w:iCs/>
        </w:rPr>
        <w:t xml:space="preserve">35</w:t>
      </w:r>
      <w:r>
        <w:t xml:space="preserve">, 49–64.</w:t>
      </w:r>
    </w:p>
    <w:bookmarkEnd w:id="186"/>
    <w:bookmarkStart w:id="187" w:name="ref-wilbanks2022"/>
    <w:p>
      <w:pPr>
        <w:pStyle w:val="Bibliography"/>
      </w:pPr>
      <w:r>
        <w:t xml:space="preserve">Wilbanks, E. (2022).</w:t>
      </w:r>
      <w:r>
        <w:t xml:space="preserve"> </w:t>
      </w:r>
      <w:r>
        <w:rPr>
          <w:i/>
          <w:iCs/>
        </w:rPr>
        <w:t xml:space="preserve">The integration of social and acoustic cues during speech perception</w:t>
      </w:r>
      <w:r>
        <w:t xml:space="preserve"> </w:t>
      </w:r>
      <w:r>
        <w:t xml:space="preserve">[PhD thesis]. University of California, Berkeley.</w:t>
      </w:r>
    </w:p>
    <w:bookmarkEnd w:id="187"/>
    <w:bookmarkStart w:id="188" w:name="ref-wright2023"/>
    <w:p>
      <w:pPr>
        <w:pStyle w:val="Bibliography"/>
      </w:pPr>
      <w:r>
        <w:t xml:space="preserve">Wright, K. E. (2023). Housing policy and linguistic profiling: An audit study of three american dialects.</w:t>
      </w:r>
      <w:r>
        <w:t xml:space="preserve"> </w:t>
      </w:r>
      <w:r>
        <w:rPr>
          <w:i/>
          <w:iCs/>
        </w:rPr>
        <w:t xml:space="preserve">Language</w:t>
      </w:r>
      <w:r>
        <w:t xml:space="preserve">.</w:t>
      </w:r>
    </w:p>
    <w:bookmarkEnd w:id="188"/>
    <w:bookmarkStart w:id="189" w:name="ref-zimman2017"/>
    <w:p>
      <w:pPr>
        <w:pStyle w:val="Bibliography"/>
      </w:pPr>
      <w:r>
        <w:t xml:space="preserve">Zimman, L. (2017). Gender as stylistic bricolage: Transmasculine voices and the relationship between fundamental frequency and/s.</w:t>
      </w:r>
      <w:r>
        <w:t xml:space="preserve"> </w:t>
      </w:r>
      <w:r>
        <w:rPr>
          <w:i/>
          <w:iCs/>
        </w:rPr>
        <w:t xml:space="preserve">Language in Society</w:t>
      </w:r>
      <w:r>
        <w:t xml:space="preserve">,</w:t>
      </w:r>
      <w:r>
        <w:t xml:space="preserve"> </w:t>
      </w:r>
      <w:r>
        <w:rPr>
          <w:i/>
          <w:iCs/>
        </w:rPr>
        <w:t xml:space="preserve">46</w:t>
      </w:r>
      <w:r>
        <w:t xml:space="preserve">(3), 339–370.</w:t>
      </w:r>
    </w:p>
    <w:bookmarkEnd w:id="189"/>
    <w:bookmarkStart w:id="190" w:name="ref-zimman2018"/>
    <w:p>
      <w:pPr>
        <w:pStyle w:val="Bibliography"/>
      </w:pPr>
      <w:r>
        <w:t xml:space="preserve">Zimman, L. (2018). Transgender voices: Insights on identity, embodiment, and the gender of the voice.</w:t>
      </w:r>
      <w:r>
        <w:t xml:space="preserve"> </w:t>
      </w:r>
      <w:r>
        <w:rPr>
          <w:i/>
          <w:iCs/>
        </w:rPr>
        <w:t xml:space="preserve">Language and Linguistics Compass</w:t>
      </w:r>
      <w:r>
        <w:t xml:space="preserve">,</w:t>
      </w:r>
      <w:r>
        <w:t xml:space="preserve"> </w:t>
      </w:r>
      <w:r>
        <w:rPr>
          <w:i/>
          <w:iCs/>
        </w:rPr>
        <w:t xml:space="preserve">12</w:t>
      </w:r>
      <w:r>
        <w:t xml:space="preserve">(8), e12284.</w:t>
      </w:r>
    </w:p>
    <w:bookmarkEnd w:id="190"/>
    <w:bookmarkEnd w:id="191"/>
    <w:bookmarkEnd w:id="192"/>
    <w:sectPr w:rsidR="00B46A4E" w:rsidRPr="0019120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&amp;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40">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06101D"/>
    <w:rsid w:val="00191209"/>
    <w:rsid w:val="001B6542"/>
    <w:rsid w:val="00292A31"/>
    <w:rsid w:val="00292D22"/>
    <w:rsid w:val="00380711"/>
    <w:rsid w:val="00422639"/>
    <w:rsid w:val="004237E0"/>
    <w:rsid w:val="004C36F5"/>
    <w:rsid w:val="004C613D"/>
    <w:rsid w:val="0056650E"/>
    <w:rsid w:val="005F678E"/>
    <w:rsid w:val="00603281"/>
    <w:rsid w:val="00757606"/>
    <w:rsid w:val="007E4D06"/>
    <w:rsid w:val="00870A8E"/>
    <w:rsid w:val="00891442"/>
    <w:rsid w:val="008C4BA1"/>
    <w:rsid w:val="00A11CB9"/>
    <w:rsid w:val="00AE7439"/>
    <w:rsid w:val="00B25284"/>
    <w:rsid w:val="00B36C7E"/>
    <w:rsid w:val="00B46A4E"/>
    <w:rsid w:val="00B76AF5"/>
    <w:rsid w:val="00BE0E21"/>
    <w:rsid w:val="00C23838"/>
    <w:rsid w:val="00C56391"/>
    <w:rsid w:val="00C74324"/>
    <w:rsid w:val="00CE7D07"/>
    <w:rsid w:val="00CF168D"/>
    <w:rsid w:val="00D43B85"/>
    <w:rsid w:val="00DB768E"/>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CF168D"/>
    <w:pPr>
      <w:spacing w:line="360" w:lineRule="auto"/>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AE7439"/>
    <w:pPr>
      <w:keepNext/>
      <w:keepLines/>
      <w:spacing w:before="40" w:line="360" w:lineRule="auto"/>
      <w:outlineLvl w:val="1"/>
    </w:pPr>
    <w:rPr>
      <w:rFonts w:asciiTheme="majorHAnsi" w:cstheme="majorBidi" w:eastAsiaTheme="majorEastAsia" w:hAnsiTheme="majorHAnsi"/>
      <w:color w:themeColor="text1" w:val="000000"/>
      <w:sz w:val="26"/>
      <w:szCs w:val="26"/>
    </w:rPr>
  </w:style>
  <w:style w:styleId="Heading3" w:type="paragraph">
    <w:name w:val="heading 3"/>
    <w:basedOn w:val="Normal"/>
    <w:next w:val="Normal"/>
    <w:link w:val="Heading3Char"/>
    <w:uiPriority w:val="9"/>
    <w:semiHidden/>
    <w:unhideWhenUsed/>
    <w:qFormat/>
    <w:rsid w:val="00AE7439"/>
    <w:pPr>
      <w:keepNext/>
      <w:keepLines/>
      <w:spacing w:before="40" w:line="360" w:lineRule="auto"/>
      <w:outlineLvl w:val="2"/>
    </w:pPr>
    <w:rPr>
      <w:rFonts w:asciiTheme="majorHAnsi" w:cstheme="majorBidi" w:eastAsiaTheme="majorEastAsia" w:hAnsiTheme="majorHAnsi"/>
      <w:color w:themeColor="text1" w:val="000000"/>
      <w:sz w:val="24"/>
      <w:szCs w:val="24"/>
    </w:rPr>
  </w:style>
  <w:style w:styleId="Heading4" w:type="paragraph">
    <w:name w:val="heading 4"/>
    <w:basedOn w:val="Normal"/>
    <w:next w:val="Normal"/>
    <w:link w:val="Heading4Char"/>
    <w:uiPriority w:val="9"/>
    <w:semiHidden/>
    <w:unhideWhenUsed/>
    <w:qFormat/>
    <w:rsid w:val="00191209"/>
    <w:pPr>
      <w:keepNext/>
      <w:keepLines/>
      <w:spacing w:before="40"/>
      <w:outlineLvl w:val="3"/>
    </w:pPr>
    <w:rPr>
      <w:rFonts w:asciiTheme="majorHAnsi" w:cstheme="majorBidi" w:eastAsiaTheme="majorEastAsia" w:hAnsiTheme="majorHAnsi"/>
      <w:i/>
      <w:iCs/>
      <w:color w:themeColor="text1" w:val="000000"/>
    </w:rPr>
  </w:style>
  <w:style w:styleId="Heading5" w:type="paragraph">
    <w:name w:val="heading 5"/>
    <w:basedOn w:val="Normal"/>
    <w:next w:val="Normal"/>
    <w:link w:val="Heading5Char"/>
    <w:uiPriority w:val="9"/>
    <w:semiHidden/>
    <w:unhideWhenUsed/>
    <w:qFormat/>
    <w:rsid w:val="00191209"/>
    <w:pPr>
      <w:keepNext/>
      <w:keepLines/>
      <w:spacing w:before="40"/>
      <w:outlineLvl w:val="4"/>
    </w:pPr>
    <w:rPr>
      <w:rFonts w:asciiTheme="majorHAnsi" w:cstheme="majorBidi" w:eastAsiaTheme="majorEastAsia" w:hAnsiTheme="majorHAnsi"/>
      <w:color w:themeColor="text1" w:val="000000"/>
    </w:rPr>
  </w:style>
  <w:style w:styleId="Heading6" w:type="paragraph">
    <w:name w:val="heading 6"/>
    <w:basedOn w:val="Normal"/>
    <w:next w:val="Normal"/>
    <w:link w:val="Heading6Char"/>
    <w:uiPriority w:val="9"/>
    <w:semiHidden/>
    <w:unhideWhenUsed/>
    <w:qFormat/>
    <w:rsid w:val="00191209"/>
    <w:pPr>
      <w:keepNext/>
      <w:keepLines/>
      <w:spacing w:before="40"/>
      <w:outlineLvl w:val="5"/>
    </w:pPr>
    <w:rPr>
      <w:rFonts w:asciiTheme="majorHAnsi" w:cstheme="majorBidi" w:eastAsiaTheme="majorEastAsia" w:hAnsiTheme="majorHAnsi"/>
      <w:color w:themeColor="text1" w:val="000000"/>
    </w:rPr>
  </w:style>
  <w:style w:styleId="Heading7" w:type="paragraph">
    <w:name w:val="heading 7"/>
    <w:basedOn w:val="Normal"/>
    <w:next w:val="Normal"/>
    <w:link w:val="Heading7Char"/>
    <w:uiPriority w:val="9"/>
    <w:semiHidden/>
    <w:unhideWhenUsed/>
    <w:qFormat/>
    <w:rsid w:val="00191209"/>
    <w:pPr>
      <w:keepNext/>
      <w:keepLines/>
      <w:spacing w:before="40"/>
      <w:outlineLvl w:val="6"/>
    </w:pPr>
    <w:rPr>
      <w:rFonts w:asciiTheme="majorHAnsi" w:cstheme="majorBidi" w:eastAsiaTheme="majorEastAsia" w:hAnsiTheme="majorHAnsi"/>
      <w:i/>
      <w:iCs/>
      <w:color w:themeColor="text1" w:val="00000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757606"/>
    <w:pPr>
      <w:spacing w:line="360" w:lineRule="auto"/>
      <w:ind w:firstLine="720"/>
    </w:pPr>
    <w:rPr>
      <w:sz w:val="24"/>
      <w:szCs w:val="24"/>
    </w:rPr>
  </w:style>
  <w:style w:customStyle="1" w:styleId="FirstParagraph" w:type="paragraph">
    <w:name w:val="First Paragraph"/>
    <w:basedOn w:val="BodyText"/>
    <w:next w:val="BodyText"/>
    <w:qFormat/>
    <w:rsid w:val="00191209"/>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rsid w:val="00191209"/>
    <w:pPr>
      <w:keepNext/>
      <w:keepLines/>
      <w:spacing w:before="300"/>
      <w:jc w:val="center"/>
    </w:pPr>
    <w:rPr>
      <w:b/>
      <w:color w:themeColor="text1" w:val="000000"/>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F168D"/>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AE7439"/>
    <w:rPr>
      <w:rFonts w:asciiTheme="majorHAnsi" w:cstheme="majorBidi" w:eastAsiaTheme="majorEastAsia" w:hAnsiTheme="majorHAnsi"/>
      <w:color w:themeColor="text1" w:val="000000"/>
      <w:sz w:val="26"/>
      <w:szCs w:val="26"/>
    </w:rPr>
  </w:style>
  <w:style w:customStyle="1" w:styleId="Heading3Char" w:type="character">
    <w:name w:val="Heading 3 Char"/>
    <w:basedOn w:val="DefaultParagraphFont"/>
    <w:link w:val="Heading3"/>
    <w:uiPriority w:val="9"/>
    <w:semiHidden/>
    <w:rsid w:val="00AE7439"/>
    <w:rPr>
      <w:rFonts w:asciiTheme="majorHAnsi" w:cstheme="majorBidi" w:eastAsiaTheme="majorEastAsia" w:hAnsiTheme="majorHAnsi"/>
      <w:color w:themeColor="text1" w:val="000000"/>
      <w:sz w:val="24"/>
      <w:szCs w:val="24"/>
    </w:rPr>
  </w:style>
  <w:style w:customStyle="1" w:styleId="Heading4Char" w:type="character">
    <w:name w:val="Heading 4 Char"/>
    <w:basedOn w:val="DefaultParagraphFont"/>
    <w:link w:val="Heading4"/>
    <w:uiPriority w:val="9"/>
    <w:semiHidden/>
    <w:rsid w:val="00191209"/>
    <w:rPr>
      <w:rFonts w:asciiTheme="majorHAnsi" w:cstheme="majorBidi" w:eastAsiaTheme="majorEastAsia" w:hAnsiTheme="majorHAnsi"/>
      <w:i/>
      <w:iCs/>
      <w:color w:themeColor="text1" w:val="000000"/>
    </w:rPr>
  </w:style>
  <w:style w:customStyle="1" w:styleId="Heading5Char" w:type="character">
    <w:name w:val="Heading 5 Char"/>
    <w:basedOn w:val="DefaultParagraphFont"/>
    <w:link w:val="Heading5"/>
    <w:uiPriority w:val="9"/>
    <w:semiHidden/>
    <w:rsid w:val="00191209"/>
    <w:rPr>
      <w:rFonts w:asciiTheme="majorHAnsi" w:cstheme="majorBidi" w:eastAsiaTheme="majorEastAsia" w:hAnsiTheme="majorHAnsi"/>
      <w:color w:themeColor="text1" w:val="000000"/>
    </w:rPr>
  </w:style>
  <w:style w:customStyle="1" w:styleId="Heading6Char" w:type="character">
    <w:name w:val="Heading 6 Char"/>
    <w:basedOn w:val="DefaultParagraphFont"/>
    <w:link w:val="Heading6"/>
    <w:uiPriority w:val="9"/>
    <w:semiHidden/>
    <w:rsid w:val="00191209"/>
    <w:rPr>
      <w:rFonts w:asciiTheme="majorHAnsi" w:cstheme="majorBidi" w:eastAsiaTheme="majorEastAsia" w:hAnsiTheme="majorHAnsi"/>
      <w:color w:themeColor="text1" w:val="000000"/>
    </w:rPr>
  </w:style>
  <w:style w:customStyle="1" w:styleId="Heading7Char" w:type="character">
    <w:name w:val="Heading 7 Char"/>
    <w:basedOn w:val="DefaultParagraphFont"/>
    <w:link w:val="Heading7"/>
    <w:uiPriority w:val="9"/>
    <w:semiHidden/>
    <w:rsid w:val="00191209"/>
    <w:rPr>
      <w:rFonts w:asciiTheme="majorHAnsi" w:cstheme="majorBidi" w:eastAsiaTheme="majorEastAsia" w:hAnsiTheme="majorHAnsi"/>
      <w:i/>
      <w:iCs/>
      <w:color w:themeColor="text1" w:val="00000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rsid w:val="00191209"/>
    <w:rPr>
      <w:color w:val="auto"/>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sid w:val="00191209"/>
    <w:rPr>
      <w:rFonts w:ascii="Consolas" w:hAnsi="Consolas"/>
      <w:b w:val="0"/>
      <w:bCs w:val="0"/>
      <w:i/>
      <w:iCs/>
      <w:color w:val="auto"/>
      <w:sz w:val="22"/>
      <w:szCs w:val="18"/>
    </w:rPr>
  </w:style>
  <w:style w:customStyle="1" w:styleId="SectionNumber" w:type="character">
    <w:name w:val="Section Number"/>
    <w:basedOn w:val="CaptionChar"/>
    <w:rsid w:val="00191209"/>
    <w:rPr>
      <w:rFonts w:ascii="Times New Roman" w:hAnsi="Times New Roman"/>
      <w:b w:val="0"/>
      <w:bCs w:val="0"/>
      <w:i/>
      <w:iCs/>
      <w:color w:themeColor="text1" w:val="000000"/>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191209"/>
    <w:rPr>
      <w:i/>
      <w:iCs/>
      <w:color w:themeColor="text1" w:val="000000"/>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191209"/>
    <w:rPr>
      <w:b/>
      <w:bCs/>
      <w:smallCaps/>
      <w:color w:themeColor="text1" w:val="000000"/>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styleId="FollowedHyperlink" w:type="character">
    <w:name w:val="FollowedHyperlink"/>
    <w:basedOn w:val="DefaultParagraphFont"/>
    <w:rsid w:val="00D43B85"/>
    <w:rPr>
      <w:color w:themeColor="followedHyperlink" w:val="96607D"/>
      <w:u w:val="singl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image" Id="rId34" Target="media/rId34.jpg" /><Relationship Type="http://schemas.openxmlformats.org/officeDocument/2006/relationships/image" Id="rId28" Target="media/rId28.png" /><Relationship Type="http://schemas.openxmlformats.org/officeDocument/2006/relationships/hyperlink" Id="rId75" Target="http://CRAN.R-project.org/package=lme4" TargetMode="External" /><Relationship Type="http://schemas.openxmlformats.org/officeDocument/2006/relationships/hyperlink" Id="rId99" Target="https://doi.org/10.1002/wcs.1543" TargetMode="External" /><Relationship Type="http://schemas.openxmlformats.org/officeDocument/2006/relationships/hyperlink" Id="rId146"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68"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74" Target="https://doi.org/10.3758/BF03197491" TargetMode="External" /><Relationship Type="http://schemas.openxmlformats.org/officeDocument/2006/relationships/hyperlink" Id="rId91" Target="https://doi.org/10.4324/9781315514857-5" TargetMode="External" /><Relationship Type="http://schemas.openxmlformats.org/officeDocument/2006/relationships/hyperlink" Id="rId181" Target="https://doi.org/doi:10.1515/9783110821895-003" TargetMode="External" /></Relationships>
</file>

<file path=word/_rels/footnotes.xml.rels><?xml version="1.0" encoding="UTF-8"?><Relationships xmlns="http://schemas.openxmlformats.org/package/2006/relationships"><Relationship Type="http://schemas.openxmlformats.org/officeDocument/2006/relationships/hyperlink" Id="rId75" Target="http://CRAN.R-project.org/package=lme4" TargetMode="External" /><Relationship Type="http://schemas.openxmlformats.org/officeDocument/2006/relationships/hyperlink" Id="rId99" Target="https://doi.org/10.1002/wcs.1543" TargetMode="External" /><Relationship Type="http://schemas.openxmlformats.org/officeDocument/2006/relationships/hyperlink" Id="rId146"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68"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74" Target="https://doi.org/10.3758/BF03197491" TargetMode="External" /><Relationship Type="http://schemas.openxmlformats.org/officeDocument/2006/relationships/hyperlink" Id="rId91" Target="https://doi.org/10.4324/9781315514857-5" TargetMode="External" /><Relationship Type="http://schemas.openxmlformats.org/officeDocument/2006/relationships/hyperlink" Id="rId181" Target="https://doi.org/doi:10.1515/9783110821895-0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62</Words>
  <Characters>359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matched guise, sociophonetic perception</cp:keywords>
  <dcterms:created xsi:type="dcterms:W3CDTF">2025-03-05T15:00:09Z</dcterms:created>
  <dcterms:modified xsi:type="dcterms:W3CDTF">2025-03-05T15:00:09Z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1999; Strand &amp; Johnson, 1996).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date">
    <vt:lpwstr>2025-03-05</vt:lpwstr>
  </property>
  <property fmtid="{D5CDD505-2E9C-101B-9397-08002B2CF9AE}" pid="13" name="editor">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uppress-title-page">
    <vt:lpwstr>True</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