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2024-12-12</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however, little consensus around the extent to which language users are aware of, and can control, these fine gradations of social meaning in production and perception. There are actually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 (Babel, Campbell-Kibler, and McGowan, this issue) and to bridge gaps between research in segmental speech perception and research in sociolinguistics, linguistic anthropology, and social psychology.</w:t>
      </w:r>
    </w:p>
    <w:bookmarkStart w:id="21" w:name="sec-background"/>
    <w:p>
      <w:pPr>
        <w:pStyle w:val="Heading2"/>
      </w:pPr>
      <w:r>
        <w:t xml:space="preserve">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Central to this, though, is the stipulation that the ability to</w:t>
      </w:r>
      <w:r>
        <w:t xml:space="preserve"> </w:t>
      </w:r>
      <w:r>
        <w:t xml:space="preserve">‘perform’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w:t>
      </w:r>
      <w:r>
        <w:t xml:space="preserve"> </w:t>
      </w:r>
      <w:r>
        <w:t xml:space="preserve">(Babel this issue; D’Onofrio 2021; Preston 1996, 2016)</w:t>
      </w:r>
      <w:r>
        <w:t xml:space="preserve">.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Speech perception is often construed within phonetics and psycholinguistics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speech perception in common use describes a higher-level, sometimes implicit, sometimes explicit, evaluative judgement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judgements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judgement,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Samoliński, Grzanka, and Gotlib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 Barrett and Hall 2024)</w:t>
      </w:r>
      <w:r>
        <w:t xml:space="preserve">. The creation and use of stimuli that are rated as highly gender-prototypical by a large group of listeners maximizes the probability that a perception experiment will find an interpretable result.</w:t>
      </w:r>
    </w:p>
    <w:p>
      <w:pPr>
        <w:pStyle w:val="BodyText"/>
      </w:pPr>
      <w:r>
        <w:t xml:space="preserve">However, it can not be overemphasized that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judgements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judgements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judgements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Judgements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judgements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gender-protypical</w:t>
            </w:r>
            <w:r>
              <w:t xml:space="preserve"> </w:t>
            </w:r>
            <w:r>
              <w:t xml:space="preserve">‘male’</w:t>
            </w:r>
            <w:r>
              <w:t xml:space="preserve"> </w:t>
            </w:r>
            <w:r>
              <w:t xml:space="preserve">and</w:t>
            </w:r>
            <w:r>
              <w:t xml:space="preserve"> </w:t>
            </w:r>
            <w:r>
              <w:t xml:space="preserve">‘female’</w:t>
            </w:r>
            <w:r>
              <w:t xml:space="preserve"> </w:t>
            </w:r>
            <w:r>
              <w:t xml:space="preserve">faces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Kuhn, and Filevich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when face and voice provide congruent social information, we anticipate that more of the [ʃ]-[s] continuum will be heard as [ʃ] when participants are shown the female face and more to be heard as [s] when participants are shown the male face.</w:t>
      </w:r>
    </w:p>
    <w:bookmarkEnd w:id="42"/>
    <w:bookmarkStart w:id="43" w:name="sec-pred-congruence"/>
    <w:p>
      <w:pPr>
        <w:pStyle w:val="Heading2"/>
      </w:pPr>
      <w:r>
        <w:t xml:space="preserve">Congruence: pairing of face and voice</w:t>
      </w:r>
    </w:p>
    <w:p>
      <w:pPr>
        <w:pStyle w:val="FirstParagraph"/>
      </w:pPr>
      <w:r>
        <w:t xml:space="preserve">However, when face and voice provide incongruent social information, we do not expect to replicate this shift in fricative category boundary. To our knowledge, the influence of incongruence has not been directly investigated for listeners’ joint perception of gender and fricative place.</w:t>
      </w:r>
      <w:r>
        <w:t xml:space="preserve"> </w:t>
      </w:r>
      <w:r>
        <w:t xml:space="preserve">Johnson, Strand, and D’Imperio (1999)</w:t>
      </w:r>
      <w:r>
        <w:t xml:space="preserve"> </w:t>
      </w:r>
      <w:r>
        <w:t xml:space="preserve">tests AV integration of Male and Female faces with prototypical and non-prototypical gendered voices in a vowel quality perception task. They find what may be an incongruence effect with the prototypical male voice; listeners reported no difference in perceived vowel quality with this voice in either Face condition</w:t>
      </w:r>
      <w:r>
        <w:t xml:space="preserve"> </w:t>
      </w:r>
      <w:r>
        <w:t xml:space="preserve">(Johnson, Strand, and D’Imperio 1999, 376)</w:t>
      </w:r>
      <w:r>
        <w:t xml:space="preserve">. We expect incongruity to influence perception for both voices, but the effect may be stronger with a prototypically male voice</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and</w:t>
      </w:r>
      <w:r>
        <w:t xml:space="preserve"> </w:t>
      </w:r>
      <w:r>
        <w:t xml:space="preserve">McGowan (2011)</w:t>
      </w:r>
      <w:r>
        <w:t xml:space="preserve"> </w:t>
      </w:r>
      <w:r>
        <w:t xml:space="preserve">reports inconsistent reaction times for incongruous trials across different tasks. However,</w:t>
      </w:r>
      <w:r>
        <w:t xml:space="preserve"> </w:t>
      </w:r>
      <w:r>
        <w:t xml:space="preserve">Whalen (1984)</w:t>
      </w:r>
      <w:r>
        <w:t xml:space="preserve"> </w:t>
      </w:r>
      <w:r>
        <w:t xml:space="preserve">finds that listeners judgements are slowed by coarticulatory mismatches. If coarticulatory and social variation are processed similarly, this should hold for listeners’ identification of fricatives on a [ʃ]-[s] continuum. Therefore, we predict longer reaction times for Incongruous conditions. Furthermore, when gender information is most clear, at gender continuum steps 1 and 2 for the Male talker and at gender steps 4 &amp; 5 for the Female talker, and in conflict with the presented Face, listeners’ response times should be</w:t>
      </w:r>
      <w:r>
        <w:t xml:space="preserve"> </w:t>
      </w:r>
      <w:r>
        <w:t xml:space="preserve">slowest.</w:t>
      </w:r>
    </w:p>
    <w:p>
      <w:pPr>
        <w:pStyle w:val="BodyText"/>
      </w:pPr>
      <w:r>
        <w:t xml:space="preserve">Since strong phonetic correlates of gender, pitch and formant spacing, have been</w:t>
      </w:r>
      <w:r>
        <w:t xml:space="preserve"> </w:t>
      </w:r>
      <w:r>
        <w:t xml:space="preserve">manipulated over the course of the VC rime continua in our auditory stimuli, we anticipate that the nullifying effect of incongruous face and voice on fricative perception should be strongest for the natural end points of the continua where the difference is most salient and should weaken as phonetically-cued gender information becomes more ambiguous. These stimuli have been independently normed for ambiguity</w:t>
      </w:r>
      <w:r>
        <w:t xml:space="preserve"> </w:t>
      </w:r>
      <w:r>
        <w:t xml:space="preserve">(Bouavichith et al. 2019, 1040)</w:t>
      </w:r>
      <w:r>
        <w:t xml:space="preserve"> </w:t>
      </w:r>
      <w:r>
        <w:t xml:space="preserve">in the 2nd and 3rd levels of the rime continua. This means we anticipate an interaction between Face and Rime step but only in the 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care researchers take to ensure that the guise manipulation is hidden from participants suggests a kind of imagined fragility of 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on fricative perception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detectable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onset continuum steps and purported gender of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to ambiguous fricative trials</w:t>
            </w:r>
            <w:r>
              <w:t xml:space="preserve"> </w:t>
            </w:r>
            <w:r>
              <w:t xml:space="preserve">plotted as a function of CV rime continuum steps and gender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Maechler, and Bolker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judgements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and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and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Strand, and D’Imperio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this issue)</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perceptual processing.</w:t>
      </w:r>
    </w:p>
    <w:p>
      <w:pPr>
        <w:pStyle w:val="BodyText"/>
      </w:pPr>
      <w:r>
        <w:t xml:space="preserve">However, our prediction that incongruity between face and voice would slow listener judgements was not supported. Given that coarticulatory mismatches</w:t>
      </w:r>
      <w:r>
        <w:t xml:space="preserve"> </w:t>
      </w:r>
      <w:r>
        <w:rPr>
          <w:i/>
          <w:iCs/>
        </w:rPr>
        <w:t xml:space="preserve">do</w:t>
      </w:r>
      <w:r>
        <w:t xml:space="preserve"> </w:t>
      </w:r>
      <w:r>
        <w:t xml:space="preserve">slow listener judgements, this finding is inconsistent with a model of perception in which socioindexical variation and coarticulatory information are processed identically. It is possible that these sources of information are processed via different systems or, alternatively, that this difference merely reflects the diversity of gender conforming and non-conforming voices in our listeners’ experience.</w:t>
      </w:r>
      <w:r>
        <w:t xml:space="preserve"> </w:t>
      </w: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Unlike coarticulation, which is lawful and systematic</w:t>
      </w:r>
      <w:r>
        <w:t xml:space="preserve"> </w:t>
      </w:r>
      <w:r>
        <w:t xml:space="preserve">(Beddor 2009)</w:t>
      </w:r>
      <w:r>
        <w:t xml:space="preserve">, incongruence in gender cues is a normal part of the social construction of gender</w:t>
      </w:r>
      <w:r>
        <w:t xml:space="preserve"> </w:t>
      </w:r>
      <w:r>
        <w:t xml:space="preserve">(Barrett 2017)</w:t>
      </w:r>
      <w:r>
        <w:t xml:space="preserve">.</w:t>
      </w:r>
    </w:p>
    <w:bookmarkEnd w:id="67"/>
    <w:bookmarkStart w:id="198" w:name="sec-references"/>
    <w:p>
      <w:pPr>
        <w:pStyle w:val="Heading1"/>
      </w:pPr>
      <w:r>
        <w:t xml:space="preserve">References</w:t>
      </w:r>
    </w:p>
    <w:bookmarkStart w:id="197"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2017"/>
    <w:p>
      <w:pPr>
        <w:pStyle w:val="Bibliography"/>
      </w:pPr>
      <w:r>
        <w:t xml:space="preserve">———. 2017.</w:t>
      </w:r>
      <w:r>
        <w:t xml:space="preserve"> </w:t>
      </w:r>
      <w:r>
        <w:rPr>
          <w:i/>
          <w:iCs/>
        </w:rPr>
        <w:t xml:space="preserve">From Drag Queens to Leathermen: Language, Gender, and Gay Male Subcultures</w:t>
      </w:r>
      <w:r>
        <w:t xml:space="preserve">. Oxford University Press.</w:t>
      </w:r>
    </w:p>
    <w:bookmarkEnd w:id="73"/>
    <w:bookmarkStart w:id="74"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4"/>
    <w:bookmarkStart w:id="76"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5">
        <w:r>
          <w:rPr>
            <w:rStyle w:val="Hyperlink"/>
          </w:rPr>
          <w:t xml:space="preserve">http://CRAN.R-project.org/package=lme4</w:t>
        </w:r>
      </w:hyperlink>
      <w:r>
        <w:t xml:space="preserve">.</w:t>
      </w:r>
    </w:p>
    <w:bookmarkEnd w:id="76"/>
    <w:bookmarkStart w:id="77" w:name="ref-Beddor2009"/>
    <w:p>
      <w:pPr>
        <w:pStyle w:val="Bibliography"/>
      </w:pPr>
      <w:r>
        <w:t xml:space="preserve">Beddor, Patrice Speeter. 2009.</w:t>
      </w:r>
      <w:r>
        <w:t xml:space="preserve"> </w:t>
      </w:r>
      <w:r>
        <w:t xml:space="preserve">“A Coarticulatory Path to Sound Change.”</w:t>
      </w:r>
      <w:r>
        <w:t xml:space="preserve"> </w:t>
      </w:r>
      <w:r>
        <w:rPr>
          <w:i/>
          <w:iCs/>
        </w:rPr>
        <w:t xml:space="preserve">Language</w:t>
      </w:r>
      <w:r>
        <w:t xml:space="preserve"> </w:t>
      </w:r>
      <w:r>
        <w:t xml:space="preserve">85 (4): 785–821.</w:t>
      </w:r>
    </w:p>
    <w:bookmarkEnd w:id="77"/>
    <w:bookmarkStart w:id="78"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8"/>
    <w:bookmarkStart w:id="79"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9"/>
    <w:bookmarkStart w:id="81"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80">
        <w:r>
          <w:rPr>
            <w:rStyle w:val="Hyperlink"/>
          </w:rPr>
          <w:t xml:space="preserve">https://doi.org/10.1121/1.5101933</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100" w:name="ref-donofrio2020"/>
    <w:p>
      <w:pPr>
        <w:pStyle w:val="Bibliography"/>
      </w:pPr>
      <w:r>
        <w:t xml:space="preserve">———. 2020.</w:t>
      </w:r>
      <w:r>
        <w:t xml:space="preserve"> </w:t>
      </w:r>
      <w:r>
        <w:t xml:space="preserve">“Personae in Sociolinguistic Variation.”</w:t>
      </w:r>
      <w:r>
        <w:t xml:space="preserve"> </w:t>
      </w:r>
      <w:r>
        <w:rPr>
          <w:i/>
          <w:iCs/>
        </w:rPr>
        <w:t xml:space="preserve">WIREs Cognitive Science</w:t>
      </w:r>
      <w:r>
        <w:t xml:space="preserve"> </w:t>
      </w:r>
      <w:r>
        <w:t xml:space="preserve">11 (6): e1543.</w:t>
      </w:r>
      <w:r>
        <w:t xml:space="preserve"> </w:t>
      </w:r>
      <w:hyperlink r:id="rId99">
        <w:r>
          <w:rPr>
            <w:rStyle w:val="Hyperlink"/>
          </w:rPr>
          <w:t xml:space="preserve">https://doi.org/10.1002/wcs.1543</w:t>
        </w:r>
      </w:hyperlink>
      <w:r>
        <w:t xml:space="preserve">.</w:t>
      </w:r>
    </w:p>
    <w:bookmarkEnd w:id="100"/>
    <w:bookmarkStart w:id="101"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101"/>
    <w:bookmarkStart w:id="102"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2"/>
    <w:bookmarkStart w:id="104"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3">
        <w:r>
          <w:rPr>
            <w:rStyle w:val="Hyperlink"/>
          </w:rPr>
          <w:t xml:space="preserve">https://doi.org/10.1016/s0010-0277(00)00123-2</w:t>
        </w:r>
      </w:hyperlink>
      <w:r>
        <w:t xml:space="preserve">.</w:t>
      </w:r>
    </w:p>
    <w:bookmarkEnd w:id="104"/>
    <w:bookmarkStart w:id="105"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5"/>
    <w:bookmarkStart w:id="106"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6"/>
    <w:bookmarkStart w:id="107"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7"/>
    <w:bookmarkStart w:id="108"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8"/>
    <w:bookmarkStart w:id="109" w:name="ref-eckert2012"/>
    <w:p>
      <w:pPr>
        <w:pStyle w:val="Bibliography"/>
      </w:pPr>
      <w:r>
        <w:t xml:space="preserve">Eckert, Penelope.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9"/>
    <w:bookmarkStart w:id="110"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10"/>
    <w:bookmarkStart w:id="111"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1"/>
    <w:bookmarkStart w:id="112"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2"/>
    <w:bookmarkStart w:id="113"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3"/>
    <w:bookmarkStart w:id="114"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4"/>
    <w:bookmarkStart w:id="115"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5"/>
    <w:bookmarkStart w:id="116"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6"/>
    <w:bookmarkStart w:id="117"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7"/>
    <w:bookmarkStart w:id="118"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8"/>
    <w:bookmarkStart w:id="119"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9"/>
    <w:bookmarkStart w:id="120"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20"/>
    <w:bookmarkStart w:id="122"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1">
        <w:r>
          <w:rPr>
            <w:rStyle w:val="Hyperlink"/>
          </w:rPr>
          <w:t xml:space="preserve">https://doi.org/10.3389/fpsyg.2015.00500</w:t>
        </w:r>
      </w:hyperlink>
      <w:r>
        <w:t xml:space="preserve">.</w:t>
      </w:r>
    </w:p>
    <w:bookmarkEnd w:id="122"/>
    <w:bookmarkStart w:id="124"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3">
        <w:r>
          <w:rPr>
            <w:rStyle w:val="Hyperlink"/>
          </w:rPr>
          <w:t xml:space="preserve">http://dx.doi.org/10.3758/BF03207536</w:t>
        </w:r>
      </w:hyperlink>
      <w:r>
        <w:t xml:space="preserve">.</w:t>
      </w:r>
    </w:p>
    <w:bookmarkEnd w:id="124"/>
    <w:bookmarkStart w:id="125"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5"/>
    <w:bookmarkStart w:id="126"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6"/>
    <w:bookmarkStart w:id="127"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7"/>
    <w:bookmarkStart w:id="128"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8"/>
    <w:bookmarkStart w:id="12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9"/>
    <w:bookmarkStart w:id="130"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30"/>
    <w:bookmarkStart w:id="131"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1"/>
    <w:bookmarkStart w:id="132"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2"/>
    <w:bookmarkStart w:id="133"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3"/>
    <w:bookmarkStart w:id="135"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4">
        <w:r>
          <w:rPr>
            <w:rStyle w:val="Hyperlink"/>
          </w:rPr>
          <w:t xml:space="preserve">http://www.jstor.org/stable/522229</w:t>
        </w:r>
      </w:hyperlink>
      <w:r>
        <w:t xml:space="preserve">.</w:t>
      </w:r>
    </w:p>
    <w:bookmarkEnd w:id="135"/>
    <w:bookmarkStart w:id="136"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6"/>
    <w:bookmarkStart w:id="137"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7"/>
    <w:bookmarkStart w:id="138"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8"/>
    <w:bookmarkStart w:id="139"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9"/>
    <w:bookmarkStart w:id="140"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40"/>
    <w:bookmarkStart w:id="142"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1">
        <w:r>
          <w:rPr>
            <w:rStyle w:val="Hyperlink"/>
          </w:rPr>
          <w:t xml:space="preserve">https://doi.org/10.1371/journal.pone.0130834</w:t>
        </w:r>
      </w:hyperlink>
      <w:r>
        <w:t xml:space="preserve">.</w:t>
      </w:r>
    </w:p>
    <w:bookmarkEnd w:id="142"/>
    <w:bookmarkStart w:id="144"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3">
        <w:r>
          <w:rPr>
            <w:rStyle w:val="Hyperlink"/>
          </w:rPr>
          <w:t xml:space="preserve">https://doi.org/10.3109/13682826809011440</w:t>
        </w:r>
      </w:hyperlink>
      <w:r>
        <w:t xml:space="preserve">.</w:t>
      </w:r>
    </w:p>
    <w:bookmarkEnd w:id="144"/>
    <w:bookmarkStart w:id="146"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5">
        <w:r>
          <w:rPr>
            <w:rStyle w:val="Hyperlink"/>
          </w:rPr>
          <w:t xml:space="preserve">https://doi.org/10.1177/0075424214531487</w:t>
        </w:r>
      </w:hyperlink>
      <w:r>
        <w:t xml:space="preserve">.</w:t>
      </w:r>
    </w:p>
    <w:bookmarkEnd w:id="146"/>
    <w:bookmarkStart w:id="147"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7"/>
    <w:bookmarkStart w:id="168"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8"/>
    <w:bookmarkStart w:id="169"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9"/>
    <w:bookmarkStart w:id="170"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0"/>
    <w:bookmarkStart w:id="171"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1"/>
    <w:bookmarkStart w:id="172"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2"/>
    <w:bookmarkStart w:id="173"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3"/>
    <w:bookmarkStart w:id="175"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4">
        <w:r>
          <w:rPr>
            <w:rStyle w:val="Hyperlink"/>
          </w:rPr>
          <w:t xml:space="preserve">https://doi.org/10.1093/oxfordhb/9780199600472.001.0001</w:t>
        </w:r>
      </w:hyperlink>
      <w:r>
        <w:t xml:space="preserve">.</w:t>
      </w:r>
    </w:p>
    <w:bookmarkEnd w:id="175"/>
    <w:bookmarkStart w:id="176"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6"/>
    <w:bookmarkStart w:id="177"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7"/>
    <w:bookmarkStart w:id="178"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8"/>
    <w:bookmarkStart w:id="179"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9"/>
    <w:bookmarkStart w:id="180"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0"/>
    <w:bookmarkStart w:id="182"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1">
        <w:r>
          <w:rPr>
            <w:rStyle w:val="Hyperlink"/>
          </w:rPr>
          <w:t xml:space="preserve">https://doi.org/10.3758/BF03197491</w:t>
        </w:r>
      </w:hyperlink>
      <w:r>
        <w:t xml:space="preserve">.</w:t>
      </w:r>
    </w:p>
    <w:bookmarkEnd w:id="182"/>
    <w:bookmarkStart w:id="183"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3"/>
    <w:bookmarkStart w:id="184"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4"/>
    <w:bookmarkStart w:id="185"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5"/>
    <w:bookmarkStart w:id="186"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6"/>
    <w:bookmarkStart w:id="187"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7"/>
    <w:bookmarkStart w:id="188"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8"/>
    <w:bookmarkStart w:id="189"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9"/>
    <w:bookmarkStart w:id="190"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0"/>
    <w:bookmarkStart w:id="191"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1"/>
    <w:bookmarkStart w:id="192"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2"/>
    <w:bookmarkStart w:id="193"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3"/>
    <w:bookmarkStart w:id="194"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4"/>
    <w:bookmarkStart w:id="195"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5"/>
    <w:bookmarkStart w:id="196"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6"/>
    <w:bookmarkEnd w:id="197"/>
    <w:bookmarkEnd w:id="198"/>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5" Target="http://CRAN.R-project.org/package=lme4" TargetMode="External" /><Relationship Type="http://schemas.openxmlformats.org/officeDocument/2006/relationships/hyperlink" Id="rId123" Target="http://dx.doi.org/10.3758/BF03207536" TargetMode="External" /><Relationship Type="http://schemas.openxmlformats.org/officeDocument/2006/relationships/hyperlink" Id="rId134" Target="http://www.jstor.org/stable/522229" TargetMode="External" /><Relationship Type="http://schemas.openxmlformats.org/officeDocument/2006/relationships/hyperlink" Id="rId99"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5" Target="https://doi.org/10.1177/0075424214531487" TargetMode="External" /><Relationship Type="http://schemas.openxmlformats.org/officeDocument/2006/relationships/hyperlink" Id="rId141" Target="https://doi.org/10.1371/journal.pone.0130834" TargetMode="External" /><Relationship Type="http://schemas.openxmlformats.org/officeDocument/2006/relationships/hyperlink" Id="rId143" Target="https://doi.org/10.3109/13682826809011440" TargetMode="External" /><Relationship Type="http://schemas.openxmlformats.org/officeDocument/2006/relationships/hyperlink" Id="rId121"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1" Target="https://doi.org/10.4324/9781315514857-5" TargetMode="External" /></Relationships>
</file>

<file path=word/_rels/footnotes.xml.rels><?xml version="1.0" encoding="UTF-8"?><Relationships xmlns="http://schemas.openxmlformats.org/package/2006/relationships"><Relationship Type="http://schemas.openxmlformats.org/officeDocument/2006/relationships/hyperlink" Id="rId75" Target="http://CRAN.R-project.org/package=lme4" TargetMode="External" /><Relationship Type="http://schemas.openxmlformats.org/officeDocument/2006/relationships/hyperlink" Id="rId123" Target="http://dx.doi.org/10.3758/BF03207536" TargetMode="External" /><Relationship Type="http://schemas.openxmlformats.org/officeDocument/2006/relationships/hyperlink" Id="rId134" Target="http://www.jstor.org/stable/522229" TargetMode="External" /><Relationship Type="http://schemas.openxmlformats.org/officeDocument/2006/relationships/hyperlink" Id="rId99"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5" Target="https://doi.org/10.1177/0075424214531487" TargetMode="External" /><Relationship Type="http://schemas.openxmlformats.org/officeDocument/2006/relationships/hyperlink" Id="rId141" Target="https://doi.org/10.1371/journal.pone.0130834" TargetMode="External" /><Relationship Type="http://schemas.openxmlformats.org/officeDocument/2006/relationships/hyperlink" Id="rId143" Target="https://doi.org/10.3109/13682826809011440" TargetMode="External" /><Relationship Type="http://schemas.openxmlformats.org/officeDocument/2006/relationships/hyperlink" Id="rId121"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1" Target="https://doi.org/10.4324/978131551485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2024-12-12T19:21:41Z</dcterms:created>
  <dcterms:modified xsi:type="dcterms:W3CDTF">2024-12-12T19:21:41Z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2024-12-12</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