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8.png" ContentType="image/png"/>
  <Override PartName="/word/media/rId142.png" ContentType="image/png"/>
  <Override PartName="/word/media/rId150.png" ContentType="image/png"/>
  <Override PartName="/word/media/rId146.png" ContentType="image/png"/>
  <Override PartName="/word/media/rId134.jpg" ContentType="image/jpe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irstheader"/>
    <w:p>
      <w:pPr>
        <w:pStyle w:val="Heading1"/>
      </w:pPr>
      <w:r>
        <w:t xml:space="preserve">Removing the disguise: the matched guise technique and listener awareness</w:t>
      </w:r>
    </w:p>
    <w:bookmarkEnd w:id="20"/>
    <w:bookmarkStart w:id="24"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w:t>
      </w:r>
      <w:hyperlink w:anchor="ref-zimman2017">
        <w:r>
          <w:rPr>
            <w:rStyle w:val="Hyperlink"/>
          </w:rPr>
          <w:t xml:space="preserve">Zimman, 2017</w:t>
        </w:r>
      </w:hyperlink>
      <w:r>
        <w:t xml:space="preserve">)</w:t>
      </w:r>
      <w:r>
        <w:t xml:space="preserve"> </w:t>
      </w:r>
      <w:r>
        <w:t xml:space="preserve">comprising both non-linguistic and linguistic</w:t>
      </w:r>
      <w:r>
        <w:t xml:space="preserve"> </w:t>
      </w:r>
      <w:r>
        <w:t xml:space="preserve">resources</w:t>
      </w:r>
      <w:r>
        <w:t xml:space="preserve"> </w:t>
      </w:r>
      <w:r>
        <w:t xml:space="preserve">(</w:t>
      </w:r>
      <w:hyperlink w:anchor="ref-barrett2014">
        <w:r>
          <w:rPr>
            <w:rStyle w:val="Hyperlink"/>
          </w:rPr>
          <w:t xml:space="preserve">Barrett, 2014</w:t>
        </w:r>
      </w:hyperlink>
      <w:r>
        <w:t xml:space="preserve">;</w:t>
      </w:r>
      <w:r>
        <w:t xml:space="preserve"> </w:t>
      </w:r>
      <w:hyperlink w:anchor="ref-bucholtz2002">
        <w:r>
          <w:rPr>
            <w:rStyle w:val="Hyperlink"/>
          </w:rPr>
          <w:t xml:space="preserve">Bucholtz, 2002</w:t>
        </w:r>
      </w:hyperlink>
      <w:r>
        <w:t xml:space="preserve">)</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w:t>
      </w:r>
      <w:hyperlink w:anchor="ref-bucholtzHall2016">
        <w:r>
          <w:rPr>
            <w:rStyle w:val="Hyperlink"/>
          </w:rPr>
          <w:t xml:space="preserve">Bucholtz &amp; Hall, 2016</w:t>
        </w:r>
      </w:hyperlink>
      <w:r>
        <w:t xml:space="preserve">;</w:t>
      </w:r>
      <w:r>
        <w:t xml:space="preserve"> </w:t>
      </w:r>
      <w:hyperlink w:anchor="ref-hall2021language">
        <w:r>
          <w:rPr>
            <w:rStyle w:val="Hyperlink"/>
          </w:rPr>
          <w:t xml:space="preserve">Hall et al., 2021</w:t>
        </w:r>
      </w:hyperlink>
      <w:r>
        <w:t xml:space="preserve">;</w:t>
      </w:r>
      <w:r>
        <w:t xml:space="preserve"> </w:t>
      </w:r>
      <w:hyperlink w:anchor="ref-podesvaKajino2014">
        <w:r>
          <w:rPr>
            <w:rStyle w:val="Hyperlink"/>
          </w:rPr>
          <w:t xml:space="preserve">Podesva &amp; Kajino, 2014a</w:t>
        </w:r>
      </w:hyperlink>
      <w:r>
        <w:t xml:space="preserve">)</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w:t>
      </w:r>
      <w:hyperlink w:anchor="ref-calder2018">
        <w:r>
          <w:rPr>
            <w:rStyle w:val="Hyperlink"/>
          </w:rPr>
          <w:t xml:space="preserve">Calder, 2018</w:t>
        </w:r>
      </w:hyperlink>
      <w:r>
        <w:t xml:space="preserve">;</w:t>
      </w:r>
      <w:r>
        <w:t xml:space="preserve"> </w:t>
      </w:r>
      <w:hyperlink w:anchor="ref-mackMunson2012b">
        <w:r>
          <w:rPr>
            <w:rStyle w:val="Hyperlink"/>
          </w:rPr>
          <w:t xml:space="preserve">Mack &amp; Munson, 2012</w:t>
        </w:r>
      </w:hyperlink>
      <w:r>
        <w:t xml:space="preserve">;</w:t>
      </w:r>
      <w:r>
        <w:t xml:space="preserve"> </w:t>
      </w:r>
      <w:hyperlink w:anchor="ref-strand1999">
        <w:r>
          <w:rPr>
            <w:rStyle w:val="Hyperlink"/>
          </w:rPr>
          <w:t xml:space="preserve">Strand, 1999</w:t>
        </w:r>
      </w:hyperlink>
      <w:r>
        <w:t xml:space="preserve">)</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w:t>
      </w:r>
      <w:hyperlink w:anchor="ref-fant1960">
        <w:r>
          <w:rPr>
            <w:rStyle w:val="Hyperlink"/>
          </w:rPr>
          <w:t xml:space="preserve">Fant, 1960</w:t>
        </w:r>
      </w:hyperlink>
      <w:r>
        <w:t xml:space="preserve">;</w:t>
      </w:r>
      <w:r>
        <w:t xml:space="preserve"> </w:t>
      </w:r>
      <w:hyperlink w:anchor="ref-shadle1991">
        <w:r>
          <w:rPr>
            <w:rStyle w:val="Hyperlink"/>
          </w:rPr>
          <w:t xml:space="preserve">Shadle, 1991</w:t>
        </w:r>
      </w:hyperlink>
      <w:r>
        <w:t xml:space="preserve">)</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w:t>
      </w:r>
      <w:hyperlink w:anchor="ref-eckert2012">
        <w:r>
          <w:rPr>
            <w:rStyle w:val="Hyperlink"/>
          </w:rPr>
          <w:t xml:space="preserve">Eckert, 2012</w:t>
        </w:r>
      </w:hyperlink>
      <w:r>
        <w:t xml:space="preserve">;</w:t>
      </w:r>
      <w:r>
        <w:t xml:space="preserve"> </w:t>
      </w:r>
      <w:hyperlink w:anchor="ref-may1976">
        <w:r>
          <w:rPr>
            <w:rStyle w:val="Hyperlink"/>
          </w:rPr>
          <w:t xml:space="preserve">May, 1976a</w:t>
        </w:r>
      </w:hyperlink>
      <w:r>
        <w:t xml:space="preserve">;</w:t>
      </w:r>
      <w:r>
        <w:t xml:space="preserve"> </w:t>
      </w:r>
      <w:hyperlink w:anchor="ref-ohala1994">
        <w:r>
          <w:rPr>
            <w:rStyle w:val="Hyperlink"/>
          </w:rPr>
          <w:t xml:space="preserve">Ohala, 1994</w:t>
        </w:r>
      </w:hyperlink>
      <w:r>
        <w:t xml:space="preserve">)</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w:t>
      </w:r>
      <w:hyperlink w:anchor="ref-may1976">
        <w:r>
          <w:rPr>
            <w:rStyle w:val="Hyperlink"/>
          </w:rPr>
          <w:t xml:space="preserve">May, 1976a</w:t>
        </w:r>
      </w:hyperlink>
      <w:r>
        <w:t xml:space="preserve">)</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w:t>
      </w:r>
      <w:hyperlink w:anchor="ref-may1976">
        <w:r>
          <w:rPr>
            <w:rStyle w:val="Hyperlink"/>
          </w:rPr>
          <w:t xml:space="preserve">1976a</w:t>
        </w:r>
      </w:hyperlink>
      <w:r>
        <w:t xml:space="preserve">)</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w:t>
      </w:r>
      <w:hyperlink w:anchor="ref-munson2011">
        <w:r>
          <w:rPr>
            <w:rStyle w:val="Hyperlink"/>
          </w:rPr>
          <w:t xml:space="preserve">Munson, 2011</w:t>
        </w:r>
      </w:hyperlink>
      <w:r>
        <w:t xml:space="preserve">)</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w:t>
      </w:r>
      <w:hyperlink w:anchor="ref-repp1982">
        <w:r>
          <w:rPr>
            <w:rStyle w:val="Hyperlink"/>
          </w:rPr>
          <w:t xml:space="preserve">Repp, 1982</w:t>
        </w:r>
      </w:hyperlink>
      <w:r>
        <w:t xml:space="preserve">)</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w:t>
      </w:r>
      <w:hyperlink w:anchor="ref-bouavichithEtAl2019">
        <w:r>
          <w:rPr>
            <w:rStyle w:val="Hyperlink"/>
          </w:rPr>
          <w:t xml:space="preserve">Bouavichith et al., 2019</w:t>
        </w:r>
      </w:hyperlink>
      <w:r>
        <w:t xml:space="preserve">)</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w:t>
      </w:r>
      <w:hyperlink w:anchor="ref-munson2011">
        <w:r>
          <w:rPr>
            <w:rStyle w:val="Hyperlink"/>
          </w:rPr>
          <w:t xml:space="preserve">Munson, 2011</w:t>
        </w:r>
      </w:hyperlink>
      <w:r>
        <w:t xml:space="preserve">;</w:t>
      </w:r>
      <w:r>
        <w:t xml:space="preserve"> </w:t>
      </w:r>
      <w:hyperlink w:anchor="ref-strandJohnson1996">
        <w:r>
          <w:rPr>
            <w:rStyle w:val="Hyperlink"/>
          </w:rPr>
          <w:t xml:space="preserve">Strand &amp; Johnson, 1996</w:t>
        </w:r>
      </w:hyperlink>
      <w:r>
        <w:t xml:space="preserve">)</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w:t>
      </w:r>
      <w:hyperlink w:anchor="ref-foulkesDocherty2006">
        <w:r>
          <w:rPr>
            <w:rStyle w:val="Hyperlink"/>
          </w:rPr>
          <w:t xml:space="preserve">Foulkes &amp; Docherty, 2006</w:t>
        </w:r>
      </w:hyperlink>
      <w:r>
        <w:t xml:space="preserve">)</w:t>
      </w:r>
      <w:r>
        <w:t xml:space="preserve">, retrieve</w:t>
      </w:r>
      <w:r>
        <w:t xml:space="preserve"> </w:t>
      </w:r>
      <w:r>
        <w:t xml:space="preserve">(</w:t>
      </w:r>
      <w:hyperlink w:anchor="ref-walkerHay2011">
        <w:r>
          <w:rPr>
            <w:rStyle w:val="Hyperlink"/>
          </w:rPr>
          <w:t xml:space="preserve">Walker &amp; Hay, 2011</w:t>
        </w:r>
      </w:hyperlink>
      <w:r>
        <w:t xml:space="preserve">)</w:t>
      </w:r>
      <w:r>
        <w:t xml:space="preserve">, and even remember</w:t>
      </w:r>
      <w:r>
        <w:t xml:space="preserve"> </w:t>
      </w:r>
      <w:r>
        <w:t xml:space="preserve">(</w:t>
      </w:r>
      <w:hyperlink w:anchor="ref-nygaard1994">
        <w:r>
          <w:rPr>
            <w:rStyle w:val="Hyperlink"/>
          </w:rPr>
          <w:t xml:space="preserve">Nygaard et al., 1994</w:t>
        </w:r>
      </w:hyperlink>
      <w:r>
        <w:t xml:space="preserve">)</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w:t>
      </w:r>
      <w:hyperlink w:anchor="ref-babelCampbell-kiblerMcGowanVolume">
        <w:r>
          <w:rPr>
            <w:rStyle w:val="Hyperlink"/>
          </w:rPr>
          <w:t xml:space="preserve">Babel et al., this volume</w:t>
        </w:r>
      </w:hyperlink>
      <w:r>
        <w:t xml:space="preserv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1"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w:t>
      </w:r>
      <w:r>
        <w:t xml:space="preserve"> </w:t>
      </w:r>
      <w:hyperlink w:anchor="ref-may1976">
        <w:r>
          <w:rPr>
            <w:rStyle w:val="Hyperlink"/>
          </w:rPr>
          <w:t xml:space="preserve">May, 1976a</w:t>
        </w:r>
      </w:hyperlink>
      <w:r>
        <w:t xml:space="preserve">)</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w:t>
      </w:r>
      <w:hyperlink w:anchor="ref-kunisakifujisaki1977">
        <w:r>
          <w:rPr>
            <w:rStyle w:val="Hyperlink"/>
          </w:rPr>
          <w:t xml:space="preserve">Kunisaki &amp; Fujisaki, 1977</w:t>
        </w:r>
      </w:hyperlink>
      <w:r>
        <w:t xml:space="preserve">;</w:t>
      </w:r>
      <w:r>
        <w:t xml:space="preserve"> </w:t>
      </w:r>
      <w:hyperlink w:anchor="ref-MannRepp1980">
        <w:r>
          <w:rPr>
            <w:rStyle w:val="Hyperlink"/>
          </w:rPr>
          <w:t xml:space="preserve">Mann &amp; Repp, 1980</w:t>
        </w:r>
      </w:hyperlink>
      <w:r>
        <w:t xml:space="preserve">;</w:t>
      </w:r>
      <w:r>
        <w:t xml:space="preserve"> </w:t>
      </w:r>
      <w:hyperlink w:anchor="ref-whalen1981">
        <w:r>
          <w:rPr>
            <w:rStyle w:val="Hyperlink"/>
          </w:rPr>
          <w:t xml:space="preserve">Whalen, 1981</w:t>
        </w:r>
      </w:hyperlink>
      <w:r>
        <w:t xml:space="preserve">)</w:t>
      </w:r>
      <w:r>
        <w:t xml:space="preserve">.</w:t>
      </w:r>
      <w:r>
        <w:t xml:space="preserve"> </w:t>
      </w:r>
      <w:r>
        <w:t xml:space="preserve">Whalen (</w:t>
      </w:r>
      <w:hyperlink w:anchor="ref-whalen1984">
        <w:r>
          <w:rPr>
            <w:rStyle w:val="Hyperlink"/>
          </w:rPr>
          <w:t xml:space="preserve">1984</w:t>
        </w:r>
      </w:hyperlink>
      <w:r>
        <w:t xml:space="preserve">)</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w:t>
      </w:r>
      <w:hyperlink w:anchor="ref-MannRepp1980">
        <w:r>
          <w:rPr>
            <w:rStyle w:val="Hyperlink"/>
          </w:rPr>
          <w:t xml:space="preserve">1980</w:t>
        </w:r>
      </w:hyperlink>
      <w:r>
        <w:t xml:space="preserve">)</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w:t>
      </w:r>
      <w:hyperlink w:anchor="ref-ohala1984">
        <w:r>
          <w:rPr>
            <w:rStyle w:val="Hyperlink"/>
          </w:rPr>
          <w:t xml:space="preserve">Ohala, 1984</w:t>
        </w:r>
      </w:hyperlink>
      <w:r>
        <w:t xml:space="preserve">)</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w:t>
      </w:r>
      <w:hyperlink w:anchor="ref-strandJohnson1996">
        <w:r>
          <w:rPr>
            <w:rStyle w:val="Hyperlink"/>
          </w:rPr>
          <w:t xml:space="preserve">1996</w:t>
        </w:r>
      </w:hyperlink>
      <w:r>
        <w:t xml:space="preserve">)</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w:t>
      </w:r>
      <w:hyperlink w:anchor="ref-MannRepp1980">
        <w:r>
          <w:rPr>
            <w:rStyle w:val="Hyperlink"/>
          </w:rPr>
          <w:t xml:space="preserve">1980</w:t>
        </w:r>
      </w:hyperlink>
      <w:r>
        <w:t xml:space="preserve">)</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w:t>
      </w:r>
      <w:hyperlink w:anchor="ref-McGurkMacDonald1976">
        <w:r>
          <w:rPr>
            <w:rStyle w:val="Hyperlink"/>
          </w:rPr>
          <w:t xml:space="preserve">1976</w:t>
        </w:r>
      </w:hyperlink>
      <w:r>
        <w:t xml:space="preserve">)</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w:t>
      </w:r>
      <w:hyperlink w:anchor="ref-greenKuhlMeltzoffStevens1991">
        <w:r>
          <w:rPr>
            <w:rStyle w:val="Hyperlink"/>
          </w:rPr>
          <w:t xml:space="preserve">1991a</w:t>
        </w:r>
      </w:hyperlink>
      <w:r>
        <w:t xml:space="preserve">)</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t>
      </w:r>
      <w:hyperlink w:anchor="ref-whalen1991">
        <w:r>
          <w:rPr>
            <w:rStyle w:val="Hyperlink"/>
          </w:rPr>
          <w:t xml:space="preserve">Whalen, 1991</w:t>
        </w:r>
      </w:hyperlink>
      <w:r>
        <w:t xml:space="preserve">)</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w:t>
      </w:r>
      <w:hyperlink w:anchor="ref-mackMunson2012b">
        <w:r>
          <w:rPr>
            <w:rStyle w:val="Hyperlink"/>
          </w:rPr>
          <w:t xml:space="preserve">Mack &amp; Munson, 2012</w:t>
        </w:r>
      </w:hyperlink>
      <w:r>
        <w:t xml:space="preserve">;</w:t>
      </w:r>
      <w:r>
        <w:t xml:space="preserve"> </w:t>
      </w:r>
      <w:hyperlink w:anchor="ref-podesvakajino2014">
        <w:r>
          <w:rPr>
            <w:rStyle w:val="Hyperlink"/>
          </w:rPr>
          <w:t xml:space="preserve">Podesva &amp; Kajino, 2014b</w:t>
        </w:r>
      </w:hyperlink>
      <w:r>
        <w:t xml:space="preserve">)</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w:t>
      </w:r>
      <w:hyperlink w:anchor="ref-calder2018">
        <w:r>
          <w:rPr>
            <w:rStyle w:val="Hyperlink"/>
          </w:rPr>
          <w:t xml:space="preserve">Calder, 2018</w:t>
        </w:r>
      </w:hyperlink>
      <w:r>
        <w:t xml:space="preserve">)</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w:t>
      </w:r>
      <w:hyperlink w:anchor="ref-strandJohnson1996">
        <w:r>
          <w:rPr>
            <w:rStyle w:val="Hyperlink"/>
          </w:rPr>
          <w:t xml:space="preserve">1996</w:t>
        </w:r>
      </w:hyperlink>
      <w:r>
        <w:t xml:space="preserve">)</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w:t>
      </w:r>
      <w:hyperlink w:anchor="ref-labovEtAl2011">
        <w:r>
          <w:rPr>
            <w:rStyle w:val="Hyperlink"/>
          </w:rPr>
          <w:t xml:space="preserve">Labov et al., 2011</w:t>
        </w:r>
      </w:hyperlink>
      <w:r>
        <w:t xml:space="preserve">)</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1"/>
    <w:bookmarkStart w:id="22"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w:t>
      </w:r>
      <w:hyperlink w:anchor="ref-daniel2007">
        <w:r>
          <w:rPr>
            <w:rStyle w:val="Hyperlink"/>
          </w:rPr>
          <w:t xml:space="preserve">Daniel et al., 2007</w:t>
        </w:r>
      </w:hyperlink>
      <w:r>
        <w:t xml:space="preserve">;</w:t>
      </w:r>
      <w:r>
        <w:t xml:space="preserve"> </w:t>
      </w:r>
      <w:hyperlink w:anchor="ref-samolinski2007">
        <w:r>
          <w:rPr>
            <w:rStyle w:val="Hyperlink"/>
          </w:rPr>
          <w:t xml:space="preserve">Samoliński et al., 2007</w:t>
        </w:r>
      </w:hyperlink>
      <w:r>
        <w:t xml:space="preserve">)</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w:t>
      </w:r>
      <w:hyperlink w:anchor="ref-samolinski2007">
        <w:r>
          <w:rPr>
            <w:rStyle w:val="Hyperlink"/>
          </w:rPr>
          <w:t xml:space="preserve">Samoliński et al., 2007</w:t>
        </w:r>
      </w:hyperlink>
      <w:r>
        <w:t xml:space="preserve">)</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w:t>
      </w:r>
      <w:hyperlink w:anchor="ref-perryOhdeAshmead2001">
        <w:r>
          <w:rPr>
            <w:rStyle w:val="Hyperlink"/>
          </w:rPr>
          <w:t xml:space="preserve">Perry et al., 2001</w:t>
        </w:r>
      </w:hyperlink>
      <w:r>
        <w:t xml:space="preserve">)</w:t>
      </w:r>
      <w:r>
        <w:t xml:space="preserve">.</w:t>
      </w:r>
      <w:r>
        <w:t xml:space="preserve"> </w:t>
      </w:r>
      <w:r>
        <w:t xml:space="preserve">Schellinger et al. (</w:t>
      </w:r>
      <w:hyperlink w:anchor="ref-schellingerMunsonEdwards2017">
        <w:r>
          <w:rPr>
            <w:rStyle w:val="Hyperlink"/>
          </w:rPr>
          <w:t xml:space="preserve">2017</w:t>
        </w:r>
      </w:hyperlink>
      <w:r>
        <w:t xml:space="preserve">)</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w:t>
      </w:r>
      <w:hyperlink w:anchor="ref-eckertPodesva2021">
        <w:r>
          <w:rPr>
            <w:rStyle w:val="Hyperlink"/>
          </w:rPr>
          <w:t xml:space="preserve">Eckert &amp; Podesva, 2021</w:t>
        </w:r>
      </w:hyperlink>
      <w:r>
        <w:t xml:space="preserve">)</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w:t>
      </w:r>
      <w:hyperlink w:anchor="ref-johnson2005">
        <w:r>
          <w:rPr>
            <w:rStyle w:val="Hyperlink"/>
          </w:rPr>
          <w:t xml:space="preserve">Johnson, 2005</w:t>
        </w:r>
      </w:hyperlink>
      <w:r>
        <w:t xml:space="preserve">;</w:t>
      </w:r>
      <w:r>
        <w:t xml:space="preserve"> </w:t>
      </w:r>
      <w:hyperlink w:anchor="ref-Johnson2006">
        <w:r>
          <w:rPr>
            <w:rStyle w:val="Hyperlink"/>
          </w:rPr>
          <w:t xml:space="preserve">Johnson, 2006</w:t>
        </w:r>
      </w:hyperlink>
      <w:r>
        <w:t xml:space="preserve">)</w:t>
      </w:r>
      <w:r>
        <w:t xml:space="preserve"> </w:t>
      </w:r>
      <w:r>
        <w:t xml:space="preserve">and the constellation of</w:t>
      </w:r>
      <w:r>
        <w:t xml:space="preserve"> </w:t>
      </w:r>
      <w:r>
        <w:t xml:space="preserve">meanings are socially-constructed in interaction</w:t>
      </w:r>
      <w:r>
        <w:t xml:space="preserve"> </w:t>
      </w:r>
      <w:r>
        <w:t xml:space="preserve">(</w:t>
      </w:r>
      <w:hyperlink w:anchor="ref-eckert2008">
        <w:r>
          <w:rPr>
            <w:rStyle w:val="Hyperlink"/>
          </w:rPr>
          <w:t xml:space="preserve">Eckert, 2008</w:t>
        </w:r>
      </w:hyperlink>
      <w:r>
        <w:t xml:space="preserve">)</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w:t>
      </w:r>
      <w:hyperlink w:anchor="ref-Johnson2006">
        <w:r>
          <w:rPr>
            <w:rStyle w:val="Hyperlink"/>
          </w:rPr>
          <w:t xml:space="preserve">Johnson, 2006</w:t>
        </w:r>
      </w:hyperlink>
      <w:r>
        <w:t xml:space="preserve">)</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w:t>
      </w:r>
      <w:hyperlink w:anchor="ref-alpert2014">
        <w:r>
          <w:rPr>
            <w:rStyle w:val="Hyperlink"/>
          </w:rPr>
          <w:t xml:space="preserve">Alpert, 2014</w:t>
        </w:r>
      </w:hyperlink>
      <w:r>
        <w:t xml:space="preserve">;</w:t>
      </w:r>
      <w:r>
        <w:t xml:space="preserve"> </w:t>
      </w:r>
      <w:hyperlink w:anchor="ref-kang2013">
        <w:r>
          <w:rPr>
            <w:rStyle w:val="Hyperlink"/>
          </w:rPr>
          <w:t xml:space="preserve">Käng, 2013</w:t>
        </w:r>
      </w:hyperlink>
      <w:r>
        <w:t xml:space="preserve">)</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w:t>
      </w:r>
      <w:hyperlink w:anchor="ref-boydfruehwaldhall-lew_2021">
        <w:r>
          <w:rPr>
            <w:rStyle w:val="Hyperlink"/>
          </w:rPr>
          <w:t xml:space="preserve">Boyd et al., 2021</w:t>
        </w:r>
      </w:hyperlink>
      <w:r>
        <w:t xml:space="preserve">)</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2"/>
    <w:bookmarkStart w:id="23"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w:t>
      </w:r>
      <w:hyperlink w:anchor="ref-campbell-kibler2005">
        <w:r>
          <w:rPr>
            <w:rStyle w:val="Hyperlink"/>
          </w:rPr>
          <w:t xml:space="preserve">Campbell-Kibler, 2005</w:t>
        </w:r>
      </w:hyperlink>
      <w:r>
        <w:t xml:space="preserve">,</w:t>
      </w:r>
      <w:r>
        <w:t xml:space="preserve"> </w:t>
      </w:r>
      <w:hyperlink w:anchor="ref-campbell-kibler2007">
        <w:r>
          <w:rPr>
            <w:rStyle w:val="Hyperlink"/>
          </w:rPr>
          <w:t xml:space="preserve">2007</w:t>
        </w:r>
      </w:hyperlink>
      <w:r>
        <w:t xml:space="preserve">)</w:t>
      </w:r>
      <w:r>
        <w:t xml:space="preserve"> </w:t>
      </w:r>
      <w:r>
        <w:t xml:space="preserve">or language attitudes</w:t>
      </w:r>
      <w:r>
        <w:t xml:space="preserve"> </w:t>
      </w:r>
      <w:r>
        <w:t xml:space="preserve">(</w:t>
      </w:r>
      <w:hyperlink w:anchor="ref-chan2021">
        <w:r>
          <w:rPr>
            <w:rStyle w:val="Hyperlink"/>
          </w:rPr>
          <w:t xml:space="preserve">CHAN, 2021</w:t>
        </w:r>
      </w:hyperlink>
      <w:r>
        <w:t xml:space="preserve">;</w:t>
      </w:r>
      <w:r>
        <w:t xml:space="preserve"> </w:t>
      </w:r>
      <w:hyperlink w:anchor="ref-hadodoVolume">
        <w:r>
          <w:rPr>
            <w:rStyle w:val="Hyperlink"/>
          </w:rPr>
          <w:t xml:space="preserve">Hadodo, this volume</w:t>
        </w:r>
      </w:hyperlink>
      <w:r>
        <w:t xml:space="preserve">)</w:t>
      </w:r>
      <w:r>
        <w:t xml:space="preserve">. In their foundational use of the technique,</w:t>
      </w:r>
      <w:r>
        <w:t xml:space="preserve"> </w:t>
      </w:r>
      <w:r>
        <w:t xml:space="preserve">for example,</w:t>
      </w:r>
      <w:r>
        <w:t xml:space="preserve"> </w:t>
      </w:r>
      <w:r>
        <w:t xml:space="preserve">Lambert et al. (</w:t>
      </w:r>
      <w:hyperlink w:anchor="ref-lambertEtAl1960">
        <w:r>
          <w:rPr>
            <w:rStyle w:val="Hyperlink"/>
          </w:rPr>
          <w:t xml:space="preserve">1960</w:t>
        </w:r>
      </w:hyperlink>
      <w:r>
        <w:t xml:space="preserve">)</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w:t>
      </w:r>
      <w:hyperlink w:anchor="ref-rubin1992">
        <w:r>
          <w:rPr>
            <w:rStyle w:val="Hyperlink"/>
          </w:rPr>
          <w:t xml:space="preserve">1992</w:t>
        </w:r>
      </w:hyperlink>
      <w:r>
        <w:t xml:space="preserve">)</w:t>
      </w:r>
      <w:r>
        <w:t xml:space="preserve"> </w:t>
      </w:r>
      <w:r>
        <w:t xml:space="preserve">and</w:t>
      </w:r>
      <w:r>
        <w:t xml:space="preserve"> </w:t>
      </w:r>
      <w:r>
        <w:t xml:space="preserve">sometimes take the combination of voice and visual stimuli into account</w:t>
      </w:r>
      <w:r>
        <w:t xml:space="preserve"> </w:t>
      </w:r>
      <w:r>
        <w:t xml:space="preserve">(</w:t>
      </w:r>
      <w:hyperlink w:anchor="ref-campbell-kibler2016">
        <w:r>
          <w:rPr>
            <w:rStyle w:val="Hyperlink"/>
          </w:rPr>
          <w:t xml:space="preserve">Campbell-Kibler, 2016</w:t>
        </w:r>
      </w:hyperlink>
      <w:r>
        <w:t xml:space="preserve">;</w:t>
      </w:r>
      <w:r>
        <w:t xml:space="preserve"> </w:t>
      </w:r>
      <w:hyperlink w:anchor="ref-gnevsheva2017">
        <w:r>
          <w:rPr>
            <w:rStyle w:val="Hyperlink"/>
          </w:rPr>
          <w:t xml:space="preserve">Gnevsheva, 2017</w:t>
        </w:r>
      </w:hyperlink>
      <w:r>
        <w:t xml:space="preserve">;</w:t>
      </w:r>
      <w:r>
        <w:t xml:space="preserve"> </w:t>
      </w:r>
      <w:hyperlink w:anchor="ref-mcgowan2015">
        <w:r>
          <w:rPr>
            <w:rStyle w:val="Hyperlink"/>
            <w:b/>
            <w:bCs/>
          </w:rPr>
          <w:t xml:space="preserve">mcgowan2015?</w:t>
        </w:r>
      </w:hyperlink>
      <w:r>
        <w:t xml:space="preserve">)</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w:t>
      </w:r>
      <w:hyperlink w:anchor="ref-mcgowan2015">
        <w:r>
          <w:rPr>
            <w:rStyle w:val="Hyperlink"/>
            <w:b/>
            <w:bCs/>
          </w:rPr>
          <w:t xml:space="preserve">mcgowan2015?</w:t>
        </w:r>
      </w:hyperlink>
      <w:r>
        <w:t xml:space="preserve">)</w:t>
      </w:r>
      <w:r>
        <w:t xml:space="preserve"> </w:t>
      </w:r>
      <w:r>
        <w:t xml:space="preserve">or simply</w:t>
      </w:r>
      <w:r>
        <w:t xml:space="preserve"> </w:t>
      </w:r>
      <w:r>
        <w:t xml:space="preserve">‘identification’</w:t>
      </w:r>
      <w:r>
        <w:t xml:space="preserve"> </w:t>
      </w:r>
      <w:r>
        <w:t xml:space="preserve">(</w:t>
      </w:r>
      <w:hyperlink w:anchor="ref-drager2013">
        <w:r>
          <w:rPr>
            <w:rStyle w:val="Hyperlink"/>
          </w:rPr>
          <w:t xml:space="preserve">Drager, 2013</w:t>
        </w:r>
      </w:hyperlink>
      <w:r>
        <w:t xml:space="preserve">)</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w:t>
      </w:r>
      <w:r>
        <w:t xml:space="preserve"> </w:t>
      </w:r>
      <w:hyperlink w:anchor="ref-rosseelGrondelaers2019">
        <w:r>
          <w:rPr>
            <w:rStyle w:val="Hyperlink"/>
          </w:rPr>
          <w:t xml:space="preserve">Rosseel &amp; Grondelaers, 2019</w:t>
        </w:r>
      </w:hyperlink>
      <w:r>
        <w:t xml:space="preserve">)</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w:t>
      </w:r>
      <w:hyperlink w:anchor="ref-grondelaersVanGent2019">
        <w:r>
          <w:rPr>
            <w:rStyle w:val="Hyperlink"/>
          </w:rPr>
          <w:t xml:space="preserve">Grondelaers &amp; Gent, 2019</w:t>
        </w:r>
      </w:hyperlink>
      <w:r>
        <w:t xml:space="preserve">; e.g.</w:t>
      </w:r>
      <w:r>
        <w:t xml:space="preserve"> </w:t>
      </w:r>
      <w:hyperlink w:anchor="ref-pharaoKristiansen2019">
        <w:r>
          <w:rPr>
            <w:rStyle w:val="Hyperlink"/>
          </w:rPr>
          <w:t xml:space="preserve">Pharao &amp; Kristiansen, 2019</w:t>
        </w:r>
      </w:hyperlink>
      <w:r>
        <w:t xml:space="preserve">)</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w:t>
      </w:r>
      <w:hyperlink w:anchor="ref-mcgowanBabel2020">
        <w:r>
          <w:rPr>
            <w:rStyle w:val="Hyperlink"/>
          </w:rPr>
          <w:t xml:space="preserve">2020</w:t>
        </w:r>
      </w:hyperlink>
      <w:r>
        <w:t xml:space="preserve">)</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w:t>
      </w:r>
      <w:hyperlink w:anchor="ref-mcgowanBabel2020">
        <w:r>
          <w:rPr>
            <w:rStyle w:val="Hyperlink"/>
          </w:rPr>
          <w:t xml:space="preserve">2020</w:t>
        </w:r>
      </w:hyperlink>
      <w:r>
        <w:t xml:space="preserve">)</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w:t>
      </w:r>
      <w:hyperlink w:anchor="ref-BabelVolume">
        <w:r>
          <w:rPr>
            <w:rStyle w:val="Hyperlink"/>
          </w:rPr>
          <w:t xml:space="preserve">Babel, this volume</w:t>
        </w:r>
      </w:hyperlink>
      <w:r>
        <w:t xml:space="preserv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w:t>
      </w:r>
      <w:hyperlink w:anchor="ref-strandJohnson1996">
        <w:r>
          <w:rPr>
            <w:rStyle w:val="Hyperlink"/>
          </w:rPr>
          <w:t xml:space="preserve">1996</w:t>
        </w:r>
      </w:hyperlink>
      <w:r>
        <w:t xml:space="preserve">)</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w:t>
      </w:r>
      <w:hyperlink w:anchor="ref-steckerDOnofrioVolume">
        <w:r>
          <w:rPr>
            <w:rStyle w:val="Hyperlink"/>
          </w:rPr>
          <w:t xml:space="preserve">Stecker &amp; D’Onofrio, this volume</w:t>
        </w:r>
      </w:hyperlink>
      <w:r>
        <w:t xml:space="preserve">;</w:t>
      </w:r>
      <w:r>
        <w:t xml:space="preserve"> </w:t>
      </w:r>
      <w:hyperlink w:anchor="ref-trippMunson2022">
        <w:r>
          <w:rPr>
            <w:rStyle w:val="Hyperlink"/>
          </w:rPr>
          <w:t xml:space="preserve">Tripp &amp; Munson, 2022</w:t>
        </w:r>
      </w:hyperlink>
      <w:r>
        <w:t xml:space="preserv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w:t>
      </w:r>
      <w:hyperlink w:anchor="ref-bouavichithEtAl2019">
        <w:r>
          <w:rPr>
            <w:rStyle w:val="Hyperlink"/>
          </w:rPr>
          <w:t xml:space="preserve">Bouavichith et al., 2019</w:t>
        </w:r>
      </w:hyperlink>
      <w:r>
        <w:t xml:space="preserve">)</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w:t>
      </w:r>
      <w:hyperlink w:anchor="ref-campbell-kibler2020">
        <w:r>
          <w:rPr>
            <w:rStyle w:val="Hyperlink"/>
          </w:rPr>
          <w:t xml:space="preserve">Campbell-Kibler, 2021</w:t>
        </w:r>
      </w:hyperlink>
      <w:r>
        <w:t xml:space="preserve">)</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32" w:name="method"/>
    <w:p>
      <w:pPr>
        <w:pStyle w:val="Heading1"/>
      </w:pPr>
      <w:r>
        <w:t xml:space="preserve">Method</w:t>
      </w:r>
    </w:p>
    <w:bookmarkStart w:id="25"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27" w:name="stimulus-materials"/>
    <w:p>
      <w:pPr>
        <w:pStyle w:val="Heading2"/>
      </w:pPr>
      <w:r>
        <w:t xml:space="preserve">Stimulus Materials</w:t>
      </w:r>
    </w:p>
    <w:bookmarkStart w:id="26"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w:t>
      </w:r>
      <w:hyperlink w:anchor="ref-bouavichithEtAl2019">
        <w:r>
          <w:rPr>
            <w:rStyle w:val="Hyperlink"/>
          </w:rPr>
          <w:t xml:space="preserve">Bouavichith et al., 2019</w:t>
        </w:r>
      </w:hyperlink>
      <w:r>
        <w:t xml:space="preserve">)</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w:t>
      </w:r>
      <w:hyperlink w:anchor="ref-praat2001">
        <w:r>
          <w:rPr>
            <w:rStyle w:val="Hyperlink"/>
          </w:rPr>
          <w:t xml:space="preserve">Boersma, 2001</w:t>
        </w:r>
      </w:hyperlink>
      <w:r>
        <w:t xml:space="preserve">)</w:t>
      </w:r>
      <w:r>
        <w:t xml:space="preserve"> </w:t>
      </w:r>
      <w:r>
        <w:t xml:space="preserve">using parameters identical to</w:t>
      </w:r>
      <w:r>
        <w:t xml:space="preserve"> </w:t>
      </w:r>
      <w:r>
        <w:t xml:space="preserve">(</w:t>
      </w:r>
      <w:hyperlink w:anchor="ref-Munson2011">
        <w:r>
          <w:rPr>
            <w:rStyle w:val="Hyperlink"/>
            <w:b/>
            <w:bCs/>
          </w:rPr>
          <w:t xml:space="preserve">Munson2011?</w:t>
        </w:r>
      </w:hyperlink>
      <w:r>
        <w:t xml:space="preserve">)</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w:t>
      </w:r>
      <w:hyperlink w:anchor="ref-strandJohnson1996">
        <w:r>
          <w:rPr>
            <w:rStyle w:val="Hyperlink"/>
          </w:rPr>
          <w:t xml:space="preserve">1996</w:t>
        </w:r>
      </w:hyperlink>
      <w:r>
        <w:t xml:space="preserve">)</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w:t>
      </w:r>
      <w:r>
        <w:t xml:space="preserve"> </w:t>
      </w:r>
      <w:hyperlink w:anchor="ref-wright2023">
        <w:r>
          <w:rPr>
            <w:rStyle w:val="Hyperlink"/>
          </w:rPr>
          <w:t xml:space="preserve">Wright, 2023</w:t>
        </w:r>
      </w:hyperlink>
      <w:r>
        <w:t xml:space="preserve">)</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bookmarkEnd w:id="26"/>
    <w:bookmarkEnd w:id="27"/>
    <w:bookmarkStart w:id="29"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w:t>
      </w:r>
      <w:hyperlink w:anchor="ref-zimman2018">
        <w:r>
          <w:rPr>
            <w:rStyle w:val="Hyperlink"/>
          </w:rPr>
          <w:t xml:space="preserve">2018</w:t>
        </w:r>
      </w:hyperlink>
      <w:r>
        <w:t xml:space="preserve">)</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28"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w:t>
      </w:r>
      <w:hyperlink w:anchor="ref-bouavichithEtAl2019">
        <w:r>
          <w:rPr>
            <w:rStyle w:val="Hyperlink"/>
          </w:rPr>
          <w:t xml:space="preserve">Bouavichith et al., 2019</w:t>
        </w:r>
      </w:hyperlink>
      <w:r>
        <w:t xml:space="preserve">)</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w:t>
      </w:r>
      <w:hyperlink w:anchor="ref-ChicagoFaceDatabase">
        <w:r>
          <w:rPr>
            <w:rStyle w:val="Hyperlink"/>
          </w:rPr>
          <w:t xml:space="preserve">Ma et al., 2015</w:t>
        </w:r>
      </w:hyperlink>
      <w:r>
        <w:t xml:space="preserve">)</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w:t>
      </w:r>
      <w:hyperlink w:anchor="ref-imagemagick">
        <w:r>
          <w:rPr>
            <w:rStyle w:val="Hyperlink"/>
          </w:rPr>
          <w:t xml:space="preserve">LLC, 2023</w:t>
        </w:r>
      </w:hyperlink>
      <w:r>
        <w:t xml:space="preserve">)</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bookmarkEnd w:id="28"/>
    <w:bookmarkEnd w:id="29"/>
    <w:bookmarkStart w:id="31" w:name="procedure"/>
    <w:p>
      <w:pPr>
        <w:pStyle w:val="Heading2"/>
      </w:pPr>
      <w:r>
        <w:t xml:space="preserve">Procedure</w:t>
      </w:r>
    </w:p>
    <w:p>
      <w:pPr>
        <w:pStyle w:val="FirstParagraph"/>
      </w:pPr>
      <w:r>
        <w:t xml:space="preserve">The experiment was created in OpenSesame v3.3</w:t>
      </w:r>
      <w:r>
        <w:t xml:space="preserve"> </w:t>
      </w:r>
      <w:r>
        <w:t xml:space="preserve">(</w:t>
      </w:r>
      <w:hyperlink w:anchor="ref-opensesame">
        <w:r>
          <w:rPr>
            <w:rStyle w:val="Hyperlink"/>
          </w:rPr>
          <w:t xml:space="preserve">Mathôt et al., 2012</w:t>
        </w:r>
      </w:hyperlink>
      <w:r>
        <w:t xml:space="preserve">)</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w:t>
      </w:r>
      <w:hyperlink w:anchor="ref-JATOS">
        <w:r>
          <w:rPr>
            <w:rStyle w:val="Hyperlink"/>
          </w:rPr>
          <w:t xml:space="preserve">Lange et al., 2015</w:t>
        </w:r>
      </w:hyperlink>
      <w:r>
        <w:t xml:space="preserve">)</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w:t>
      </w:r>
      <w:hyperlink w:anchor="ref-bouavichithEtAl2019">
        <w:r>
          <w:rPr>
            <w:rStyle w:val="Hyperlink"/>
          </w:rPr>
          <w:t xml:space="preserve">Bouavichith et al., 2019</w:t>
        </w:r>
      </w:hyperlink>
      <w:r>
        <w:t xml:space="preserve">)</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w:t>
      </w:r>
      <w:hyperlink w:anchor="ref-McGowan2015">
        <w:r>
          <w:rPr>
            <w:rStyle w:val="Hyperlink"/>
          </w:rPr>
          <w:t xml:space="preserve">McGowan, 2015</w:t>
        </w:r>
      </w:hyperlink>
      <w:r>
        <w:t xml:space="preserve">)</w:t>
      </w:r>
      <w:r>
        <w:rPr>
          <w:rStyle w:val="FootnoteReference"/>
        </w:rPr>
        <w:footnoteReference w:id="30"/>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1"/>
    <w:bookmarkEnd w:id="32"/>
    <w:bookmarkStart w:id="36" w:name="predicted-results"/>
    <w:p>
      <w:pPr>
        <w:pStyle w:val="Heading1"/>
      </w:pPr>
      <w:r>
        <w:t xml:space="preserve">Predicted Results</w:t>
      </w:r>
    </w:p>
    <w:bookmarkStart w:id="33"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33"/>
    <w:bookmarkStart w:id="34"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w:t>
      </w:r>
      <w:hyperlink w:anchor="ref-johnsonstranddimperio1999">
        <w:r>
          <w:rPr>
            <w:rStyle w:val="Hyperlink"/>
          </w:rPr>
          <w:t xml:space="preserve">Johnson et al., 1999</w:t>
        </w:r>
      </w:hyperlink>
      <w:r>
        <w:t xml:space="preserve">)</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w:t>
      </w:r>
      <w:hyperlink w:anchor="ref-johnsonstranddimperio1999">
        <w:r>
          <w:rPr>
            <w:rStyle w:val="Hyperlink"/>
          </w:rPr>
          <w:t xml:space="preserve">Johnson et al., 1999, p. 376</w:t>
        </w:r>
      </w:hyperlink>
      <w:r>
        <w:t xml:space="preserve">,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w:t>
      </w:r>
      <w:hyperlink w:anchor="ref-king2021">
        <w:r>
          <w:rPr>
            <w:rStyle w:val="Hyperlink"/>
          </w:rPr>
          <w:t xml:space="preserve">King, 2021</w:t>
        </w:r>
      </w:hyperlink>
      <w:r>
        <w:t xml:space="preserve">)</w:t>
      </w:r>
      <w:r>
        <w:t xml:space="preserve">.</w:t>
      </w:r>
    </w:p>
    <w:p>
      <w:pPr>
        <w:pStyle w:val="BodyText"/>
      </w:pPr>
      <w:r>
        <w:t xml:space="preserve">We make a similar prediction for reaction times.</w:t>
      </w:r>
      <w:r>
        <w:t xml:space="preserve"> </w:t>
      </w:r>
      <w:r>
        <w:t xml:space="preserve">(</w:t>
      </w:r>
      <w:hyperlink w:anchor="ref-johnsonstranddimperio1999">
        <w:r>
          <w:rPr>
            <w:rStyle w:val="Hyperlink"/>
          </w:rPr>
          <w:t xml:space="preserve">Johnson et al., 1999</w:t>
        </w:r>
      </w:hyperlink>
      <w:r>
        <w:t xml:space="preserve">)</w:t>
      </w:r>
      <w:r>
        <w:t xml:space="preserve"> </w:t>
      </w:r>
      <w:r>
        <w:t xml:space="preserve">did not collect reaction time data, but</w:t>
      </w:r>
      <w:r>
        <w:t xml:space="preserve"> </w:t>
      </w:r>
      <w:r>
        <w:t xml:space="preserve">(</w:t>
      </w:r>
      <w:hyperlink w:anchor="ref-McGowan2011">
        <w:r>
          <w:rPr>
            <w:rStyle w:val="Hyperlink"/>
          </w:rPr>
          <w:t xml:space="preserve">McGowan, 2011</w:t>
        </w:r>
      </w:hyperlink>
      <w:r>
        <w:t xml:space="preserve">)</w:t>
      </w:r>
      <w:r>
        <w:t xml:space="preserve"> </w:t>
      </w:r>
      <w:r>
        <w:t xml:space="preserve">reports longer reaction times for incongruous trials,</w:t>
      </w:r>
      <w:r>
        <w:t xml:space="preserve"> </w:t>
      </w:r>
      <w:r>
        <w:t xml:space="preserve">albeit in a very different task, and</w:t>
      </w:r>
      <w:r>
        <w:t xml:space="preserve"> </w:t>
      </w:r>
      <w:r>
        <w:t xml:space="preserve">(</w:t>
      </w:r>
      <w:hyperlink w:anchor="ref-whalen1984">
        <w:r>
          <w:rPr>
            <w:rStyle w:val="Hyperlink"/>
          </w:rPr>
          <w:t xml:space="preserve">Whalen, 1984</w:t>
        </w:r>
      </w:hyperlink>
      <w:r>
        <w:t xml:space="preserve">)</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w:t>
      </w:r>
      <w:hyperlink w:anchor="ref-bouavichithEtAl2019">
        <w:r>
          <w:rPr>
            <w:rStyle w:val="Hyperlink"/>
          </w:rPr>
          <w:t xml:space="preserve">Bouavichith et al., 2019, p. 1040</w:t>
        </w:r>
      </w:hyperlink>
      <w:r>
        <w:t xml:space="preserve">,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34"/>
    <w:bookmarkStart w:id="35"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35"/>
    <w:bookmarkEnd w:id="36"/>
    <w:bookmarkStart w:id="40"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37"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37"/>
    <w:bookmarkStart w:id="38"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w:t>
      </w:r>
      <w:hyperlink w:anchor="ref-lme4">
        <w:r>
          <w:rPr>
            <w:rStyle w:val="Hyperlink"/>
          </w:rPr>
          <w:t xml:space="preserve">Bates et al., 2011</w:t>
        </w:r>
      </w:hyperlink>
      <w:r>
        <w:t xml:space="preserve">)</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p>
      <w:pPr>
        <w:pStyle w:val="BodyText"/>
      </w:pPr>
      <w:r>
        <w:t xml:space="preserve">Beta coefficients for the two separate logistic mixed models are plotted</w:t>
      </w:r>
      <w:r>
        <w:t xml:space="preserve"> </w:t>
      </w:r>
      <w:r>
        <w:t xml:space="preserve">together in</w:t>
      </w:r>
      <w:r>
        <w:t xml:space="preserve"> </w:t>
      </w:r>
      <w:hyperlink w:anchor="fig-coefs">
        <w:r>
          <w:rPr>
            <w:rStyle w:val="Hyperlink"/>
          </w:rPr>
          <w:t xml:space="preserve">Figure 5</w:t>
        </w:r>
      </w:hyperlink>
      <w:r>
        <w:t xml:space="preserve">. Terms plotted to the left of the dashed zero</w:t>
      </w:r>
      <w:r>
        <w:t xml:space="preserve"> </w:t>
      </w:r>
      <w:r>
        <w:t xml:space="preserve">line have a negative influence on</w:t>
      </w:r>
      <w:r>
        <w:t xml:space="preserve"> </w:t>
      </w:r>
      <w:r>
        <w:t xml:space="preserve">‘sack’</w:t>
      </w:r>
      <w:r>
        <w:t xml:space="preserve"> </w:t>
      </w:r>
      <w:r>
        <w:t xml:space="preserve">percepts in the model while</w:t>
      </w:r>
      <w:r>
        <w:t xml:space="preserve"> </w:t>
      </w:r>
      <w:r>
        <w:t xml:space="preserve">terms plotted to the right have a positive influence. As a consistency</w:t>
      </w:r>
      <w:r>
        <w:t xml:space="preserve"> </w:t>
      </w:r>
      <w:r>
        <w:t xml:space="preserve">check we can observe that the levels of the Onset continuum behave in</w:t>
      </w:r>
      <w:r>
        <w:t xml:space="preserve"> </w:t>
      </w:r>
      <w:r>
        <w:t xml:space="preserve">precisely the expected ways and all levels are statistically significant</w:t>
      </w:r>
      <w:r>
        <w:t xml:space="preserve"> </w:t>
      </w:r>
      <w:r>
        <w:t xml:space="preserve">predictors of percept in both models. Onset step 1 ([ʃ]) is negatively</w:t>
      </w:r>
      <w:r>
        <w:t xml:space="preserve"> </w:t>
      </w:r>
      <w:r>
        <w:t xml:space="preserve">associated with</w:t>
      </w:r>
      <w:r>
        <w:t xml:space="preserve"> </w:t>
      </w:r>
      <w:r>
        <w:t xml:space="preserve">‘sack’</w:t>
      </w:r>
      <w:r>
        <w:t xml:space="preserve"> </w:t>
      </w:r>
      <w:r>
        <w:t xml:space="preserve">responses and significant in both the Congruous</w:t>
      </w:r>
      <w:r>
        <w:t xml:space="preserve"> </w:t>
      </w:r>
      <w:r>
        <w:t xml:space="preserve">(</w:t>
      </w:r>
      <m:oMath>
        <m:r>
          <m:t>β</m:t>
        </m:r>
        <m:r>
          <m:rPr>
            <m:sty m:val="p"/>
          </m:rPr>
          <m:t>=</m:t>
        </m:r>
        <m:r>
          <m:rPr>
            <m:sty m:val="p"/>
          </m:rPr>
          <m:t>−</m:t>
        </m:r>
        <m:r>
          <m:t>5.00</m:t>
        </m:r>
        <m:r>
          <m:rPr>
            <m:sty m:val="p"/>
          </m:rPr>
          <m:t>,</m:t>
        </m:r>
        <m:r>
          <m:t>S</m:t>
        </m:r>
        <m:r>
          <m:t>E</m:t>
        </m:r>
        <m:r>
          <m:rPr>
            <m:sty m:val="p"/>
          </m:rPr>
          <m:t>=</m:t>
        </m:r>
        <m:r>
          <m:t>0.28</m:t>
        </m:r>
        <m:r>
          <m:rPr>
            <m:sty m:val="p"/>
          </m:rPr>
          <m:t>,</m:t>
        </m:r>
        <m:r>
          <m:t>p</m:t>
        </m:r>
        <m:r>
          <m:rPr>
            <m:sty m:val="p"/>
          </m:rPr>
          <m:t>&lt;</m:t>
        </m:r>
        <m:r>
          <m:t>0.001</m:t>
        </m:r>
      </m:oMath>
      <w:r>
        <w:t xml:space="preserve">) and Incongruous</w:t>
      </w:r>
      <w:r>
        <w:t xml:space="preserve"> </w:t>
      </w:r>
      <w:r>
        <w:t xml:space="preserve">(</w:t>
      </w:r>
      <m:oMath>
        <m:r>
          <m:t>β</m:t>
        </m:r>
        <m:r>
          <m:rPr>
            <m:sty m:val="p"/>
          </m:rPr>
          <m:t>=</m:t>
        </m:r>
        <m:r>
          <m:rPr>
            <m:sty m:val="p"/>
          </m:rPr>
          <m:t>−</m:t>
        </m:r>
        <m:r>
          <m:t>4.84</m:t>
        </m:r>
        <m:r>
          <m:rPr>
            <m:sty m:val="p"/>
          </m:rPr>
          <m:t>,</m:t>
        </m:r>
        <m:r>
          <m:t>S</m:t>
        </m:r>
        <m:r>
          <m:t>E</m:t>
        </m:r>
        <m:r>
          <m:rPr>
            <m:sty m:val="p"/>
          </m:rPr>
          <m:t>=</m:t>
        </m:r>
        <m:r>
          <m:t>0.24</m:t>
        </m:r>
        <m:r>
          <m:rPr>
            <m:sty m:val="p"/>
          </m:rPr>
          <m:t>,</m:t>
        </m:r>
        <m:r>
          <m:t>p</m:t>
        </m:r>
        <m:r>
          <m:rPr>
            <m:sty m:val="p"/>
          </m:rPr>
          <m:t>&lt;</m:t>
        </m:r>
        <m:r>
          <m:t>0.001</m:t>
        </m:r>
      </m:oMath>
      <w:r>
        <w:t xml:space="preserve">) models. Onset step 5 ([s]) is</w:t>
      </w:r>
      <w:r>
        <w:t xml:space="preserve"> </w:t>
      </w:r>
      <w:r>
        <w:t xml:space="preserve">positively associated with</w:t>
      </w:r>
      <w:r>
        <w:t xml:space="preserve"> </w:t>
      </w:r>
      <w:r>
        <w:t xml:space="preserve">‘sack’</w:t>
      </w:r>
      <w:r>
        <w:t xml:space="preserve"> </w:t>
      </w:r>
      <w:r>
        <w:t xml:space="preserve">responses and significant in both the</w:t>
      </w:r>
      <w:r>
        <w:t xml:space="preserve"> </w:t>
      </w:r>
      <w:r>
        <w:t xml:space="preserve">Congruous (</w:t>
      </w:r>
      <m:oMath>
        <m:r>
          <m:t>β</m:t>
        </m:r>
        <m:r>
          <m:rPr>
            <m:sty m:val="p"/>
          </m:rPr>
          <m:t>=</m:t>
        </m:r>
        <m:r>
          <m:t>4.35</m:t>
        </m:r>
        <m:r>
          <m:rPr>
            <m:sty m:val="p"/>
          </m:rPr>
          <m:t>,</m:t>
        </m:r>
        <m:r>
          <m:t>S</m:t>
        </m:r>
        <m:r>
          <m:t>E</m:t>
        </m:r>
        <m:r>
          <m:rPr>
            <m:sty m:val="p"/>
          </m:rPr>
          <m:t>=</m:t>
        </m:r>
        <m:r>
          <m:rPr>
            <m:sty m:val="p"/>
          </m:rPr>
          <m:t>,</m:t>
        </m:r>
        <m:r>
          <m:t>p</m:t>
        </m:r>
        <m:r>
          <m:rPr>
            <m:sty m:val="p"/>
          </m:rPr>
          <m:t>&lt;</m:t>
        </m:r>
        <m:r>
          <m:t>0.001</m:t>
        </m:r>
      </m:oMath>
      <w:r>
        <w:t xml:space="preserve">) and Incongruous</w:t>
      </w:r>
      <w:r>
        <w:t xml:space="preserve"> </w:t>
      </w:r>
      <w:r>
        <w:t xml:space="preserve">(</w:t>
      </w:r>
      <m:oMath>
        <m:r>
          <m:t>β</m:t>
        </m:r>
        <m:r>
          <m:rPr>
            <m:sty m:val="p"/>
          </m:rPr>
          <m:t>=</m:t>
        </m:r>
        <m:r>
          <m:t>4.12</m:t>
        </m:r>
        <m:r>
          <m:rPr>
            <m:sty m:val="p"/>
          </m:rPr>
          <m:t>,</m:t>
        </m:r>
        <m:r>
          <m:t>S</m:t>
        </m:r>
        <m:r>
          <m:t>E</m:t>
        </m:r>
        <m:r>
          <m:rPr>
            <m:sty m:val="p"/>
          </m:rPr>
          <m:t>=</m:t>
        </m:r>
        <m:r>
          <m:t>0.19</m:t>
        </m:r>
        <m:r>
          <m:rPr>
            <m:sty m:val="p"/>
          </m:rPr>
          <m:t>,</m:t>
        </m:r>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r>
          <m:rPr>
            <m:sty m:val="p"/>
          </m:rPr>
          <m:t>,</m:t>
        </m:r>
        <m:r>
          <m:t>S</m:t>
        </m:r>
        <m:r>
          <m:t>E</m:t>
        </m:r>
        <m:r>
          <m:rPr>
            <m:sty m:val="p"/>
          </m:rPr>
          <m:t>=</m:t>
        </m:r>
        <m:r>
          <m:t>0.11</m:t>
        </m:r>
        <m:r>
          <m:rPr>
            <m:sty m:val="p"/>
          </m:rPr>
          <m:t>,</m:t>
        </m:r>
        <m:r>
          <m:t>p</m:t>
        </m:r>
        <m:r>
          <m:rPr>
            <m:sty m:val="p"/>
          </m:rPr>
          <m:t>&lt;</m:t>
        </m:r>
        <m:r>
          <m:t>0.001</m:t>
        </m:r>
      </m:oMath>
      <w:r>
        <w:t xml:space="preserve">) and, to a lesser extent, 4</w:t>
      </w:r>
      <w:r>
        <w:t xml:space="preserve"> </w:t>
      </w:r>
      <w:r>
        <w:t xml:space="preserve">(</w:t>
      </w:r>
      <m:oMath>
        <m:r>
          <m:t>β</m:t>
        </m:r>
        <m:r>
          <m:rPr>
            <m:sty m:val="p"/>
          </m:rPr>
          <m:t>=</m:t>
        </m:r>
        <m:r>
          <m:rPr>
            <m:sty m:val="p"/>
          </m:rPr>
          <m:t>−</m:t>
        </m:r>
        <m:r>
          <m:t>0.23</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r>
          <m:rPr>
            <m:sty m:val="p"/>
          </m:rPr>
          <m:t>,</m:t>
        </m:r>
        <m:r>
          <m:t>S</m:t>
        </m:r>
        <m:r>
          <m:t>E</m:t>
        </m:r>
        <m:r>
          <m:rPr>
            <m:sty m:val="p"/>
          </m:rPr>
          <m:t>=</m:t>
        </m:r>
        <m:r>
          <m:t>0.10</m:t>
        </m:r>
        <m:r>
          <m:rPr>
            <m:sty m:val="p"/>
          </m:rPr>
          <m:t>,</m:t>
        </m:r>
        <m:r>
          <m:t>p</m:t>
        </m:r>
        <m:r>
          <m:rPr>
            <m:sty m:val="p"/>
          </m:rPr>
          <m:t>&lt;</m:t>
        </m:r>
        <m:r>
          <m:t>0.001</m:t>
        </m:r>
      </m:oMath>
      <w:r>
        <w:t xml:space="preserve">) as is</w:t>
      </w:r>
      <w:r>
        <w:t xml:space="preserve"> </w:t>
      </w:r>
      <w:r>
        <w:t xml:space="preserve">Rime level 2 (</w:t>
      </w:r>
      <m:oMath>
        <m:r>
          <m:t>β</m:t>
        </m:r>
        <m:r>
          <m:rPr>
            <m:sty m:val="p"/>
          </m:rPr>
          <m:t>=</m:t>
        </m:r>
        <m:r>
          <m:t>0.52</m:t>
        </m:r>
        <m:r>
          <m:rPr>
            <m:sty m:val="p"/>
          </m:rPr>
          <m:t>,</m:t>
        </m:r>
        <m:r>
          <m:t>S</m:t>
        </m:r>
        <m:r>
          <m:t>E</m:t>
        </m:r>
        <m:r>
          <m:rPr>
            <m:sty m:val="p"/>
          </m:rPr>
          <m:t>=</m:t>
        </m:r>
        <m:r>
          <m:t>0.10</m:t>
        </m:r>
        <m:r>
          <m:rPr>
            <m:sty m:val="p"/>
          </m:rPr>
          <m:t>,</m:t>
        </m:r>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r>
          <m:rPr>
            <m:sty m:val="p"/>
          </m:rPr>
          <m:t>,</m:t>
        </m:r>
        <m:r>
          <m:t>S</m:t>
        </m:r>
        <m:r>
          <m:t>E</m:t>
        </m:r>
        <m:r>
          <m:rPr>
            <m:sty m:val="p"/>
          </m:rPr>
          <m:t>=</m:t>
        </m:r>
        <m:r>
          <m:t>0.24</m:t>
        </m:r>
        <m:r>
          <m:rPr>
            <m:sty m:val="p"/>
          </m:rPr>
          <m:t>,</m:t>
        </m:r>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r>
          <m:rPr>
            <m:sty m:val="p"/>
          </m:rPr>
          <m:t>,</m:t>
        </m:r>
        <m:r>
          <m:t>S</m:t>
        </m:r>
        <m:r>
          <m:t>E</m:t>
        </m:r>
        <m:r>
          <m:rPr>
            <m:sty m:val="p"/>
          </m:rPr>
          <m:t>=</m:t>
        </m:r>
        <m:r>
          <m:t>0.10</m:t>
        </m:r>
        <m:r>
          <m:rPr>
            <m:sty m:val="p"/>
          </m:rPr>
          <m:t>,</m:t>
        </m:r>
        <m:r>
          <m:t>p</m:t>
        </m:r>
        <m:r>
          <m:rPr>
            <m:sty m:val="p"/>
          </m:rPr>
          <m:t>&lt;</m:t>
        </m:r>
        <m:r>
          <m:t>0.001</m:t>
        </m:r>
      </m:oMath>
      <w:r>
        <w:t xml:space="preserve">) as is Rime level 2</w:t>
      </w:r>
      <w:r>
        <w:t xml:space="preserve"> </w:t>
      </w:r>
      <w:r>
        <w:t xml:space="preserve">(</w:t>
      </w:r>
      <m:oMath>
        <m:r>
          <m:t>β</m:t>
        </m:r>
        <m:r>
          <m:rPr>
            <m:sty m:val="p"/>
          </m:rPr>
          <m:t>=</m:t>
        </m:r>
        <m:r>
          <m:t>0.41</m:t>
        </m:r>
        <m:r>
          <m:rPr>
            <m:sty m:val="p"/>
          </m:rPr>
          <m:t>,</m:t>
        </m:r>
        <m:r>
          <m:t>S</m:t>
        </m:r>
        <m:r>
          <m:t>E</m:t>
        </m:r>
        <m:r>
          <m:rPr>
            <m:sty m:val="p"/>
          </m:rPr>
          <m:t>=</m:t>
        </m:r>
        <m:r>
          <m:t>0.10</m:t>
        </m:r>
        <m:r>
          <m:rPr>
            <m:sty m:val="p"/>
          </m:rPr>
          <m:t>,</m:t>
        </m:r>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r>
          <m:rPr>
            <m:sty m:val="p"/>
          </m:rPr>
          <m:t>,</m:t>
        </m:r>
        <m:r>
          <m:t>S</m:t>
        </m:r>
        <m:r>
          <m:t>E</m:t>
        </m:r>
        <m:r>
          <m:rPr>
            <m:sty m:val="p"/>
          </m:rPr>
          <m:t>=</m:t>
        </m:r>
        <m:r>
          <m:t>0.28</m:t>
        </m:r>
        <m:r>
          <m:rPr>
            <m:sty m:val="p"/>
          </m:rPr>
          <m:t>,</m:t>
        </m:r>
        <m:r>
          <m:t>p</m:t>
        </m:r>
        <m:r>
          <m:rPr>
            <m:sty m:val="p"/>
          </m:rPr>
          <m:t>&lt;</m:t>
        </m:r>
        <m:r>
          <m:t>0.05</m:t>
        </m:r>
      </m:oMath>
      <w:r>
        <w:t xml:space="preserve">) and 2 (</w:t>
      </w:r>
      <m:oMath>
        <m:r>
          <m:t>β</m:t>
        </m:r>
        <m:r>
          <m:rPr>
            <m:sty m:val="p"/>
          </m:rPr>
          <m:t>=</m:t>
        </m:r>
        <m:r>
          <m:t>0.44</m:t>
        </m:r>
        <m:r>
          <m:rPr>
            <m:sty m:val="p"/>
          </m:rPr>
          <m:t>,</m:t>
        </m:r>
        <m:r>
          <m:t>S</m:t>
        </m:r>
        <m:r>
          <m:t>E</m:t>
        </m:r>
        <m:r>
          <m:rPr>
            <m:sty m:val="p"/>
          </m:rPr>
          <m:t>=</m:t>
        </m:r>
        <m:r>
          <m:t>0.18</m:t>
        </m:r>
        <m:r>
          <m:rPr>
            <m:sty m:val="p"/>
          </m:rPr>
          <m:t>,</m:t>
        </m:r>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r>
          <m:rPr>
            <m:sty m:val="p"/>
          </m:rPr>
          <m:t>,</m:t>
        </m:r>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r>
          <m:rPr>
            <m:sty m:val="p"/>
          </m:rPr>
          <m:t>,</m:t>
        </m:r>
        <m:r>
          <m:t>S</m:t>
        </m:r>
        <m:r>
          <m:t>E</m:t>
        </m:r>
        <m:r>
          <m:rPr>
            <m:sty m:val="p"/>
          </m:rPr>
          <m:t>=</m:t>
        </m:r>
        <m:r>
          <m:t>0.12</m:t>
        </m:r>
        <m:r>
          <m:rPr>
            <m:sty m:val="p"/>
          </m:rPr>
          <m:t>,</m:t>
        </m:r>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r>
          <m:rPr>
            <m:sty m:val="p"/>
          </m:rPr>
          <m:t>,</m:t>
        </m:r>
        <m:r>
          <m:t>S</m:t>
        </m:r>
        <m:r>
          <m:t>E</m:t>
        </m:r>
        <m:r>
          <m:rPr>
            <m:sty m:val="p"/>
          </m:rPr>
          <m:t>=</m:t>
        </m:r>
        <m:r>
          <m:t>0.22</m:t>
        </m:r>
        <m:r>
          <m:rPr>
            <m:sty m:val="p"/>
          </m:rPr>
          <m:t>,</m:t>
        </m:r>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r>
          <m:rPr>
            <m:sty m:val="p"/>
          </m:rPr>
          <m:t>,</m:t>
        </m:r>
        <m:r>
          <m:t>S</m:t>
        </m:r>
        <m:r>
          <m:t>E</m:t>
        </m:r>
        <m:r>
          <m:rPr>
            <m:sty m:val="p"/>
          </m:rPr>
          <m:t>=</m:t>
        </m:r>
        <m:r>
          <m:t>0.17</m:t>
        </m:r>
        <m:r>
          <m:rPr>
            <m:sty m:val="p"/>
          </m:rPr>
          <m:t>,</m:t>
        </m:r>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r>
          <m:rPr>
            <m:sty m:val="p"/>
          </m:rPr>
          <m:t>,</m:t>
        </m:r>
        <m:r>
          <m:t>S</m:t>
        </m:r>
        <m:r>
          <m:t>E</m:t>
        </m:r>
        <m:r>
          <m:rPr>
            <m:sty m:val="p"/>
          </m:rPr>
          <m:t>=</m:t>
        </m:r>
        <m:r>
          <m:t>0.21</m:t>
        </m:r>
        <m:r>
          <m:rPr>
            <m:sty m:val="p"/>
          </m:rPr>
          <m:t>,</m:t>
        </m:r>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r>
          <m:rPr>
            <m:sty m:val="p"/>
          </m:rPr>
          <m:t>,</m:t>
        </m:r>
        <m:r>
          <m:t>S</m:t>
        </m:r>
        <m:r>
          <m:t>E</m:t>
        </m:r>
        <m:r>
          <m:rPr>
            <m:sty m:val="p"/>
          </m:rPr>
          <m:t>=</m:t>
        </m:r>
        <m:r>
          <m:t>0.21</m:t>
        </m:r>
        <m:r>
          <m:rPr>
            <m:sty m:val="p"/>
          </m:rPr>
          <m:t>,</m:t>
        </m:r>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r>
          <m:rPr>
            <m:sty m:val="p"/>
          </m:rPr>
          <m:t>,</m:t>
        </m:r>
        <m:r>
          <m:t>S</m:t>
        </m:r>
        <m:r>
          <m:t>E</m:t>
        </m:r>
        <m:r>
          <m:rPr>
            <m:sty m:val="p"/>
          </m:rPr>
          <m:t>=</m:t>
        </m:r>
        <m:r>
          <m:t>0.11</m:t>
        </m:r>
        <m:r>
          <m:rPr>
            <m:sty m:val="p"/>
          </m:rPr>
          <m:t>,</m:t>
        </m:r>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r>
          <m:rPr>
            <m:sty m:val="p"/>
          </m:rPr>
          <m:t>,</m:t>
        </m:r>
        <m:r>
          <m:t>S</m:t>
        </m:r>
        <m:r>
          <m:t>E</m:t>
        </m:r>
        <m:r>
          <m:rPr>
            <m:sty m:val="p"/>
          </m:rPr>
          <m:t>=</m:t>
        </m:r>
        <m:r>
          <m:t>0.19</m:t>
        </m:r>
        <m:r>
          <m:rPr>
            <m:sty m:val="p"/>
          </m:rPr>
          <m:t>,</m:t>
        </m:r>
        <m:r>
          <m:t>p</m:t>
        </m:r>
        <m:r>
          <m:rPr>
            <m:sty m:val="p"/>
          </m:rPr>
          <m:t>=</m:t>
        </m:r>
        <m:r>
          <m:t>0.086</m:t>
        </m:r>
      </m:oMath>
      <w:r>
        <w:t xml:space="preserve">).</w:t>
      </w:r>
    </w:p>
    <w:bookmarkEnd w:id="38"/>
    <w:bookmarkStart w:id="39"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w:t>
      </w:r>
      <w:hyperlink w:anchor="ref-lme4">
        <w:r>
          <w:rPr>
            <w:rStyle w:val="Hyperlink"/>
          </w:rPr>
          <w:t xml:space="preserve">Bates et al., 2011</w:t>
        </w:r>
      </w:hyperlink>
      <w:r>
        <w:t xml:space="preserve">)</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r>
          <m:rPr>
            <m:sty m:val="p"/>
          </m:rPr>
          <m:t>,</m:t>
        </m:r>
        <m:r>
          <m:t>S</m:t>
        </m:r>
        <m:r>
          <m:t>E</m:t>
        </m:r>
        <m:r>
          <m:rPr>
            <m:sty m:val="p"/>
          </m:rPr>
          <m:t>=</m:t>
        </m:r>
        <m:r>
          <m:t>0.007</m:t>
        </m:r>
        <m:r>
          <m:rPr>
            <m:sty m:val="p"/>
          </m:rPr>
          <m:t>,</m:t>
        </m:r>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r>
          <m:rPr>
            <m:sty m:val="p"/>
          </m:rPr>
          <m:t>,</m:t>
        </m:r>
        <m:r>
          <m:t>S</m:t>
        </m:r>
        <m:r>
          <m:t>E</m:t>
        </m:r>
        <m:r>
          <m:rPr>
            <m:sty m:val="p"/>
          </m:rPr>
          <m:t>=</m:t>
        </m:r>
        <m:r>
          <m:t>0.007</m:t>
        </m:r>
        <m:r>
          <m:rPr>
            <m:sty m:val="p"/>
          </m:rPr>
          <m:t>,</m:t>
        </m:r>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r>
          <m:rPr>
            <m:sty m:val="p"/>
          </m:rPr>
          <m:t>,</m:t>
        </m:r>
        <m:r>
          <m:t>S</m:t>
        </m:r>
        <m:r>
          <m:t>E</m:t>
        </m:r>
        <m:r>
          <m:rPr>
            <m:sty m:val="p"/>
          </m:rPr>
          <m:t>=</m:t>
        </m:r>
        <m:r>
          <m:t>0.007</m:t>
        </m:r>
        <m:r>
          <m:rPr>
            <m:sty m:val="p"/>
          </m:rPr>
          <m:t>,</m:t>
        </m:r>
        <m:r>
          <m:t>p</m:t>
        </m:r>
        <m:r>
          <m:rPr>
            <m:sty m:val="p"/>
          </m:rPr>
          <m:t>&lt;</m:t>
        </m:r>
        <m:r>
          <m:t>0.01</m:t>
        </m:r>
      </m:oMath>
      <w:r>
        <w:t xml:space="preserve">)</w:t>
      </w:r>
      <w:r>
        <w:t xml:space="preserve"> </w:t>
      </w:r>
      <w:r>
        <w:t xml:space="preserve">but longer given Onset step 4 * Face (</w:t>
      </w:r>
      <m:oMath>
        <m:r>
          <m:t>β</m:t>
        </m:r>
        <m:r>
          <m:rPr>
            <m:sty m:val="p"/>
          </m:rPr>
          <m:t>=</m:t>
        </m:r>
        <m:r>
          <m:t>0.04</m:t>
        </m:r>
        <m:r>
          <m:rPr>
            <m:sty m:val="p"/>
          </m:rPr>
          <m:t>,</m:t>
        </m:r>
        <m:r>
          <m:t>S</m:t>
        </m:r>
        <m:r>
          <m:t>E</m:t>
        </m:r>
        <m:r>
          <m:rPr>
            <m:sty m:val="p"/>
          </m:rPr>
          <m:t>=</m:t>
        </m:r>
        <m:r>
          <m:t>0.007</m:t>
        </m:r>
        <m:r>
          <m:rPr>
            <m:sty m:val="p"/>
          </m:rPr>
          <m:t>,</m:t>
        </m:r>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r>
          <m:rPr>
            <m:sty m:val="p"/>
          </m:rPr>
          <m:t>,</m:t>
        </m:r>
        <m:r>
          <m:t>S</m:t>
        </m:r>
        <m:r>
          <m:t>E</m:t>
        </m:r>
        <m:r>
          <m:rPr>
            <m:sty m:val="p"/>
          </m:rPr>
          <m:t>=</m:t>
        </m:r>
        <m:r>
          <m:t>0.08</m:t>
        </m:r>
        <m:r>
          <m:rPr>
            <m:sty m:val="p"/>
          </m:rPr>
          <m:t>,</m:t>
        </m:r>
        <m:r>
          <m:t>p</m:t>
        </m:r>
        <m:r>
          <m:rPr>
            <m:sty m:val="p"/>
          </m:rPr>
          <m:t>&lt;</m:t>
        </m:r>
        <m:r>
          <m:t>0.05</m:t>
        </m:r>
      </m:oMath>
      <w:r>
        <w:t xml:space="preserve">) and not significant in the Incongruous</w:t>
      </w:r>
      <w:r>
        <w:t xml:space="preserve"> </w:t>
      </w:r>
      <w:r>
        <w:t xml:space="preserve">model.</w:t>
      </w:r>
    </w:p>
    <w:bookmarkEnd w:id="39"/>
    <w:bookmarkEnd w:id="40"/>
    <w:bookmarkStart w:id="41"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w:t>
      </w:r>
      <w:hyperlink w:anchor="ref-campbell-kibler2016">
        <w:r>
          <w:rPr>
            <w:rStyle w:val="Hyperlink"/>
          </w:rPr>
          <w:t xml:space="preserve">Campbell-Kibler, 2016</w:t>
        </w:r>
      </w:hyperlink>
      <w:r>
        <w:t xml:space="preserve">)</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w:t>
      </w:r>
      <w:hyperlink w:anchor="ref-campbell-kibler2020">
        <w:r>
          <w:rPr>
            <w:rStyle w:val="Hyperlink"/>
          </w:rPr>
          <w:t xml:space="preserve">Campbell-Kibler, 2021</w:t>
        </w:r>
      </w:hyperlink>
      <w:r>
        <w:t xml:space="preserve">)</w:t>
      </w:r>
      <w:r>
        <w:t xml:space="preserve">. A similar result may be present, for social</w:t>
      </w:r>
      <w:r>
        <w:t xml:space="preserve"> </w:t>
      </w:r>
      <w:r>
        <w:t xml:space="preserve">information, in the within-participants guise manipulation of</w:t>
      </w:r>
      <w:r>
        <w:t xml:space="preserve"> </w:t>
      </w:r>
      <w:r>
        <w:t xml:space="preserve">(</w:t>
      </w:r>
      <w:hyperlink w:anchor="ref-mcgowanBabel2020">
        <w:r>
          <w:rPr>
            <w:rStyle w:val="Hyperlink"/>
          </w:rPr>
          <w:t xml:space="preserve">McGowan &amp; Babel, 2020</w:t>
        </w:r>
      </w:hyperlink>
      <w:r>
        <w:t xml:space="preserve">)</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w:t>
      </w:r>
      <w:hyperlink w:anchor="ref-haynolandrager2006">
        <w:r>
          <w:rPr>
            <w:rStyle w:val="Hyperlink"/>
          </w:rPr>
          <w:t xml:space="preserve">Hay et al., 2006</w:t>
        </w:r>
      </w:hyperlink>
      <w:r>
        <w:t xml:space="preserve">;</w:t>
      </w:r>
      <w:r>
        <w:t xml:space="preserve"> </w:t>
      </w:r>
      <w:hyperlink w:anchor="ref-HayDrager2010">
        <w:r>
          <w:rPr>
            <w:rStyle w:val="Hyperlink"/>
          </w:rPr>
          <w:t xml:space="preserve">Hay &amp; Drager, 2010</w:t>
        </w:r>
      </w:hyperlink>
      <w:r>
        <w:t xml:space="preserve">;</w:t>
      </w:r>
      <w:r>
        <w:t xml:space="preserve"> </w:t>
      </w:r>
      <w:hyperlink w:anchor="ref-Niedzielski1999">
        <w:r>
          <w:rPr>
            <w:rStyle w:val="Hyperlink"/>
          </w:rPr>
          <w:t xml:space="preserve">Niedzielski, 1999</w:t>
        </w:r>
      </w:hyperlink>
      <w:r>
        <w:t xml:space="preserve">)</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w:t>
      </w:r>
      <w:hyperlink w:anchor="ref-McGurkMacDonald1976">
        <w:r>
          <w:rPr>
            <w:rStyle w:val="Hyperlink"/>
          </w:rPr>
          <w:t xml:space="preserve">McGurk &amp; MacDonald, 1976</w:t>
        </w:r>
      </w:hyperlink>
      <w:r>
        <w:t xml:space="preserve">)</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w:t>
      </w:r>
      <w:hyperlink w:anchor="ref-GreenEtAl1991">
        <w:r>
          <w:rPr>
            <w:rStyle w:val="Hyperlink"/>
          </w:rPr>
          <w:t xml:space="preserve">Green et al., 1991b</w:t>
        </w:r>
      </w:hyperlink>
      <w:r>
        <w:t xml:space="preserve">)</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w:t>
      </w:r>
      <w:hyperlink w:anchor="ref-strandJohnson1996">
        <w:r>
          <w:rPr>
            <w:rStyle w:val="Hyperlink"/>
          </w:rPr>
          <w:t xml:space="preserve">Strand &amp; Johnson, 1996</w:t>
        </w:r>
      </w:hyperlink>
      <w:r>
        <w:t xml:space="preserve">)</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w:t>
      </w:r>
      <w:hyperlink w:anchor="ref-schellingerMunsonEdwards2017">
        <w:r>
          <w:rPr>
            <w:rStyle w:val="Hyperlink"/>
          </w:rPr>
          <w:t xml:space="preserve">Schellinger et al., 2017</w:t>
        </w:r>
      </w:hyperlink>
      <w:r>
        <w:t xml:space="preserve">;</w:t>
      </w:r>
      <w:r>
        <w:t xml:space="preserve"> </w:t>
      </w:r>
      <w:hyperlink w:anchor="ref-wilbanks2022">
        <w:r>
          <w:rPr>
            <w:rStyle w:val="Hyperlink"/>
          </w:rPr>
          <w:t xml:space="preserve">Wilbanks, 2022</w:t>
        </w:r>
      </w:hyperlink>
      <w:r>
        <w:t xml:space="preserve">)</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w:t>
      </w:r>
      <w:hyperlink w:anchor="ref-lisker1986">
        <w:r>
          <w:rPr>
            <w:rStyle w:val="Hyperlink"/>
          </w:rPr>
          <w:t xml:space="preserve">Lisker, 1986</w:t>
        </w:r>
      </w:hyperlink>
      <w:r>
        <w:t xml:space="preserve">)</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t>
      </w:r>
      <w:hyperlink w:anchor="ref-whalen1984">
        <w:r>
          <w:rPr>
            <w:rStyle w:val="Hyperlink"/>
          </w:rPr>
          <w:t xml:space="preserve">Whalen, 1984</w:t>
        </w:r>
      </w:hyperlink>
      <w:r>
        <w:t xml:space="preserve">)</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41"/>
    <w:bookmarkStart w:id="155" w:name="conclusion"/>
    <w:p>
      <w:pPr>
        <w:pStyle w:val="Heading1"/>
      </w:pPr>
      <w:r>
        <w:t xml:space="preserve">Conclusion</w:t>
      </w:r>
    </w:p>
    <w:p>
      <w:pPr>
        <w:pStyle w:val="FirstParagraph"/>
      </w:pPr>
      <w:r>
        <w:t xml:space="preserve">Decades of research since</w:t>
      </w:r>
      <w:r>
        <w:t xml:space="preserve"> </w:t>
      </w:r>
      <w:r>
        <w:t xml:space="preserve">(</w:t>
      </w:r>
      <w:hyperlink w:anchor="ref-strandJohnson1996">
        <w:r>
          <w:rPr>
            <w:rStyle w:val="Hyperlink"/>
          </w:rPr>
          <w:t xml:space="preserve">Strand &amp; Johnson, 1996</w:t>
        </w:r>
      </w:hyperlink>
      <w:r>
        <w:t xml:space="preserve">)</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w:t>
      </w:r>
      <w:hyperlink w:anchor="ref-bouavichithEtAl2019">
        <w:r>
          <w:rPr>
            <w:rStyle w:val="Hyperlink"/>
          </w:rPr>
          <w:t xml:space="preserve">Bouavichith et al., 2019</w:t>
        </w:r>
      </w:hyperlink>
      <w:r>
        <w:t xml:space="preserve">)</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w:t>
      </w:r>
      <w:hyperlink w:anchor="ref-campbell-kibler2020">
        <w:r>
          <w:rPr>
            <w:rStyle w:val="Hyperlink"/>
          </w:rPr>
          <w:t xml:space="preserve">Campbell-Kibler, 2021</w:t>
        </w:r>
      </w:hyperlink>
      <w:r>
        <w:t xml:space="preserve">)</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w:t>
      </w:r>
      <w:hyperlink w:anchor="ref-johnsonstranddimperio1999">
        <w:r>
          <w:rPr>
            <w:rStyle w:val="Hyperlink"/>
          </w:rPr>
          <w:t xml:space="preserve">Johnson et al., 1999</w:t>
        </w:r>
      </w:hyperlink>
      <w:r>
        <w:t xml:space="preserve">)</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w:t>
      </w:r>
      <w:hyperlink w:anchor="ref-BabelVolume">
        <w:r>
          <w:rPr>
            <w:rStyle w:val="Hyperlink"/>
          </w:rPr>
          <w:t xml:space="preserve">Babel, this volume</w:t>
        </w:r>
      </w:hyperlink>
      <w:r>
        <w:t xml:space="preserv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w:t>
      </w:r>
      <w:hyperlink w:anchor="ref-barrett2014">
        <w:r>
          <w:rPr>
            <w:rStyle w:val="Hyperlink"/>
          </w:rPr>
          <w:t xml:space="preserve">Barrett, 2014, p. 205</w:t>
        </w:r>
      </w:hyperlink>
      <w:r>
        <w:t xml:space="preserve">)</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w:t>
      </w:r>
      <w:hyperlink w:anchor="ref-May1976">
        <w:r>
          <w:rPr>
            <w:rStyle w:val="Hyperlink"/>
          </w:rPr>
          <w:t xml:space="preserve">May, 1976b</w:t>
        </w:r>
      </w:hyperlink>
      <w:r>
        <w:t xml:space="preserve">)</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4" w:name="references"/>
    <w:p>
      <w:pPr>
        <w:pStyle w:val="Heading2"/>
      </w:pPr>
      <w:r>
        <w:t xml:space="preserve">References</w:t>
      </w:r>
    </w:p>
    <w:bookmarkStart w:id="129" w:name="refs"/>
    <w:bookmarkStart w:id="42" w:name="ref-alpert2014"/>
    <w:p>
      <w:pPr>
        <w:pStyle w:val="Bibliography"/>
      </w:pPr>
      <w:r>
        <w:t xml:space="preserve">Alpert, E. R. (2014).</w:t>
      </w:r>
      <w:r>
        <w:t xml:space="preserve"> </w:t>
      </w:r>
      <w:r>
        <w:rPr>
          <w:i/>
          <w:iCs/>
        </w:rPr>
        <w:t xml:space="preserve">Language, gender, and ideology in japanese professional matchmaking.</w:t>
      </w:r>
      <w:r>
        <w:t xml:space="preserve"> </w:t>
      </w:r>
      <w:r>
        <w:t xml:space="preserve">[PhD thesis]. University of Michigan, Department of Anthropology.</w:t>
      </w:r>
    </w:p>
    <w:bookmarkEnd w:id="42"/>
    <w:bookmarkStart w:id="43" w:name="ref-BabelVolume"/>
    <w:p>
      <w:pPr>
        <w:pStyle w:val="Bibliography"/>
      </w:pPr>
      <w:r>
        <w:t xml:space="preserve">Babel, A. M. (this volume). A semiotic approach to awareness and control.</w:t>
      </w:r>
      <w:r>
        <w:t xml:space="preserve"> </w:t>
      </w:r>
      <w:r>
        <w:rPr>
          <w:i/>
          <w:iCs/>
        </w:rPr>
        <w:t xml:space="preserve">Journal of Sociolinguistics</w:t>
      </w:r>
      <w:r>
        <w:t xml:space="preserve">,</w:t>
      </w:r>
      <w:r>
        <w:t xml:space="preserve"> </w:t>
      </w:r>
      <w:r>
        <w:rPr>
          <w:i/>
          <w:iCs/>
        </w:rPr>
        <w:t xml:space="preserve">42</w:t>
      </w:r>
      <w:r>
        <w:t xml:space="preserve">(1).</w:t>
      </w:r>
    </w:p>
    <w:bookmarkEnd w:id="43"/>
    <w:bookmarkStart w:id="44" w:name="ref-babelCampbell-kiblerMcGowanVolume"/>
    <w:p>
      <w:pPr>
        <w:pStyle w:val="Bibliography"/>
      </w:pPr>
      <w:r>
        <w:t xml:space="preserve">Babel, A. M., Campbell-Kibler, K., &amp; McGowan, K. B. (this volume). Introduction to the thematic issue.</w:t>
      </w:r>
      <w:r>
        <w:t xml:space="preserve"> </w:t>
      </w:r>
      <w:r>
        <w:rPr>
          <w:i/>
          <w:iCs/>
        </w:rPr>
        <w:t xml:space="preserve">Journal of Sociolinguistics</w:t>
      </w:r>
      <w:r>
        <w:t xml:space="preserve">,</w:t>
      </w:r>
      <w:r>
        <w:t xml:space="preserve"> </w:t>
      </w:r>
      <w:r>
        <w:rPr>
          <w:i/>
          <w:iCs/>
        </w:rPr>
        <w:t xml:space="preserve">42</w:t>
      </w:r>
      <w:r>
        <w:t xml:space="preserve">(1).</w:t>
      </w:r>
    </w:p>
    <w:bookmarkEnd w:id="44"/>
    <w:bookmarkStart w:id="45" w:name="ref-barrett2014"/>
    <w:p>
      <w:pPr>
        <w:pStyle w:val="Bibliography"/>
      </w:pPr>
      <w:r>
        <w:t xml:space="preserve">Barrett, R. (2014). The emergence of the unmarked. In L. Zimman, J. Davis, &amp; J. Raclaw (Eds.),</w:t>
      </w:r>
      <w:r>
        <w:t xml:space="preserve"> </w:t>
      </w:r>
      <w:r>
        <w:rPr>
          <w:i/>
          <w:iCs/>
        </w:rPr>
        <w:t xml:space="preserve">Queer excursions: Retheorizing binaries in language, gender, and sexuality</w:t>
      </w:r>
      <w:r>
        <w:t xml:space="preserve"> </w:t>
      </w:r>
      <w:r>
        <w:t xml:space="preserve">(pp. 195–223). Oxford University Press.</w:t>
      </w:r>
    </w:p>
    <w:bookmarkEnd w:id="45"/>
    <w:bookmarkStart w:id="47" w:name="ref-lme4"/>
    <w:p>
      <w:pPr>
        <w:pStyle w:val="Bibliography"/>
      </w:pPr>
      <w:r>
        <w:t xml:space="preserve">Bates, D., Maechler, M., &amp; Bolker, B. (2011).</w:t>
      </w:r>
      <w:r>
        <w:t xml:space="preserve"> </w:t>
      </w:r>
      <w:r>
        <w:rPr>
          <w:i/>
          <w:iCs/>
        </w:rPr>
        <w:t xml:space="preserve">lme4: Linear mixed-effects models using S4 classes</w:t>
      </w:r>
      <w:r>
        <w:t xml:space="preserve">.</w:t>
      </w:r>
      <w:r>
        <w:t xml:space="preserve"> </w:t>
      </w:r>
      <w:hyperlink r:id="rId46">
        <w:r>
          <w:rPr>
            <w:rStyle w:val="Hyperlink"/>
          </w:rPr>
          <w:t xml:space="preserve">http://CRAN.R-project.org/package=lme4</w:t>
        </w:r>
      </w:hyperlink>
    </w:p>
    <w:bookmarkEnd w:id="47"/>
    <w:bookmarkStart w:id="48" w:name="ref-praat2001"/>
    <w:p>
      <w:pPr>
        <w:pStyle w:val="Bibliography"/>
      </w:pPr>
      <w:r>
        <w:t xml:space="preserve">Boersma, P. (2001). 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341–345.</w:t>
      </w:r>
    </w:p>
    <w:bookmarkEnd w:id="48"/>
    <w:bookmarkStart w:id="50" w:name="ref-bouavichithEtAl2019"/>
    <w:p>
      <w:pPr>
        <w:pStyle w:val="Bibliography"/>
      </w:pPr>
      <w:r>
        <w:t xml:space="preserve">Bouavichith, D. A., Calloway, I. C., Craft, J. T., Hildebrandt, T., Tobin, S. J., &amp; Beddor, P. S. (2019). Bidirectional effects of priming in speech perception: Social-to-lexical and lexical-to-social.</w:t>
      </w:r>
      <w:r>
        <w:t xml:space="preserve"> </w:t>
      </w:r>
      <w:r>
        <w:rPr>
          <w:i/>
          <w:iCs/>
        </w:rPr>
        <w:t xml:space="preserve">The Journal of the Acoustical Society of America</w:t>
      </w:r>
      <w:r>
        <w:t xml:space="preserve">,</w:t>
      </w:r>
      <w:r>
        <w:t xml:space="preserve"> </w:t>
      </w:r>
      <w:r>
        <w:rPr>
          <w:i/>
          <w:iCs/>
        </w:rPr>
        <w:t xml:space="preserve">145</w:t>
      </w:r>
      <w:r>
        <w:t xml:space="preserve">.</w:t>
      </w:r>
      <w:r>
        <w:t xml:space="preserve"> </w:t>
      </w:r>
      <w:hyperlink r:id="rId49">
        <w:r>
          <w:rPr>
            <w:rStyle w:val="Hyperlink"/>
          </w:rPr>
          <w:t xml:space="preserve">https://doi.org/10.1121/1.5101933</w:t>
        </w:r>
      </w:hyperlink>
    </w:p>
    <w:bookmarkEnd w:id="50"/>
    <w:bookmarkStart w:id="52" w:name="ref-boydfruehwaldhall-lew_2021"/>
    <w:p>
      <w:pPr>
        <w:pStyle w:val="Bibliography"/>
      </w:pPr>
      <w:r>
        <w:t xml:space="preserve">Boyd, Z., Fruehwald, J., &amp; Hall-Lew, L. (2021). Crosslinguistic perceptions of /s/ among english, french, and german listeners.</w:t>
      </w:r>
      <w:r>
        <w:t xml:space="preserve"> </w:t>
      </w:r>
      <w:r>
        <w:rPr>
          <w:i/>
          <w:iCs/>
        </w:rPr>
        <w:t xml:space="preserve">Language Variation and Change</w:t>
      </w:r>
      <w:r>
        <w:t xml:space="preserve">,</w:t>
      </w:r>
      <w:r>
        <w:t xml:space="preserve"> </w:t>
      </w:r>
      <w:r>
        <w:rPr>
          <w:i/>
          <w:iCs/>
        </w:rPr>
        <w:t xml:space="preserve">33</w:t>
      </w:r>
      <w:r>
        <w:t xml:space="preserve">(2), 165–191.</w:t>
      </w:r>
      <w:r>
        <w:t xml:space="preserve"> </w:t>
      </w:r>
      <w:hyperlink r:id="rId51">
        <w:r>
          <w:rPr>
            <w:rStyle w:val="Hyperlink"/>
          </w:rPr>
          <w:t xml:space="preserve">https://doi.org/10.1017/S0954394521000089</w:t>
        </w:r>
      </w:hyperlink>
    </w:p>
    <w:bookmarkEnd w:id="52"/>
    <w:bookmarkStart w:id="53" w:name="ref-bucholtz2002"/>
    <w:p>
      <w:pPr>
        <w:pStyle w:val="Bibliography"/>
      </w:pPr>
      <w:r>
        <w:t xml:space="preserve">Bucholtz, M. (2002). 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w:t>
      </w:r>
      <w:r>
        <w:t xml:space="preserve"> </w:t>
      </w:r>
      <w:r>
        <w:rPr>
          <w:i/>
          <w:iCs/>
        </w:rPr>
        <w:t xml:space="preserve">8</w:t>
      </w:r>
      <w:r>
        <w:t xml:space="preserve">(3), 33–45.</w:t>
      </w:r>
    </w:p>
    <w:bookmarkEnd w:id="53"/>
    <w:bookmarkStart w:id="54" w:name="ref-bucholtzHall2016"/>
    <w:p>
      <w:pPr>
        <w:pStyle w:val="Bibliography"/>
      </w:pPr>
      <w:r>
        <w:t xml:space="preserve">Bucholtz, M., &amp; Hall, K. (2016). Embodied sociolinguistics.</w:t>
      </w:r>
      <w:r>
        <w:t xml:space="preserve"> </w:t>
      </w:r>
      <w:r>
        <w:rPr>
          <w:i/>
          <w:iCs/>
        </w:rPr>
        <w:t xml:space="preserve">Sociolinguistics: Theoretical Debates</w:t>
      </w:r>
      <w:r>
        <w:t xml:space="preserve">,</w:t>
      </w:r>
      <w:r>
        <w:t xml:space="preserve"> </w:t>
      </w:r>
      <w:r>
        <w:rPr>
          <w:i/>
          <w:iCs/>
        </w:rPr>
        <w:t xml:space="preserve">1</w:t>
      </w:r>
      <w:r>
        <w:t xml:space="preserve">(1), 173–200.</w:t>
      </w:r>
    </w:p>
    <w:bookmarkEnd w:id="54"/>
    <w:bookmarkStart w:id="55" w:name="ref-calder2018"/>
    <w:p>
      <w:pPr>
        <w:pStyle w:val="Bibliography"/>
      </w:pPr>
      <w:r>
        <w:t xml:space="preserve">Calder, J. (2018). From</w:t>
      </w:r>
      <w:r>
        <w:t xml:space="preserve"> </w:t>
      </w:r>
      <w:r>
        <w:t xml:space="preserve">“gay lisp”</w:t>
      </w:r>
      <w:r>
        <w:t xml:space="preserve"> </w:t>
      </w:r>
      <w:r>
        <w:t xml:space="preserve">to</w:t>
      </w:r>
      <w:r>
        <w:t xml:space="preserve"> </w:t>
      </w:r>
      <w:r>
        <w:t xml:space="preserve">“fierce queen”</w:t>
      </w:r>
      <w:r>
        <w:t xml:space="preserve">: The sociophonetics of sexuality’s most iconic variable. In K. Hall &amp; R. Barrett (Eds.),</w:t>
      </w:r>
      <w:r>
        <w:t xml:space="preserve"> </w:t>
      </w:r>
      <w:r>
        <w:rPr>
          <w:i/>
          <w:iCs/>
        </w:rPr>
        <w:t xml:space="preserve">The oxford handbook of language and sexuality</w:t>
      </w:r>
      <w:r>
        <w:t xml:space="preserve"> </w:t>
      </w:r>
      <w:r>
        <w:t xml:space="preserve">(pp. 1–23).</w:t>
      </w:r>
    </w:p>
    <w:bookmarkEnd w:id="55"/>
    <w:bookmarkStart w:id="56" w:name="ref-campbell-kibler2005"/>
    <w:p>
      <w:pPr>
        <w:pStyle w:val="Bibliography"/>
      </w:pPr>
      <w:r>
        <w:t xml:space="preserve">Campbell-Kibler, K. (2005).</w:t>
      </w:r>
      <w:r>
        <w:t xml:space="preserve"> </w:t>
      </w:r>
      <w:r>
        <w:rPr>
          <w:i/>
          <w:iCs/>
        </w:rPr>
        <w:t xml:space="preserve">Listener perceptions of sociolinguistic variables: The case of (ING)</w:t>
      </w:r>
      <w:r>
        <w:t xml:space="preserve"> </w:t>
      </w:r>
      <w:r>
        <w:t xml:space="preserve">[PhD thesis]. Stanford University.</w:t>
      </w:r>
    </w:p>
    <w:bookmarkEnd w:id="56"/>
    <w:bookmarkStart w:id="57" w:name="ref-campbell-kibler2007"/>
    <w:p>
      <w:pPr>
        <w:pStyle w:val="Bibliography"/>
      </w:pPr>
      <w:r>
        <w:t xml:space="preserve">Campbell-Kibler, K. (2007). Accent,(ING), and the social logic of listener perceptions.</w:t>
      </w:r>
      <w:r>
        <w:t xml:space="preserve"> </w:t>
      </w:r>
      <w:r>
        <w:rPr>
          <w:i/>
          <w:iCs/>
        </w:rPr>
        <w:t xml:space="preserve">American Speech</w:t>
      </w:r>
      <w:r>
        <w:t xml:space="preserve">,</w:t>
      </w:r>
      <w:r>
        <w:t xml:space="preserve"> </w:t>
      </w:r>
      <w:r>
        <w:rPr>
          <w:i/>
          <w:iCs/>
        </w:rPr>
        <w:t xml:space="preserve">82</w:t>
      </w:r>
      <w:r>
        <w:t xml:space="preserve">(1), 32–64.</w:t>
      </w:r>
    </w:p>
    <w:bookmarkEnd w:id="57"/>
    <w:bookmarkStart w:id="58" w:name="ref-campbell-kibler2016"/>
    <w:p>
      <w:pPr>
        <w:pStyle w:val="Bibliography"/>
      </w:pPr>
      <w:r>
        <w:t xml:space="preserve">Campbell-Kibler, K. (2016). Toward a cognitively realistic model of meaningful sociolinguistic variation. In A. M. Babel (Ed.),</w:t>
      </w:r>
      <w:r>
        <w:t xml:space="preserve"> </w:t>
      </w:r>
      <w:r>
        <w:rPr>
          <w:i/>
          <w:iCs/>
        </w:rPr>
        <w:t xml:space="preserve">Awareness and control in sociolinguistic research</w:t>
      </w:r>
      <w:r>
        <w:t xml:space="preserve"> </w:t>
      </w:r>
      <w:r>
        <w:t xml:space="preserve">(pp. 123–151).</w:t>
      </w:r>
    </w:p>
    <w:bookmarkEnd w:id="58"/>
    <w:bookmarkStart w:id="59" w:name="ref-campbell-kibler2020"/>
    <w:p>
      <w:pPr>
        <w:pStyle w:val="Bibliography"/>
      </w:pPr>
      <w:r>
        <w:t xml:space="preserve">Campbell-Kibler, K. (2021). Deliberative control in audiovisual sociolinguistic perception.</w:t>
      </w:r>
      <w:r>
        <w:t xml:space="preserve"> </w:t>
      </w:r>
      <w:r>
        <w:rPr>
          <w:i/>
          <w:iCs/>
        </w:rPr>
        <w:t xml:space="preserve">Journal of Sociolinguistics</w:t>
      </w:r>
      <w:r>
        <w:t xml:space="preserve">,</w:t>
      </w:r>
      <w:r>
        <w:t xml:space="preserve"> </w:t>
      </w:r>
      <w:r>
        <w:rPr>
          <w:i/>
          <w:iCs/>
        </w:rPr>
        <w:t xml:space="preserve">25</w:t>
      </w:r>
      <w:r>
        <w:t xml:space="preserve">(2), 253–271.</w:t>
      </w:r>
    </w:p>
    <w:bookmarkEnd w:id="59"/>
    <w:bookmarkStart w:id="60" w:name="ref-chan2021"/>
    <w:p>
      <w:pPr>
        <w:pStyle w:val="Bibliography"/>
      </w:pPr>
      <w:r>
        <w:t xml:space="preserve">CHAN, K. L. R. (2021). Verbal guise test: Problems and solutions.</w:t>
      </w:r>
      <w:r>
        <w:t xml:space="preserve"> </w:t>
      </w:r>
      <w:r>
        <w:rPr>
          <w:i/>
          <w:iCs/>
        </w:rPr>
        <w:t xml:space="preserve">Academia Letters</w:t>
      </w:r>
      <w:r>
        <w:t xml:space="preserve">.</w:t>
      </w:r>
    </w:p>
    <w:bookmarkEnd w:id="60"/>
    <w:bookmarkStart w:id="61" w:name="ref-daniel2007"/>
    <w:p>
      <w:pPr>
        <w:pStyle w:val="Bibliography"/>
      </w:pPr>
      <w:r>
        <w:t xml:space="preserve">Daniel, M. M., Lorenzi, M. C., Costa Leite, C. da, &amp; Lorenzi-Filho, G. (2007). Pharyngeal dimensions in healthy men and women.</w:t>
      </w:r>
      <w:r>
        <w:t xml:space="preserve"> </w:t>
      </w:r>
      <w:r>
        <w:rPr>
          <w:i/>
          <w:iCs/>
        </w:rPr>
        <w:t xml:space="preserve">Clinics</w:t>
      </w:r>
      <w:r>
        <w:t xml:space="preserve">,</w:t>
      </w:r>
      <w:r>
        <w:t xml:space="preserve"> </w:t>
      </w:r>
      <w:r>
        <w:rPr>
          <w:i/>
          <w:iCs/>
        </w:rPr>
        <w:t xml:space="preserve">62</w:t>
      </w:r>
      <w:r>
        <w:t xml:space="preserve">(1), 5–10.</w:t>
      </w:r>
    </w:p>
    <w:bookmarkEnd w:id="61"/>
    <w:bookmarkStart w:id="62" w:name="ref-drager2013"/>
    <w:p>
      <w:pPr>
        <w:pStyle w:val="Bibliography"/>
      </w:pPr>
      <w:r>
        <w:t xml:space="preserve">Drager, K. (2013). Experimental methods in sociolinguistics. In J. Holmes &amp; K. Hazen (Eds.),</w:t>
      </w:r>
      <w:r>
        <w:t xml:space="preserve"> </w:t>
      </w:r>
      <w:r>
        <w:rPr>
          <w:i/>
          <w:iCs/>
        </w:rPr>
        <w:t xml:space="preserve">Research methods in sociolinguistics: A practical guide</w:t>
      </w:r>
      <w:r>
        <w:t xml:space="preserve"> </w:t>
      </w:r>
      <w:r>
        <w:t xml:space="preserve">(pp. 58–73). Wiley Blackwell.</w:t>
      </w:r>
    </w:p>
    <w:bookmarkEnd w:id="62"/>
    <w:bookmarkStart w:id="63" w:name="ref-eckert2008"/>
    <w:p>
      <w:pPr>
        <w:pStyle w:val="Bibliography"/>
      </w:pPr>
      <w:r>
        <w:t xml:space="preserve">Eckert, P. (2008). Variation and the indexical field 1.</w:t>
      </w:r>
      <w:r>
        <w:t xml:space="preserve"> </w:t>
      </w:r>
      <w:r>
        <w:rPr>
          <w:i/>
          <w:iCs/>
        </w:rPr>
        <w:t xml:space="preserve">Journal of Sociolinguistics</w:t>
      </w:r>
      <w:r>
        <w:t xml:space="preserve">,</w:t>
      </w:r>
      <w:r>
        <w:t xml:space="preserve"> </w:t>
      </w:r>
      <w:r>
        <w:rPr>
          <w:i/>
          <w:iCs/>
        </w:rPr>
        <w:t xml:space="preserve">12</w:t>
      </w:r>
      <w:r>
        <w:t xml:space="preserve">(4), 453–476.</w:t>
      </w:r>
    </w:p>
    <w:bookmarkEnd w:id="63"/>
    <w:bookmarkStart w:id="64" w:name="ref-eckert2012"/>
    <w:p>
      <w:pPr>
        <w:pStyle w:val="Bibliography"/>
      </w:pPr>
      <w:r>
        <w:t xml:space="preserve">Eckert, P. (2012). 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w:t>
      </w:r>
      <w:r>
        <w:t xml:space="preserve"> </w:t>
      </w:r>
      <w:r>
        <w:rPr>
          <w:i/>
          <w:iCs/>
        </w:rPr>
        <w:t xml:space="preserve">41</w:t>
      </w:r>
      <w:r>
        <w:t xml:space="preserve">(1), 87–100.</w:t>
      </w:r>
    </w:p>
    <w:bookmarkEnd w:id="64"/>
    <w:bookmarkStart w:id="65" w:name="ref-eckertPodesva2021"/>
    <w:p>
      <w:pPr>
        <w:pStyle w:val="Bibliography"/>
      </w:pPr>
      <w:r>
        <w:t xml:space="preserve">Eckert, P., &amp; Podesva, R. J. (2021). Non-binary approaches to gender and sexuality.</w:t>
      </w:r>
      <w:r>
        <w:t xml:space="preserve"> </w:t>
      </w:r>
      <w:r>
        <w:rPr>
          <w:i/>
          <w:iCs/>
        </w:rPr>
        <w:t xml:space="preserve">The Routledge Handbook of Language, Gender, and Sexuality</w:t>
      </w:r>
      <w:r>
        <w:t xml:space="preserve">, 25–36.</w:t>
      </w:r>
    </w:p>
    <w:bookmarkEnd w:id="65"/>
    <w:bookmarkStart w:id="66" w:name="ref-fant1960"/>
    <w:p>
      <w:pPr>
        <w:pStyle w:val="Bibliography"/>
      </w:pPr>
      <w:r>
        <w:t xml:space="preserve">Fant, G. (1960).</w:t>
      </w:r>
      <w:r>
        <w:t xml:space="preserve"> </w:t>
      </w:r>
      <w:r>
        <w:rPr>
          <w:i/>
          <w:iCs/>
        </w:rPr>
        <w:t xml:space="preserve">Acoustic theory of speech production</w:t>
      </w:r>
      <w:r>
        <w:t xml:space="preserve">. Mouton.</w:t>
      </w:r>
    </w:p>
    <w:bookmarkEnd w:id="66"/>
    <w:bookmarkStart w:id="67" w:name="ref-foulkesDocherty2006"/>
    <w:p>
      <w:pPr>
        <w:pStyle w:val="Bibliography"/>
      </w:pPr>
      <w:r>
        <w:t xml:space="preserve">Foulkes, P., &amp; Docherty, G. (2006). The social life of phonetics and phonology.</w:t>
      </w:r>
      <w:r>
        <w:t xml:space="preserve"> </w:t>
      </w:r>
      <w:r>
        <w:rPr>
          <w:i/>
          <w:iCs/>
        </w:rPr>
        <w:t xml:space="preserve">Journal of Phonetics</w:t>
      </w:r>
      <w:r>
        <w:t xml:space="preserve">,</w:t>
      </w:r>
      <w:r>
        <w:t xml:space="preserve"> </w:t>
      </w:r>
      <w:r>
        <w:rPr>
          <w:i/>
          <w:iCs/>
        </w:rPr>
        <w:t xml:space="preserve">34</w:t>
      </w:r>
      <w:r>
        <w:t xml:space="preserve">, 409–438.</w:t>
      </w:r>
    </w:p>
    <w:bookmarkEnd w:id="67"/>
    <w:bookmarkStart w:id="68" w:name="ref-gnevsheva2017"/>
    <w:p>
      <w:pPr>
        <w:pStyle w:val="Bibliography"/>
      </w:pPr>
      <w:r>
        <w:t xml:space="preserve">Gnevsheva, K. (2017). Within-speaker variation in passing for a native speaker.</w:t>
      </w:r>
      <w:r>
        <w:t xml:space="preserve"> </w:t>
      </w:r>
      <w:r>
        <w:rPr>
          <w:i/>
          <w:iCs/>
        </w:rPr>
        <w:t xml:space="preserve">International Journal of Bilingualism</w:t>
      </w:r>
      <w:r>
        <w:t xml:space="preserve">,</w:t>
      </w:r>
      <w:r>
        <w:t xml:space="preserve"> </w:t>
      </w:r>
      <w:r>
        <w:rPr>
          <w:i/>
          <w:iCs/>
        </w:rPr>
        <w:t xml:space="preserve">21</w:t>
      </w:r>
      <w:r>
        <w:t xml:space="preserve">(2), 213–227.</w:t>
      </w:r>
    </w:p>
    <w:bookmarkEnd w:id="68"/>
    <w:bookmarkStart w:id="70" w:name="ref-GreenEtAl1991"/>
    <w:p>
      <w:pPr>
        <w:pStyle w:val="Bibliography"/>
      </w:pPr>
      <w:r>
        <w:t xml:space="preserve">Green, K., Kuhl, P., Meltzoff, A., &amp; Stevens, E. (1991b). Integrating speech information across talkers, gender, and sensory modality: Female faces and male voices in the McGurk effect.</w:t>
      </w:r>
      <w:r>
        <w:t xml:space="preserve"> </w:t>
      </w:r>
      <w:r>
        <w:rPr>
          <w:i/>
          <w:iCs/>
        </w:rPr>
        <w:t xml:space="preserve">Attention, Perception, &amp; Psychophysics</w:t>
      </w:r>
      <w:r>
        <w:t xml:space="preserve">,</w:t>
      </w:r>
      <w:r>
        <w:t xml:space="preserve"> </w:t>
      </w:r>
      <w:r>
        <w:rPr>
          <w:i/>
          <w:iCs/>
        </w:rPr>
        <w:t xml:space="preserve">50</w:t>
      </w:r>
      <w:r>
        <w:t xml:space="preserve">, 524–536.</w:t>
      </w:r>
      <w:r>
        <w:t xml:space="preserve"> </w:t>
      </w:r>
      <w:hyperlink r:id="rId69">
        <w:r>
          <w:rPr>
            <w:rStyle w:val="Hyperlink"/>
          </w:rPr>
          <w:t xml:space="preserve">http://dx.doi.org/10.3758/BF03207536</w:t>
        </w:r>
      </w:hyperlink>
    </w:p>
    <w:bookmarkEnd w:id="70"/>
    <w:bookmarkStart w:id="71" w:name="ref-greenKuhlMeltzoffStevens1991"/>
    <w:p>
      <w:pPr>
        <w:pStyle w:val="Bibliography"/>
      </w:pPr>
      <w:r>
        <w:t xml:space="preserve">Green, K., Kuhl, P., Meltzoff, A., &amp; Stevens, E. (1991a). 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w:t>
      </w:r>
      <w:r>
        <w:t xml:space="preserve"> </w:t>
      </w:r>
      <w:r>
        <w:rPr>
          <w:i/>
          <w:iCs/>
        </w:rPr>
        <w:t xml:space="preserve">50</w:t>
      </w:r>
      <w:r>
        <w:t xml:space="preserve">(6), 524–536.</w:t>
      </w:r>
      <w:r>
        <w:t xml:space="preserve"> </w:t>
      </w:r>
      <w:hyperlink r:id="rId69">
        <w:r>
          <w:rPr>
            <w:rStyle w:val="Hyperlink"/>
          </w:rPr>
          <w:t xml:space="preserve">http://dx.doi.org/10.3758/BF03207536</w:t>
        </w:r>
      </w:hyperlink>
    </w:p>
    <w:bookmarkEnd w:id="71"/>
    <w:bookmarkStart w:id="72" w:name="ref-grondelaersVanGent2019"/>
    <w:p>
      <w:pPr>
        <w:pStyle w:val="Bibliography"/>
      </w:pPr>
      <w:r>
        <w:t xml:space="preserve">Grondelaers, S., &amp; Gent, P. van. (2019). 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w:t>
      </w:r>
      <w:r>
        <w:t xml:space="preserve"> </w:t>
      </w:r>
      <w:r>
        <w:rPr>
          <w:i/>
          <w:iCs/>
        </w:rPr>
        <w:t xml:space="preserve">5</w:t>
      </w:r>
      <w:r>
        <w:t xml:space="preserve">(s1).</w:t>
      </w:r>
    </w:p>
    <w:bookmarkEnd w:id="72"/>
    <w:bookmarkStart w:id="73" w:name="ref-hadodoVolume"/>
    <w:p>
      <w:pPr>
        <w:pStyle w:val="Bibliography"/>
      </w:pPr>
      <w:r>
        <w:t xml:space="preserve">Hadodo, M. (this volume). Situating experience in social meaning: Ethnography, experiments and exemplars in the enregisterment of istanbul greek.</w:t>
      </w:r>
      <w:r>
        <w:t xml:space="preserve"> </w:t>
      </w:r>
      <w:r>
        <w:rPr>
          <w:i/>
          <w:iCs/>
        </w:rPr>
        <w:t xml:space="preserve">Journal of Sociolinguistics</w:t>
      </w:r>
      <w:r>
        <w:t xml:space="preserve">,</w:t>
      </w:r>
      <w:r>
        <w:t xml:space="preserve"> </w:t>
      </w:r>
      <w:r>
        <w:rPr>
          <w:i/>
          <w:iCs/>
        </w:rPr>
        <w:t xml:space="preserve">42</w:t>
      </w:r>
      <w:r>
        <w:t xml:space="preserve">(1).</w:t>
      </w:r>
    </w:p>
    <w:bookmarkEnd w:id="73"/>
    <w:bookmarkStart w:id="74" w:name="ref-hall2021language"/>
    <w:p>
      <w:pPr>
        <w:pStyle w:val="Bibliography"/>
      </w:pPr>
      <w:r>
        <w:t xml:space="preserve">Hall, K., Borba, R., &amp; Hiramoto, M. (2021). Language and gender.</w:t>
      </w:r>
      <w:r>
        <w:t xml:space="preserve"> </w:t>
      </w:r>
      <w:r>
        <w:rPr>
          <w:i/>
          <w:iCs/>
        </w:rPr>
        <w:t xml:space="preserve">The International Encyclopedia of Linguistic Anthropology</w:t>
      </w:r>
      <w:r>
        <w:t xml:space="preserve">, 892–912.</w:t>
      </w:r>
    </w:p>
    <w:bookmarkEnd w:id="74"/>
    <w:bookmarkStart w:id="75" w:name="ref-HayDrager2010"/>
    <w:p>
      <w:pPr>
        <w:pStyle w:val="Bibliography"/>
      </w:pPr>
      <w:r>
        <w:t xml:space="preserve">Hay, J., &amp; Drager, K. (2010). Stuffed toys and speech perception.</w:t>
      </w:r>
      <w:r>
        <w:t xml:space="preserve"> </w:t>
      </w:r>
      <w:r>
        <w:rPr>
          <w:i/>
          <w:iCs/>
        </w:rPr>
        <w:t xml:space="preserve">Linguistics</w:t>
      </w:r>
      <w:r>
        <w:t xml:space="preserve">,</w:t>
      </w:r>
      <w:r>
        <w:t xml:space="preserve"> </w:t>
      </w:r>
      <w:r>
        <w:rPr>
          <w:i/>
          <w:iCs/>
        </w:rPr>
        <w:t xml:space="preserve">48</w:t>
      </w:r>
      <w:r>
        <w:t xml:space="preserve">(4), 865–892.</w:t>
      </w:r>
    </w:p>
    <w:bookmarkEnd w:id="75"/>
    <w:bookmarkStart w:id="76" w:name="ref-haynolandrager2006"/>
    <w:p>
      <w:pPr>
        <w:pStyle w:val="Bibliography"/>
      </w:pPr>
      <w:r>
        <w:t xml:space="preserve">Hay, J., Nolan, A., &amp; Drager, K. (2006). From fush to feesh: Exemplar priming in speech perception.</w:t>
      </w:r>
      <w:r>
        <w:t xml:space="preserve"> </w:t>
      </w:r>
      <w:r>
        <w:rPr>
          <w:i/>
          <w:iCs/>
        </w:rPr>
        <w:t xml:space="preserve">The Linguistic Review</w:t>
      </w:r>
      <w:r>
        <w:t xml:space="preserve">,</w:t>
      </w:r>
      <w:r>
        <w:t xml:space="preserve"> </w:t>
      </w:r>
      <w:r>
        <w:rPr>
          <w:i/>
          <w:iCs/>
        </w:rPr>
        <w:t xml:space="preserve">23</w:t>
      </w:r>
      <w:r>
        <w:t xml:space="preserve">(3), 351–379.</w:t>
      </w:r>
    </w:p>
    <w:bookmarkEnd w:id="76"/>
    <w:bookmarkStart w:id="77" w:name="ref-johnson2005"/>
    <w:p>
      <w:pPr>
        <w:pStyle w:val="Bibliography"/>
      </w:pPr>
      <w:r>
        <w:t xml:space="preserve">Johnson, K. (2005). Speaker normalization in speech perception. In D. B. Pisoni &amp; R. Remez (Eds.),</w:t>
      </w:r>
      <w:r>
        <w:t xml:space="preserve"> </w:t>
      </w:r>
      <w:r>
        <w:rPr>
          <w:i/>
          <w:iCs/>
        </w:rPr>
        <w:t xml:space="preserve">The handbook of speech perception</w:t>
      </w:r>
      <w:r>
        <w:t xml:space="preserve"> </w:t>
      </w:r>
      <w:r>
        <w:t xml:space="preserve">(pp. 363–389).</w:t>
      </w:r>
    </w:p>
    <w:bookmarkEnd w:id="77"/>
    <w:bookmarkStart w:id="78" w:name="ref-Johnson2006"/>
    <w:p>
      <w:pPr>
        <w:pStyle w:val="Bibliography"/>
      </w:pPr>
      <w:r>
        <w:t xml:space="preserve">Johnson, K. (2006). Resonance in an exemplar-based lexicon: The emergence of social identity and phonology.</w:t>
      </w:r>
      <w:r>
        <w:t xml:space="preserve"> </w:t>
      </w:r>
      <w:r>
        <w:rPr>
          <w:i/>
          <w:iCs/>
        </w:rPr>
        <w:t xml:space="preserve">Journal of Phonetics</w:t>
      </w:r>
      <w:r>
        <w:t xml:space="preserve">,</w:t>
      </w:r>
      <w:r>
        <w:t xml:space="preserve"> </w:t>
      </w:r>
      <w:r>
        <w:rPr>
          <w:i/>
          <w:iCs/>
        </w:rPr>
        <w:t xml:space="preserve">34</w:t>
      </w:r>
      <w:r>
        <w:t xml:space="preserve">, 485–499.</w:t>
      </w:r>
    </w:p>
    <w:bookmarkEnd w:id="78"/>
    <w:bookmarkStart w:id="79" w:name="ref-johnsonstranddimperio1999"/>
    <w:p>
      <w:pPr>
        <w:pStyle w:val="Bibliography"/>
      </w:pPr>
      <w:r>
        <w:t xml:space="preserve">Johnson, K., Strand, E. A., &amp; D’Imperio, M. (1999). Auditory–visual integration of talker gender in vowel perception.</w:t>
      </w:r>
      <w:r>
        <w:t xml:space="preserve"> </w:t>
      </w:r>
      <w:r>
        <w:rPr>
          <w:i/>
          <w:iCs/>
        </w:rPr>
        <w:t xml:space="preserve">Journal of Phonetics</w:t>
      </w:r>
      <w:r>
        <w:t xml:space="preserve">,</w:t>
      </w:r>
      <w:r>
        <w:t xml:space="preserve"> </w:t>
      </w:r>
      <w:r>
        <w:rPr>
          <w:i/>
          <w:iCs/>
        </w:rPr>
        <w:t xml:space="preserve">27</w:t>
      </w:r>
      <w:r>
        <w:t xml:space="preserve">(4), 359–384.</w:t>
      </w:r>
    </w:p>
    <w:bookmarkEnd w:id="79"/>
    <w:bookmarkStart w:id="80" w:name="ref-kang2013"/>
    <w:p>
      <w:pPr>
        <w:pStyle w:val="Bibliography"/>
      </w:pPr>
      <w:r>
        <w:t xml:space="preserve">Käng, D. B. (2013). Conceptualizing thai genderscapes: Transformation and continuity in the thai sex/gender system. In</w:t>
      </w:r>
      <w:r>
        <w:t xml:space="preserve"> </w:t>
      </w:r>
      <w:r>
        <w:rPr>
          <w:i/>
          <w:iCs/>
        </w:rPr>
        <w:t xml:space="preserve">Contemporary socio-cultural and political perspectives in thailand</w:t>
      </w:r>
      <w:r>
        <w:t xml:space="preserve"> </w:t>
      </w:r>
      <w:r>
        <w:t xml:space="preserve">(pp. 409–429). Springer.</w:t>
      </w:r>
    </w:p>
    <w:bookmarkEnd w:id="80"/>
    <w:bookmarkStart w:id="81" w:name="ref-king2021"/>
    <w:p>
      <w:pPr>
        <w:pStyle w:val="Bibliography"/>
      </w:pPr>
      <w:r>
        <w:t xml:space="preserve">King, E. T. (2021).</w:t>
      </w:r>
      <w:r>
        <w:t xml:space="preserve"> </w:t>
      </w:r>
      <w:r>
        <w:rPr>
          <w:i/>
          <w:iCs/>
        </w:rPr>
        <w:t xml:space="preserve">Speaker and group specificity in spoken word recognition</w:t>
      </w:r>
      <w:r>
        <w:t xml:space="preserve"> </w:t>
      </w:r>
      <w:r>
        <w:t xml:space="preserve">[PhD thesis]. Stanford University.</w:t>
      </w:r>
    </w:p>
    <w:bookmarkEnd w:id="81"/>
    <w:bookmarkStart w:id="82" w:name="ref-kunisakifujisaki1977"/>
    <w:p>
      <w:pPr>
        <w:pStyle w:val="Bibliography"/>
      </w:pPr>
      <w:r>
        <w:t xml:space="preserve">Kunisaki, O., &amp; Fujisaki, H. (1977). On the influence of context upon perception of voiceless fricative consonants.</w:t>
      </w:r>
      <w:r>
        <w:t xml:space="preserve"> </w:t>
      </w:r>
      <w:r>
        <w:rPr>
          <w:i/>
          <w:iCs/>
        </w:rPr>
        <w:t xml:space="preserve">Annual Bulletin</w:t>
      </w:r>
      <w:r>
        <w:t xml:space="preserve">,</w:t>
      </w:r>
      <w:r>
        <w:t xml:space="preserve"> </w:t>
      </w:r>
      <w:r>
        <w:rPr>
          <w:i/>
          <w:iCs/>
        </w:rPr>
        <w:t xml:space="preserve">11</w:t>
      </w:r>
      <w:r>
        <w:t xml:space="preserve">, 85–91.</w:t>
      </w:r>
    </w:p>
    <w:bookmarkEnd w:id="82"/>
    <w:bookmarkStart w:id="83" w:name="ref-labovEtAl2011"/>
    <w:p>
      <w:pPr>
        <w:pStyle w:val="Bibliography"/>
      </w:pPr>
      <w:r>
        <w:t xml:space="preserve">Labov, W., Ash, S., Ravindranath, M., Weldon, T., Baranowski, M., &amp; Nagy, N. (2011). Properties of the sociolinguistic monitor.</w:t>
      </w:r>
      <w:r>
        <w:t xml:space="preserve"> </w:t>
      </w:r>
      <w:r>
        <w:rPr>
          <w:i/>
          <w:iCs/>
        </w:rPr>
        <w:t xml:space="preserve">Journal of Sociolinguistics</w:t>
      </w:r>
      <w:r>
        <w:t xml:space="preserve">,</w:t>
      </w:r>
      <w:r>
        <w:t xml:space="preserve"> </w:t>
      </w:r>
      <w:r>
        <w:rPr>
          <w:i/>
          <w:iCs/>
        </w:rPr>
        <w:t xml:space="preserve">15</w:t>
      </w:r>
      <w:r>
        <w:t xml:space="preserve">(4), 431–463.</w:t>
      </w:r>
    </w:p>
    <w:bookmarkEnd w:id="83"/>
    <w:bookmarkStart w:id="84" w:name="ref-lambertEtAl1960"/>
    <w:p>
      <w:pPr>
        <w:pStyle w:val="Bibliography"/>
      </w:pPr>
      <w:r>
        <w:t xml:space="preserve">Lambert, W. E., Hodgson, R. C., Gardner, R. C., &amp; Fillenbaum, S. (1960). Evaluational reactions to spoken languages.</w:t>
      </w:r>
      <w:r>
        <w:t xml:space="preserve"> </w:t>
      </w:r>
      <w:r>
        <w:rPr>
          <w:i/>
          <w:iCs/>
        </w:rPr>
        <w:t xml:space="preserve">The Journal of Abnormal and Social Psychology</w:t>
      </w:r>
      <w:r>
        <w:t xml:space="preserve">,</w:t>
      </w:r>
      <w:r>
        <w:t xml:space="preserve"> </w:t>
      </w:r>
      <w:r>
        <w:rPr>
          <w:i/>
          <w:iCs/>
        </w:rPr>
        <w:t xml:space="preserve">60</w:t>
      </w:r>
      <w:r>
        <w:t xml:space="preserve">(1), 44.</w:t>
      </w:r>
    </w:p>
    <w:bookmarkEnd w:id="84"/>
    <w:bookmarkStart w:id="86" w:name="ref-JATOS"/>
    <w:p>
      <w:pPr>
        <w:pStyle w:val="Bibliography"/>
      </w:pPr>
      <w:r>
        <w:t xml:space="preserve">Lange, K., Kuhn, S., &amp; Filevich, E. (2015). "Just another tool for online studies” (JATOS): An easy solution for setup and management of web servers supporting online studies.</w:t>
      </w:r>
      <w:r>
        <w:t xml:space="preserve"> </w:t>
      </w:r>
      <w:r>
        <w:rPr>
          <w:i/>
          <w:iCs/>
        </w:rPr>
        <w:t xml:space="preserve">PLOS ONE</w:t>
      </w:r>
      <w:r>
        <w:t xml:space="preserve">,</w:t>
      </w:r>
      <w:r>
        <w:t xml:space="preserve"> </w:t>
      </w:r>
      <w:r>
        <w:rPr>
          <w:i/>
          <w:iCs/>
        </w:rPr>
        <w:t xml:space="preserve">10</w:t>
      </w:r>
      <w:r>
        <w:t xml:space="preserve">(6), 1–14.</w:t>
      </w:r>
      <w:r>
        <w:t xml:space="preserve"> </w:t>
      </w:r>
      <w:hyperlink r:id="rId85">
        <w:r>
          <w:rPr>
            <w:rStyle w:val="Hyperlink"/>
          </w:rPr>
          <w:t xml:space="preserve">https://doi.org/10.1371/journal.pone.0130834</w:t>
        </w:r>
      </w:hyperlink>
    </w:p>
    <w:bookmarkEnd w:id="86"/>
    <w:bookmarkStart w:id="87" w:name="ref-lisker1986"/>
    <w:p>
      <w:pPr>
        <w:pStyle w:val="Bibliography"/>
      </w:pPr>
      <w:r>
        <w:t xml:space="preserve">Lisker, L. (1986).</w:t>
      </w:r>
      <w:r>
        <w:t xml:space="preserve"> </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w:t>
      </w:r>
      <w:r>
        <w:t xml:space="preserve"> </w:t>
      </w:r>
      <w:r>
        <w:rPr>
          <w:i/>
          <w:iCs/>
        </w:rPr>
        <w:t xml:space="preserve">29</w:t>
      </w:r>
      <w:r>
        <w:t xml:space="preserve">(1), 3–11.</w:t>
      </w:r>
    </w:p>
    <w:bookmarkEnd w:id="87"/>
    <w:bookmarkStart w:id="89" w:name="ref-imagemagick"/>
    <w:p>
      <w:pPr>
        <w:pStyle w:val="Bibliography"/>
      </w:pPr>
      <w:r>
        <w:t xml:space="preserve">LLC, I. S. (2023).</w:t>
      </w:r>
      <w:r>
        <w:t xml:space="preserve"> </w:t>
      </w:r>
      <w:r>
        <w:rPr>
          <w:i/>
          <w:iCs/>
        </w:rPr>
        <w:t xml:space="preserve">ImageMagick</w:t>
      </w:r>
      <w:r>
        <w:t xml:space="preserve"> </w:t>
      </w:r>
      <w:r>
        <w:t xml:space="preserve">(Version 7.0.10).</w:t>
      </w:r>
      <w:r>
        <w:t xml:space="preserve"> </w:t>
      </w:r>
      <w:hyperlink r:id="rId88">
        <w:r>
          <w:rPr>
            <w:rStyle w:val="Hyperlink"/>
          </w:rPr>
          <w:t xml:space="preserve">https://imagemagick.org</w:t>
        </w:r>
      </w:hyperlink>
    </w:p>
    <w:bookmarkEnd w:id="89"/>
    <w:bookmarkStart w:id="91" w:name="ref-ChicagoFaceDatabase"/>
    <w:p>
      <w:pPr>
        <w:pStyle w:val="Bibliography"/>
      </w:pPr>
      <w:r>
        <w:t xml:space="preserve">Ma, D. S., Correll, J., &amp; Wittenbrink, B. (2015). The chicago face database: A free stimulus set of faces and norming data.</w:t>
      </w:r>
      <w:r>
        <w:t xml:space="preserve"> </w:t>
      </w:r>
      <w:r>
        <w:rPr>
          <w:i/>
          <w:iCs/>
        </w:rPr>
        <w:t xml:space="preserve">Behavior Research Methods</w:t>
      </w:r>
      <w:r>
        <w:t xml:space="preserve">,</w:t>
      </w:r>
      <w:r>
        <w:t xml:space="preserve"> </w:t>
      </w:r>
      <w:r>
        <w:rPr>
          <w:i/>
          <w:iCs/>
        </w:rPr>
        <w:t xml:space="preserve">47</w:t>
      </w:r>
      <w:r>
        <w:t xml:space="preserve">(4), 1122–1135.</w:t>
      </w:r>
      <w:r>
        <w:t xml:space="preserve"> </w:t>
      </w:r>
      <w:hyperlink r:id="rId90">
        <w:r>
          <w:rPr>
            <w:rStyle w:val="Hyperlink"/>
          </w:rPr>
          <w:t xml:space="preserve">https://doi.org/10.3758/s13428-014-0532-5</w:t>
        </w:r>
      </w:hyperlink>
    </w:p>
    <w:bookmarkEnd w:id="91"/>
    <w:bookmarkStart w:id="92" w:name="ref-mackMunson2012b"/>
    <w:p>
      <w:pPr>
        <w:pStyle w:val="Bibliography"/>
      </w:pPr>
      <w:r>
        <w:t xml:space="preserve">Mack, S., &amp; Munson, B. (2012). The association between/s/quality and perceived sexual orientation of men’s voices: Implicit and explicit measures.</w:t>
      </w:r>
      <w:r>
        <w:t xml:space="preserve"> </w:t>
      </w:r>
      <w:r>
        <w:rPr>
          <w:i/>
          <w:iCs/>
        </w:rPr>
        <w:t xml:space="preserve">Journal of Phonetics</w:t>
      </w:r>
      <w:r>
        <w:t xml:space="preserve">,</w:t>
      </w:r>
      <w:r>
        <w:t xml:space="preserve"> </w:t>
      </w:r>
      <w:r>
        <w:rPr>
          <w:i/>
          <w:iCs/>
        </w:rPr>
        <w:t xml:space="preserve">40</w:t>
      </w:r>
      <w:r>
        <w:t xml:space="preserve">(1), 198–212.</w:t>
      </w:r>
    </w:p>
    <w:bookmarkEnd w:id="92"/>
    <w:bookmarkStart w:id="93" w:name="ref-MannRepp1980"/>
    <w:p>
      <w:pPr>
        <w:pStyle w:val="Bibliography"/>
      </w:pPr>
      <w:r>
        <w:t xml:space="preserve">Mann, V. A., &amp; Repp, B. H. (1980). Influence of vocalic context on perception of the [ʃ]-[s] distinction.</w:t>
      </w:r>
      <w:r>
        <w:t xml:space="preserve"> </w:t>
      </w:r>
      <w:r>
        <w:rPr>
          <w:i/>
          <w:iCs/>
        </w:rPr>
        <w:t xml:space="preserve">Perception &amp; Psychophysics</w:t>
      </w:r>
      <w:r>
        <w:t xml:space="preserve">,</w:t>
      </w:r>
      <w:r>
        <w:t xml:space="preserve"> </w:t>
      </w:r>
      <w:r>
        <w:rPr>
          <w:i/>
          <w:iCs/>
        </w:rPr>
        <w:t xml:space="preserve">28</w:t>
      </w:r>
      <w:r>
        <w:t xml:space="preserve">(3), 213–228.</w:t>
      </w:r>
    </w:p>
    <w:bookmarkEnd w:id="93"/>
    <w:bookmarkStart w:id="94" w:name="ref-opensesame"/>
    <w:p>
      <w:pPr>
        <w:pStyle w:val="Bibliography"/>
      </w:pPr>
      <w:r>
        <w:t xml:space="preserve">Mathôt, S., Schreij, D., &amp; Theeuwes, J. (2012). Opensesame: An 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p>
    <w:bookmarkEnd w:id="94"/>
    <w:bookmarkStart w:id="95" w:name="ref-May1976"/>
    <w:p>
      <w:pPr>
        <w:pStyle w:val="Bibliography"/>
      </w:pPr>
      <w:r>
        <w:t xml:space="preserve">May, J. (1976b).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95"/>
    <w:bookmarkStart w:id="96" w:name="ref-may1976"/>
    <w:p>
      <w:pPr>
        <w:pStyle w:val="Bibliography"/>
      </w:pPr>
      <w:r>
        <w:t xml:space="preserve">May, J. (1976a).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96"/>
    <w:bookmarkStart w:id="97" w:name="ref-McGowan2011"/>
    <w:p>
      <w:pPr>
        <w:pStyle w:val="Bibliography"/>
      </w:pPr>
      <w:r>
        <w:t xml:space="preserve">McGowan, K. B. (2011).</w:t>
      </w:r>
      <w:r>
        <w:t xml:space="preserve"> </w:t>
      </w:r>
      <w:r>
        <w:rPr>
          <w:i/>
          <w:iCs/>
        </w:rPr>
        <w:t xml:space="preserve">The role of socioindexical expectation in speech perception</w:t>
      </w:r>
      <w:r>
        <w:t xml:space="preserve"> </w:t>
      </w:r>
      <w:r>
        <w:t xml:space="preserve">[PhD thesis]. University of Michigan.</w:t>
      </w:r>
    </w:p>
    <w:bookmarkEnd w:id="97"/>
    <w:bookmarkStart w:id="98" w:name="ref-McGowan2015"/>
    <w:p>
      <w:pPr>
        <w:pStyle w:val="Bibliography"/>
      </w:pPr>
      <w:r>
        <w:t xml:space="preserve">McGowan, K. B. (2015). Social expectation improves speech perception in noise.</w:t>
      </w:r>
      <w:r>
        <w:t xml:space="preserve"> </w:t>
      </w:r>
      <w:r>
        <w:rPr>
          <w:i/>
          <w:iCs/>
        </w:rPr>
        <w:t xml:space="preserve">Language and Speech</w:t>
      </w:r>
      <w:r>
        <w:t xml:space="preserve">,</w:t>
      </w:r>
      <w:r>
        <w:t xml:space="preserve"> </w:t>
      </w:r>
      <w:r>
        <w:rPr>
          <w:i/>
          <w:iCs/>
        </w:rPr>
        <w:t xml:space="preserve">58</w:t>
      </w:r>
      <w:r>
        <w:t xml:space="preserve">(4), 502–521.</w:t>
      </w:r>
    </w:p>
    <w:bookmarkEnd w:id="98"/>
    <w:bookmarkStart w:id="99" w:name="ref-mcgowanBabel2020"/>
    <w:p>
      <w:pPr>
        <w:pStyle w:val="Bibliography"/>
      </w:pPr>
      <w:r>
        <w:t xml:space="preserve">McGowan, K. B., &amp; Babel, A. M. (2020). Perceiving isn’t believing: Divergence in levels of sociolinguistic awareness.</w:t>
      </w:r>
      <w:r>
        <w:t xml:space="preserve"> </w:t>
      </w:r>
      <w:r>
        <w:rPr>
          <w:i/>
          <w:iCs/>
        </w:rPr>
        <w:t xml:space="preserve">Language in Society</w:t>
      </w:r>
      <w:r>
        <w:t xml:space="preserve">,</w:t>
      </w:r>
      <w:r>
        <w:t xml:space="preserve"> </w:t>
      </w:r>
      <w:r>
        <w:rPr>
          <w:i/>
          <w:iCs/>
        </w:rPr>
        <w:t xml:space="preserve">49</w:t>
      </w:r>
      <w:r>
        <w:t xml:space="preserve">(2), 231–256.</w:t>
      </w:r>
    </w:p>
    <w:bookmarkEnd w:id="99"/>
    <w:bookmarkStart w:id="100" w:name="ref-McGurkMacDonald1976"/>
    <w:p>
      <w:pPr>
        <w:pStyle w:val="Bibliography"/>
      </w:pPr>
      <w:r>
        <w:t xml:space="preserve">McGurk, H., &amp; MacDonald, J. (1976). Hearing lips and seeing voices.</w:t>
      </w:r>
      <w:r>
        <w:t xml:space="preserve"> </w:t>
      </w:r>
      <w:r>
        <w:rPr>
          <w:i/>
          <w:iCs/>
        </w:rPr>
        <w:t xml:space="preserve">Nature</w:t>
      </w:r>
      <w:r>
        <w:t xml:space="preserve">,</w:t>
      </w:r>
      <w:r>
        <w:t xml:space="preserve"> </w:t>
      </w:r>
      <w:r>
        <w:rPr>
          <w:i/>
          <w:iCs/>
        </w:rPr>
        <w:t xml:space="preserve">264</w:t>
      </w:r>
      <w:r>
        <w:t xml:space="preserve">, 746–748.</w:t>
      </w:r>
    </w:p>
    <w:bookmarkEnd w:id="100"/>
    <w:bookmarkStart w:id="101" w:name="ref-munson2011"/>
    <w:p>
      <w:pPr>
        <w:pStyle w:val="Bibliography"/>
      </w:pPr>
      <w:r>
        <w:t xml:space="preserve">Munson, B. (2011). The influence of actual and imputed talker gender on fricative perception, revisited (l).</w:t>
      </w:r>
      <w:r>
        <w:t xml:space="preserve"> </w:t>
      </w:r>
      <w:r>
        <w:rPr>
          <w:i/>
          <w:iCs/>
        </w:rPr>
        <w:t xml:space="preserve">The Journal of the Acoustical Society of America</w:t>
      </w:r>
      <w:r>
        <w:t xml:space="preserve">,</w:t>
      </w:r>
      <w:r>
        <w:t xml:space="preserve"> </w:t>
      </w:r>
      <w:r>
        <w:rPr>
          <w:i/>
          <w:iCs/>
        </w:rPr>
        <w:t xml:space="preserve">130</w:t>
      </w:r>
      <w:r>
        <w:t xml:space="preserve">(5), 2631–2634.</w:t>
      </w:r>
    </w:p>
    <w:bookmarkEnd w:id="101"/>
    <w:bookmarkStart w:id="102" w:name="ref-Niedzielski1999"/>
    <w:p>
      <w:pPr>
        <w:pStyle w:val="Bibliography"/>
      </w:pPr>
      <w:r>
        <w:t xml:space="preserve">Niedzielski, N. (1999). The effect of social information on the perception of sociolinguistic variables.</w:t>
      </w:r>
      <w:r>
        <w:t xml:space="preserve"> </w:t>
      </w:r>
      <w:r>
        <w:rPr>
          <w:i/>
          <w:iCs/>
        </w:rPr>
        <w:t xml:space="preserve">Journal of Language and Social Psychology</w:t>
      </w:r>
      <w:r>
        <w:t xml:space="preserve">,</w:t>
      </w:r>
      <w:r>
        <w:t xml:space="preserve"> </w:t>
      </w:r>
      <w:r>
        <w:rPr>
          <w:i/>
          <w:iCs/>
        </w:rPr>
        <w:t xml:space="preserve">18</w:t>
      </w:r>
      <w:r>
        <w:t xml:space="preserve">(1), 62–85.</w:t>
      </w:r>
    </w:p>
    <w:bookmarkEnd w:id="102"/>
    <w:bookmarkStart w:id="103" w:name="ref-nygaard1994"/>
    <w:p>
      <w:pPr>
        <w:pStyle w:val="Bibliography"/>
      </w:pPr>
      <w:r>
        <w:t xml:space="preserve">Nygaard, L. C., Sommers, M. S., &amp; Pisoni, D. B. (1994). Speech perception as a talker-contingent process.</w:t>
      </w:r>
      <w:r>
        <w:t xml:space="preserve"> </w:t>
      </w:r>
      <w:r>
        <w:rPr>
          <w:i/>
          <w:iCs/>
        </w:rPr>
        <w:t xml:space="preserve">Psychological Science</w:t>
      </w:r>
      <w:r>
        <w:t xml:space="preserve">,</w:t>
      </w:r>
      <w:r>
        <w:t xml:space="preserve"> </w:t>
      </w:r>
      <w:r>
        <w:rPr>
          <w:i/>
          <w:iCs/>
        </w:rPr>
        <w:t xml:space="preserve">5</w:t>
      </w:r>
      <w:r>
        <w:t xml:space="preserve">(1), 42–46.</w:t>
      </w:r>
    </w:p>
    <w:bookmarkEnd w:id="103"/>
    <w:bookmarkStart w:id="104" w:name="ref-ohala1984"/>
    <w:p>
      <w:pPr>
        <w:pStyle w:val="Bibliography"/>
      </w:pPr>
      <w:r>
        <w:t xml:space="preserve">Ohala, J. J. (1984). An ethological perspective on common cross-language utilization of F₀ of voice.</w:t>
      </w:r>
      <w:r>
        <w:t xml:space="preserve"> </w:t>
      </w:r>
      <w:r>
        <w:rPr>
          <w:i/>
          <w:iCs/>
        </w:rPr>
        <w:t xml:space="preserve">Phonetica</w:t>
      </w:r>
      <w:r>
        <w:t xml:space="preserve">,</w:t>
      </w:r>
      <w:r>
        <w:t xml:space="preserve"> </w:t>
      </w:r>
      <w:r>
        <w:rPr>
          <w:i/>
          <w:iCs/>
        </w:rPr>
        <w:t xml:space="preserve">41</w:t>
      </w:r>
      <w:r>
        <w:t xml:space="preserve">(1), 1–16.</w:t>
      </w:r>
    </w:p>
    <w:bookmarkEnd w:id="104"/>
    <w:bookmarkStart w:id="105" w:name="ref-ohala1994"/>
    <w:p>
      <w:pPr>
        <w:pStyle w:val="Bibliography"/>
      </w:pPr>
      <w:r>
        <w:t xml:space="preserve">Ohala, J. J. (1994). The frequency code underlies the sound-symbolic use of voice pitch.</w:t>
      </w:r>
      <w:r>
        <w:t xml:space="preserve"> </w:t>
      </w:r>
      <w:r>
        <w:rPr>
          <w:i/>
          <w:iCs/>
        </w:rPr>
        <w:t xml:space="preserve">Sound Symbolism</w:t>
      </w:r>
      <w:r>
        <w:t xml:space="preserve">, 325–347.</w:t>
      </w:r>
    </w:p>
    <w:bookmarkEnd w:id="105"/>
    <w:bookmarkStart w:id="106" w:name="ref-perryOhdeAshmead2001"/>
    <w:p>
      <w:pPr>
        <w:pStyle w:val="Bibliography"/>
      </w:pPr>
      <w:r>
        <w:t xml:space="preserve">Perry, T. L., Ohde, R. N., &amp; Ashmead, D. H. (2001). The acoustic bases for gender identification from children’s voices.</w:t>
      </w:r>
      <w:r>
        <w:t xml:space="preserve"> </w:t>
      </w:r>
      <w:r>
        <w:rPr>
          <w:i/>
          <w:iCs/>
        </w:rPr>
        <w:t xml:space="preserve">The Journal of the Acoustical Society of America</w:t>
      </w:r>
      <w:r>
        <w:t xml:space="preserve">,</w:t>
      </w:r>
      <w:r>
        <w:t xml:space="preserve"> </w:t>
      </w:r>
      <w:r>
        <w:rPr>
          <w:i/>
          <w:iCs/>
        </w:rPr>
        <w:t xml:space="preserve">109</w:t>
      </w:r>
      <w:r>
        <w:t xml:space="preserve">(6), 2988–2998.</w:t>
      </w:r>
    </w:p>
    <w:bookmarkEnd w:id="106"/>
    <w:bookmarkStart w:id="107" w:name="ref-pharaoKristiansen2019"/>
    <w:p>
      <w:pPr>
        <w:pStyle w:val="Bibliography"/>
      </w:pPr>
      <w:r>
        <w:t xml:space="preserve">Pharao, N., &amp; Kristiansen, T. (2019). Reflections on the relation between direct/indirect methods and explicit/implicit attitudes.</w:t>
      </w:r>
      <w:r>
        <w:t xml:space="preserve"> </w:t>
      </w:r>
      <w:r>
        <w:rPr>
          <w:i/>
          <w:iCs/>
        </w:rPr>
        <w:t xml:space="preserve">Linguistics Vanguard</w:t>
      </w:r>
      <w:r>
        <w:t xml:space="preserve">,</w:t>
      </w:r>
      <w:r>
        <w:t xml:space="preserve"> </w:t>
      </w:r>
      <w:r>
        <w:rPr>
          <w:i/>
          <w:iCs/>
        </w:rPr>
        <w:t xml:space="preserve">5</w:t>
      </w:r>
      <w:r>
        <w:t xml:space="preserve">(s1).</w:t>
      </w:r>
    </w:p>
    <w:bookmarkEnd w:id="107"/>
    <w:bookmarkStart w:id="108" w:name="ref-podesvakajino2014"/>
    <w:p>
      <w:pPr>
        <w:pStyle w:val="Bibliography"/>
      </w:pPr>
      <w:r>
        <w:t xml:space="preserve">Podesva, R. J., &amp; Kajino, S. (2014b). Sociophonetics, gender, and sexuality.</w:t>
      </w:r>
      <w:r>
        <w:t xml:space="preserve"> </w:t>
      </w:r>
      <w:r>
        <w:rPr>
          <w:i/>
          <w:iCs/>
        </w:rPr>
        <w:t xml:space="preserve">The Handbook of Language, Gender, and Sexuality</w:t>
      </w:r>
      <w:r>
        <w:t xml:space="preserve">, 103–122.</w:t>
      </w:r>
    </w:p>
    <w:bookmarkEnd w:id="108"/>
    <w:bookmarkStart w:id="110" w:name="ref-podesvaKajino2014"/>
    <w:p>
      <w:pPr>
        <w:pStyle w:val="Bibliography"/>
      </w:pPr>
      <w:r>
        <w:t xml:space="preserve">Podesva, R. J., &amp; Kajino, S. (2014a). Sociophonetics,</w:t>
      </w:r>
      <w:r>
        <w:t xml:space="preserve"> </w:t>
      </w:r>
      <w:r>
        <w:t xml:space="preserve">Gender</w:t>
      </w:r>
      <w:r>
        <w:t xml:space="preserve">, and</w:t>
      </w:r>
      <w:r>
        <w:t xml:space="preserve"> </w:t>
      </w:r>
      <w:r>
        <w:t xml:space="preserve">Sexuality</w:t>
      </w:r>
      <w:r>
        <w:t xml:space="preserve">. In S. Ehrlich, M. Meyerhoff, &amp; J. Holmes (Eds.),</w:t>
      </w:r>
      <w:r>
        <w:t xml:space="preserve"> </w:t>
      </w:r>
      <w:r>
        <w:rPr>
          <w:i/>
          <w:iCs/>
        </w:rPr>
        <w:t xml:space="preserve">The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w:t>
      </w:r>
      <w:r>
        <w:t xml:space="preserve">(pp. 103–122). John Wiley &amp; Sons, Inc.</w:t>
      </w:r>
      <w:r>
        <w:t xml:space="preserve"> </w:t>
      </w:r>
      <w:hyperlink r:id="rId109">
        <w:r>
          <w:rPr>
            <w:rStyle w:val="Hyperlink"/>
          </w:rPr>
          <w:t xml:space="preserve">https://doi.org/10.1002/9781118584248.ch5</w:t>
        </w:r>
      </w:hyperlink>
    </w:p>
    <w:bookmarkEnd w:id="110"/>
    <w:bookmarkStart w:id="111" w:name="ref-repp1982"/>
    <w:p>
      <w:pPr>
        <w:pStyle w:val="Bibliography"/>
      </w:pPr>
      <w:r>
        <w:t xml:space="preserve">Repp, B. H. (1982). Phonetic trading relations and context effects: New experimental evidence for a speech mode of perception.</w:t>
      </w:r>
      <w:r>
        <w:t xml:space="preserve"> </w:t>
      </w:r>
      <w:r>
        <w:rPr>
          <w:i/>
          <w:iCs/>
        </w:rPr>
        <w:t xml:space="preserve">Psychological Bulletin</w:t>
      </w:r>
      <w:r>
        <w:t xml:space="preserve">,</w:t>
      </w:r>
      <w:r>
        <w:t xml:space="preserve"> </w:t>
      </w:r>
      <w:r>
        <w:rPr>
          <w:i/>
          <w:iCs/>
        </w:rPr>
        <w:t xml:space="preserve">92</w:t>
      </w:r>
      <w:r>
        <w:t xml:space="preserve">(1), 81.</w:t>
      </w:r>
    </w:p>
    <w:bookmarkEnd w:id="111"/>
    <w:bookmarkStart w:id="112" w:name="ref-rosseelGrondelaers2019"/>
    <w:p>
      <w:pPr>
        <w:pStyle w:val="Bibliography"/>
      </w:pPr>
      <w:r>
        <w:t xml:space="preserve">Rosseel, L., &amp; Grondelaers, S. (2019). Implicitness and experimental methods in language variation research.</w:t>
      </w:r>
      <w:r>
        <w:t xml:space="preserve"> </w:t>
      </w:r>
      <w:r>
        <w:rPr>
          <w:i/>
          <w:iCs/>
        </w:rPr>
        <w:t xml:space="preserve">Linguistics Vanguard</w:t>
      </w:r>
      <w:r>
        <w:t xml:space="preserve">,</w:t>
      </w:r>
      <w:r>
        <w:t xml:space="preserve"> </w:t>
      </w:r>
      <w:r>
        <w:rPr>
          <w:i/>
          <w:iCs/>
        </w:rPr>
        <w:t xml:space="preserve">5</w:t>
      </w:r>
      <w:r>
        <w:t xml:space="preserve">(s1).</w:t>
      </w:r>
    </w:p>
    <w:bookmarkEnd w:id="112"/>
    <w:bookmarkStart w:id="113" w:name="ref-rubin1992"/>
    <w:p>
      <w:pPr>
        <w:pStyle w:val="Bibliography"/>
      </w:pPr>
      <w:r>
        <w:t xml:space="preserve">Rubin, D. L. (1992). Nonlanguage factors affecting undergraduates’ judgments of nonnative english-speaking teaching assistants.</w:t>
      </w:r>
      <w:r>
        <w:t xml:space="preserve"> </w:t>
      </w:r>
      <w:r>
        <w:rPr>
          <w:i/>
          <w:iCs/>
        </w:rPr>
        <w:t xml:space="preserve">Research in Higher Education</w:t>
      </w:r>
      <w:r>
        <w:t xml:space="preserve">,</w:t>
      </w:r>
      <w:r>
        <w:t xml:space="preserve"> </w:t>
      </w:r>
      <w:r>
        <w:rPr>
          <w:i/>
          <w:iCs/>
        </w:rPr>
        <w:t xml:space="preserve">33</w:t>
      </w:r>
      <w:r>
        <w:t xml:space="preserve">(4), 511–531.</w:t>
      </w:r>
    </w:p>
    <w:bookmarkEnd w:id="113"/>
    <w:bookmarkStart w:id="114" w:name="ref-samolinski2007"/>
    <w:p>
      <w:pPr>
        <w:pStyle w:val="Bibliography"/>
      </w:pPr>
      <w:r>
        <w:t xml:space="preserve">Samoliński, B. K., Grzanka, A., &amp; Gotlib, T. (2007). Changes in nasal cavity dimensions in children and adults by gender and age.</w:t>
      </w:r>
      <w:r>
        <w:t xml:space="preserve"> </w:t>
      </w:r>
      <w:r>
        <w:rPr>
          <w:i/>
          <w:iCs/>
        </w:rPr>
        <w:t xml:space="preserve">The Laryngoscope</w:t>
      </w:r>
      <w:r>
        <w:t xml:space="preserve">,</w:t>
      </w:r>
      <w:r>
        <w:t xml:space="preserve"> </w:t>
      </w:r>
      <w:r>
        <w:rPr>
          <w:i/>
          <w:iCs/>
        </w:rPr>
        <w:t xml:space="preserve">117</w:t>
      </w:r>
      <w:r>
        <w:t xml:space="preserve">(8), 1429–1433.</w:t>
      </w:r>
    </w:p>
    <w:bookmarkEnd w:id="114"/>
    <w:bookmarkStart w:id="115" w:name="ref-schellingerMunsonEdwards2017"/>
    <w:p>
      <w:pPr>
        <w:pStyle w:val="Bibliography"/>
      </w:pPr>
      <w:r>
        <w:t xml:space="preserve">Schellinger, S. K., Munson, B., &amp; Edwards, J. (2017). 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w:t>
      </w:r>
      <w:r>
        <w:t xml:space="preserve"> </w:t>
      </w:r>
      <w:r>
        <w:rPr>
          <w:i/>
          <w:iCs/>
        </w:rPr>
        <w:t xml:space="preserve">31</w:t>
      </w:r>
      <w:r>
        <w:t xml:space="preserve">(1), 80–103.</w:t>
      </w:r>
    </w:p>
    <w:bookmarkEnd w:id="115"/>
    <w:bookmarkStart w:id="116" w:name="ref-shadle1991"/>
    <w:p>
      <w:pPr>
        <w:pStyle w:val="Bibliography"/>
      </w:pPr>
      <w:r>
        <w:t xml:space="preserve">Shadle, C. H. (1991). The effect of geometry on source mechanisms of fricative consonants.</w:t>
      </w:r>
      <w:r>
        <w:t xml:space="preserve"> </w:t>
      </w:r>
      <w:r>
        <w:rPr>
          <w:i/>
          <w:iCs/>
        </w:rPr>
        <w:t xml:space="preserve">Journal of Phonetics</w:t>
      </w:r>
      <w:r>
        <w:t xml:space="preserve">,</w:t>
      </w:r>
      <w:r>
        <w:t xml:space="preserve"> </w:t>
      </w:r>
      <w:r>
        <w:rPr>
          <w:i/>
          <w:iCs/>
        </w:rPr>
        <w:t xml:space="preserve">19</w:t>
      </w:r>
      <w:r>
        <w:t xml:space="preserve">(3-4), 409–424.</w:t>
      </w:r>
    </w:p>
    <w:bookmarkEnd w:id="116"/>
    <w:bookmarkStart w:id="117" w:name="ref-steckerDOnofrioVolume"/>
    <w:p>
      <w:pPr>
        <w:pStyle w:val="Bibliography"/>
      </w:pPr>
      <w:r>
        <w:t xml:space="preserve">Stecker, A., &amp; D’Onofrio, A. (this volume). Recognizing uptalk: Memory and metalinguistic commentary for a sociolinguistic feature.</w:t>
      </w:r>
      <w:r>
        <w:t xml:space="preserve"> </w:t>
      </w:r>
      <w:r>
        <w:rPr>
          <w:i/>
          <w:iCs/>
        </w:rPr>
        <w:t xml:space="preserve">Journal of Sociolinguistics</w:t>
      </w:r>
      <w:r>
        <w:t xml:space="preserve">,</w:t>
      </w:r>
      <w:r>
        <w:t xml:space="preserve"> </w:t>
      </w:r>
      <w:r>
        <w:rPr>
          <w:i/>
          <w:iCs/>
        </w:rPr>
        <w:t xml:space="preserve">42</w:t>
      </w:r>
      <w:r>
        <w:t xml:space="preserve">(1).</w:t>
      </w:r>
    </w:p>
    <w:bookmarkEnd w:id="117"/>
    <w:bookmarkStart w:id="118" w:name="ref-strand1999"/>
    <w:p>
      <w:pPr>
        <w:pStyle w:val="Bibliography"/>
      </w:pPr>
      <w:r>
        <w:t xml:space="preserve">Strand, E. A. (1999). Uncovering the role of gender stereotypes in speech perception.</w:t>
      </w:r>
      <w:r>
        <w:t xml:space="preserve"> </w:t>
      </w:r>
      <w:r>
        <w:rPr>
          <w:i/>
          <w:iCs/>
        </w:rPr>
        <w:t xml:space="preserve">Journal of Language and Social Psychology</w:t>
      </w:r>
      <w:r>
        <w:t xml:space="preserve">,</w:t>
      </w:r>
      <w:r>
        <w:t xml:space="preserve"> </w:t>
      </w:r>
      <w:r>
        <w:rPr>
          <w:i/>
          <w:iCs/>
        </w:rPr>
        <w:t xml:space="preserve">18</w:t>
      </w:r>
      <w:r>
        <w:t xml:space="preserve">(1), 86–100.</w:t>
      </w:r>
    </w:p>
    <w:bookmarkEnd w:id="118"/>
    <w:bookmarkStart w:id="119" w:name="ref-strandJohnson1996"/>
    <w:p>
      <w:pPr>
        <w:pStyle w:val="Bibliography"/>
      </w:pPr>
      <w:r>
        <w:t xml:space="preserve">Strand, E. A., &amp; Johnson, K. (1996). Gradient and visual speaker normalization in the perception of fricatives.</w:t>
      </w:r>
      <w:r>
        <w:t xml:space="preserve"> </w:t>
      </w:r>
      <w:r>
        <w:rPr>
          <w:i/>
          <w:iCs/>
        </w:rPr>
        <w:t xml:space="preserve">KONVENS</w:t>
      </w:r>
      <w:r>
        <w:t xml:space="preserve">, 14–26.</w:t>
      </w:r>
    </w:p>
    <w:bookmarkEnd w:id="119"/>
    <w:bookmarkStart w:id="120" w:name="ref-trippMunson2022"/>
    <w:p>
      <w:pPr>
        <w:pStyle w:val="Bibliography"/>
      </w:pPr>
      <w:r>
        <w:t xml:space="preserve">Tripp, A., &amp; Munson, B. (2022). Perceiving gender while perceiving language: Integrating psycholinguistics and gender theory.</w:t>
      </w:r>
      <w:r>
        <w:t xml:space="preserve"> </w:t>
      </w:r>
      <w:r>
        <w:rPr>
          <w:i/>
          <w:iCs/>
        </w:rPr>
        <w:t xml:space="preserve">Wiley Interdisciplinary Reviews: Cognitive Science</w:t>
      </w:r>
      <w:r>
        <w:t xml:space="preserve">,</w:t>
      </w:r>
      <w:r>
        <w:t xml:space="preserve"> </w:t>
      </w:r>
      <w:r>
        <w:rPr>
          <w:i/>
          <w:iCs/>
        </w:rPr>
        <w:t xml:space="preserve">13</w:t>
      </w:r>
      <w:r>
        <w:t xml:space="preserve">(2), e1583.</w:t>
      </w:r>
    </w:p>
    <w:bookmarkEnd w:id="120"/>
    <w:bookmarkStart w:id="121" w:name="ref-walkerHay2011"/>
    <w:p>
      <w:pPr>
        <w:pStyle w:val="Bibliography"/>
      </w:pPr>
      <w:r>
        <w:t xml:space="preserve">Walker, A., &amp; Hay, J. (2011). Congruence between ‘word age’and ‘voice age’facilitates lexical access.</w:t>
      </w:r>
      <w:r>
        <w:t xml:space="preserve"> </w:t>
      </w:r>
      <w:r>
        <w:rPr>
          <w:i/>
          <w:iCs/>
        </w:rPr>
        <w:t xml:space="preserve">Laboratory Phonology</w:t>
      </w:r>
      <w:r>
        <w:t xml:space="preserve">,</w:t>
      </w:r>
      <w:r>
        <w:t xml:space="preserve"> </w:t>
      </w:r>
      <w:r>
        <w:rPr>
          <w:i/>
          <w:iCs/>
        </w:rPr>
        <w:t xml:space="preserve">2</w:t>
      </w:r>
      <w:r>
        <w:t xml:space="preserve">(1).</w:t>
      </w:r>
    </w:p>
    <w:bookmarkEnd w:id="121"/>
    <w:bookmarkStart w:id="122" w:name="ref-whalen1981"/>
    <w:p>
      <w:pPr>
        <w:pStyle w:val="Bibliography"/>
      </w:pPr>
      <w:r>
        <w:t xml:space="preserve">Whalen, D. H. (1981). 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w:t>
      </w:r>
      <w:r>
        <w:t xml:space="preserve"> </w:t>
      </w:r>
      <w:r>
        <w:rPr>
          <w:i/>
          <w:iCs/>
        </w:rPr>
        <w:t xml:space="preserve">69</w:t>
      </w:r>
      <w:r>
        <w:t xml:space="preserve">(1), 275–282.</w:t>
      </w:r>
    </w:p>
    <w:bookmarkEnd w:id="122"/>
    <w:bookmarkStart w:id="123" w:name="ref-whalen1984"/>
    <w:p>
      <w:pPr>
        <w:pStyle w:val="Bibliography"/>
      </w:pPr>
      <w:r>
        <w:t xml:space="preserve">Whalen, D. H. (1984). 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w:t>
      </w:r>
      <w:r>
        <w:t xml:space="preserve"> </w:t>
      </w:r>
      <w:r>
        <w:rPr>
          <w:i/>
          <w:iCs/>
        </w:rPr>
        <w:t xml:space="preserve">35</w:t>
      </w:r>
      <w:r>
        <w:t xml:space="preserve">, 49–64.</w:t>
      </w:r>
    </w:p>
    <w:bookmarkEnd w:id="123"/>
    <w:bookmarkStart w:id="124" w:name="ref-whalen1991"/>
    <w:p>
      <w:pPr>
        <w:pStyle w:val="Bibliography"/>
      </w:pPr>
      <w:r>
        <w:t xml:space="preserve">Whalen, D. H. (1991). 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w:t>
      </w:r>
      <w:r>
        <w:t xml:space="preserve"> </w:t>
      </w:r>
      <w:r>
        <w:rPr>
          <w:i/>
          <w:iCs/>
        </w:rPr>
        <w:t xml:space="preserve">90</w:t>
      </w:r>
      <w:r>
        <w:t xml:space="preserve">(4), 1776–1785.</w:t>
      </w:r>
    </w:p>
    <w:bookmarkEnd w:id="124"/>
    <w:bookmarkStart w:id="125" w:name="ref-wilbanks2022"/>
    <w:p>
      <w:pPr>
        <w:pStyle w:val="Bibliography"/>
      </w:pPr>
      <w:r>
        <w:t xml:space="preserve">Wilbanks, E. (2022).</w:t>
      </w:r>
      <w:r>
        <w:t xml:space="preserve"> </w:t>
      </w:r>
      <w:r>
        <w:rPr>
          <w:i/>
          <w:iCs/>
        </w:rPr>
        <w:t xml:space="preserve">The integration of social and acoustic cues during speech perception</w:t>
      </w:r>
      <w:r>
        <w:t xml:space="preserve"> </w:t>
      </w:r>
      <w:r>
        <w:t xml:space="preserve">[PhD thesis]. University of California, Berkeley.</w:t>
      </w:r>
    </w:p>
    <w:bookmarkEnd w:id="125"/>
    <w:bookmarkStart w:id="126" w:name="ref-wright2023"/>
    <w:p>
      <w:pPr>
        <w:pStyle w:val="Bibliography"/>
      </w:pPr>
      <w:r>
        <w:t xml:space="preserve">Wright, K. E. (2023). Housing policy and linguistic profiling: An audit study of three american dialects.</w:t>
      </w:r>
      <w:r>
        <w:t xml:space="preserve"> </w:t>
      </w:r>
      <w:r>
        <w:rPr>
          <w:i/>
          <w:iCs/>
        </w:rPr>
        <w:t xml:space="preserve">Language</w:t>
      </w:r>
      <w:r>
        <w:t xml:space="preserve">.</w:t>
      </w:r>
    </w:p>
    <w:bookmarkEnd w:id="126"/>
    <w:bookmarkStart w:id="127" w:name="ref-zimman2017"/>
    <w:p>
      <w:pPr>
        <w:pStyle w:val="Bibliography"/>
      </w:pPr>
      <w:r>
        <w:t xml:space="preserve">Zimman, L. (2017). Gender as stylistic bricolage: Transmasculine voices and the relationship between fundamental frequency and/s.</w:t>
      </w:r>
      <w:r>
        <w:t xml:space="preserve"> </w:t>
      </w:r>
      <w:r>
        <w:rPr>
          <w:i/>
          <w:iCs/>
        </w:rPr>
        <w:t xml:space="preserve">Language in Society</w:t>
      </w:r>
      <w:r>
        <w:t xml:space="preserve">,</w:t>
      </w:r>
      <w:r>
        <w:t xml:space="preserve"> </w:t>
      </w:r>
      <w:r>
        <w:rPr>
          <w:i/>
          <w:iCs/>
        </w:rPr>
        <w:t xml:space="preserve">46</w:t>
      </w:r>
      <w:r>
        <w:t xml:space="preserve">(3), 339–370.</w:t>
      </w:r>
    </w:p>
    <w:bookmarkEnd w:id="127"/>
    <w:bookmarkStart w:id="128" w:name="ref-zimman2018"/>
    <w:p>
      <w:pPr>
        <w:pStyle w:val="Bibliography"/>
      </w:pPr>
      <w:r>
        <w:t xml:space="preserve">Zimman, L. (2018). Transgender voices: Insights on identity, embodiment, and the gender of the voice.</w:t>
      </w:r>
      <w:r>
        <w:t xml:space="preserve"> </w:t>
      </w:r>
      <w:r>
        <w:rPr>
          <w:i/>
          <w:iCs/>
        </w:rPr>
        <w:t xml:space="preserve">Language and Linguistics Compass</w:t>
      </w:r>
      <w:r>
        <w:t xml:space="preserve">,</w:t>
      </w:r>
      <w:r>
        <w:t xml:space="preserve"> </w:t>
      </w:r>
      <w:r>
        <w:rPr>
          <w:i/>
          <w:iCs/>
        </w:rPr>
        <w:t xml:space="preserve">12</w:t>
      </w:r>
      <w:r>
        <w:t xml:space="preserve">(8), e12284.</w:t>
      </w:r>
    </w:p>
    <w:bookmarkEnd w:id="128"/>
    <w:bookmarkEnd w:id="129"/>
    <w:bookmarkStart w:id="133" w:name="fig-stimuli"/>
    <w:p>
      <w:pPr>
        <w:pStyle w:val="FigureTitle"/>
      </w:pPr>
      <w:r>
        <w:t xml:space="preserve">Figure 1</w:t>
      </w:r>
    </w:p>
    <w:p>
      <w:pPr>
        <w:pStyle w:val="Caption"/>
      </w:pPr>
      <w:r>
        <w:t xml:space="preserve">Bouavichith et al. (</w:t>
      </w:r>
      <w:hyperlink w:anchor="ref-bouavichithEtAl2019">
        <w:r>
          <w:rPr>
            <w:rStyle w:val="Hyperlink"/>
          </w:rPr>
          <w:t xml:space="preserve">2019</w:t>
        </w:r>
      </w:hyperlink>
      <w:r>
        <w:t xml:space="preserve">)</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p>
      <w:pPr>
        <w:pStyle w:val="FigureWithoutNote"/>
      </w:pPr>
      <w:r>
        <w:drawing>
          <wp:inline>
            <wp:extent cx="4754880" cy="3361404"/>
            <wp:effectExtent b="0" l="0" r="0" t="0"/>
            <wp:docPr descr="" title="" id="131" name="Picture"/>
            <a:graphic>
              <a:graphicData uri="http://schemas.openxmlformats.org/drawingml/2006/picture">
                <pic:pic>
                  <pic:nvPicPr>
                    <pic:cNvPr descr="images/figure1.png" id="132" name="Picture"/>
                    <pic:cNvPicPr>
                      <a:picLocks noChangeArrowheads="1" noChangeAspect="1"/>
                    </pic:cNvPicPr>
                  </pic:nvPicPr>
                  <pic:blipFill>
                    <a:blip r:embed="rId130"/>
                    <a:stretch>
                      <a:fillRect/>
                    </a:stretch>
                  </pic:blipFill>
                  <pic:spPr bwMode="auto">
                    <a:xfrm>
                      <a:off x="0" y="0"/>
                      <a:ext cx="4754880" cy="3361404"/>
                    </a:xfrm>
                    <a:prstGeom prst="rect">
                      <a:avLst/>
                    </a:prstGeom>
                    <a:noFill/>
                    <a:ln w="9525">
                      <a:noFill/>
                      <a:headEnd/>
                      <a:tailEnd/>
                    </a:ln>
                  </pic:spPr>
                </pic:pic>
              </a:graphicData>
            </a:graphic>
          </wp:inline>
        </w:drawing>
      </w:r>
    </w:p>
    <w:bookmarkEnd w:id="133"/>
    <w:p>
      <w:r>
        <w:br w:type="page"/>
      </w:r>
    </w:p>
    <w:bookmarkStart w:id="137" w:name="fig-visual"/>
    <w:p>
      <w:pPr>
        <w:pStyle w:val="FigureTitle"/>
      </w:pPr>
      <w:r>
        <w:t xml:space="preserve">Figure 2</w:t>
      </w:r>
    </w:p>
    <w:p>
      <w:pPr>
        <w:pStyle w:val="Caption"/>
      </w:pPr>
      <w:r>
        <w:t xml:space="preserve">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p>
      <w:pPr>
        <w:pStyle w:val="FigureWithoutNote"/>
      </w:pPr>
      <w:r>
        <w:drawing>
          <wp:inline>
            <wp:extent cx="4754880" cy="4754880"/>
            <wp:effectExtent b="0" l="0" r="0" t="0"/>
            <wp:docPr descr="" title="" id="135" name="Picture"/>
            <a:graphic>
              <a:graphicData uri="http://schemas.openxmlformats.org/drawingml/2006/picture">
                <pic:pic>
                  <pic:nvPicPr>
                    <pic:cNvPr descr="images/facesanddrawings.jpg" id="136" name="Picture"/>
                    <pic:cNvPicPr>
                      <a:picLocks noChangeArrowheads="1" noChangeAspect="1"/>
                    </pic:cNvPicPr>
                  </pic:nvPicPr>
                  <pic:blipFill>
                    <a:blip r:embed="rId134"/>
                    <a:stretch>
                      <a:fillRect/>
                    </a:stretch>
                  </pic:blipFill>
                  <pic:spPr bwMode="auto">
                    <a:xfrm>
                      <a:off x="0" y="0"/>
                      <a:ext cx="4754880" cy="4754880"/>
                    </a:xfrm>
                    <a:prstGeom prst="rect">
                      <a:avLst/>
                    </a:prstGeom>
                    <a:noFill/>
                    <a:ln w="9525">
                      <a:noFill/>
                      <a:headEnd/>
                      <a:tailEnd/>
                    </a:ln>
                  </pic:spPr>
                </pic:pic>
              </a:graphicData>
            </a:graphic>
          </wp:inline>
        </w:drawing>
      </w:r>
    </w:p>
    <w:bookmarkEnd w:id="137"/>
    <w:p>
      <w:r>
        <w:br w:type="page"/>
      </w:r>
    </w:p>
    <w:bookmarkStart w:id="141" w:name="fig-scurve"/>
    <w:p>
      <w:pPr>
        <w:pStyle w:val="FigureTitle"/>
      </w:pPr>
      <w:r>
        <w:t xml:space="preserve">Figure 3</w:t>
      </w:r>
    </w:p>
    <w:p>
      <w:pPr>
        <w:pStyle w:val="Caption"/>
      </w:pPr>
      <w:r>
        <w:t xml:space="preserve">‘sack’</w:t>
      </w:r>
      <w:r>
        <w:t xml:space="preserve"> </w:t>
      </w:r>
      <w:r>
        <w:t xml:space="preserve">responses plotted as a function of [ʃ]-[s] fricative (Onset)</w:t>
      </w:r>
      <w:r>
        <w:t xml:space="preserve"> </w:t>
      </w:r>
      <w:r>
        <w:t xml:space="preserve">continuum steps and purported gender presented by the face.</w:t>
      </w:r>
    </w:p>
    <w:p>
      <w:pPr>
        <w:pStyle w:val="FigureWithoutNote"/>
      </w:pPr>
      <w:r>
        <w:drawing>
          <wp:inline>
            <wp:extent cx="4754880" cy="2937285"/>
            <wp:effectExtent b="0" l="0" r="0" t="0"/>
            <wp:docPr descr="" title="" id="139" name="Picture"/>
            <a:graphic>
              <a:graphicData uri="http://schemas.openxmlformats.org/drawingml/2006/picture">
                <pic:pic>
                  <pic:nvPicPr>
                    <pic:cNvPr descr="images/Scurve.png" id="140" name="Picture"/>
                    <pic:cNvPicPr>
                      <a:picLocks noChangeArrowheads="1" noChangeAspect="1"/>
                    </pic:cNvPicPr>
                  </pic:nvPicPr>
                  <pic:blipFill>
                    <a:blip r:embed="rId138"/>
                    <a:stretch>
                      <a:fillRect/>
                    </a:stretch>
                  </pic:blipFill>
                  <pic:spPr bwMode="auto">
                    <a:xfrm>
                      <a:off x="0" y="0"/>
                      <a:ext cx="4754880" cy="2937285"/>
                    </a:xfrm>
                    <a:prstGeom prst="rect">
                      <a:avLst/>
                    </a:prstGeom>
                    <a:noFill/>
                    <a:ln w="9525">
                      <a:noFill/>
                      <a:headEnd/>
                      <a:tailEnd/>
                    </a:ln>
                  </pic:spPr>
                </pic:pic>
              </a:graphicData>
            </a:graphic>
          </wp:inline>
        </w:drawing>
      </w:r>
    </w:p>
    <w:bookmarkEnd w:id="141"/>
    <w:p>
      <w:r>
        <w:br w:type="page"/>
      </w:r>
    </w:p>
    <w:bookmarkStart w:id="145" w:name="fig-rimes"/>
    <w:p>
      <w:pPr>
        <w:pStyle w:val="FigureTitle"/>
      </w:pPr>
      <w:r>
        <w:t xml:space="preserve">Figure 4</w:t>
      </w:r>
    </w:p>
    <w:p>
      <w:pPr>
        <w:pStyle w:val="Caption"/>
      </w:pP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p>
      <w:pPr>
        <w:pStyle w:val="FigureWithoutNote"/>
      </w:pPr>
      <w:r>
        <w:drawing>
          <wp:inline>
            <wp:extent cx="4754880" cy="2937285"/>
            <wp:effectExtent b="0" l="0" r="0" t="0"/>
            <wp:docPr descr="" title="" id="143" name="Picture"/>
            <a:graphic>
              <a:graphicData uri="http://schemas.openxmlformats.org/drawingml/2006/picture">
                <pic:pic>
                  <pic:nvPicPr>
                    <pic:cNvPr descr="images/ambiguous-by-rime-step.png" id="144" name="Picture"/>
                    <pic:cNvPicPr>
                      <a:picLocks noChangeArrowheads="1" noChangeAspect="1"/>
                    </pic:cNvPicPr>
                  </pic:nvPicPr>
                  <pic:blipFill>
                    <a:blip r:embed="rId142"/>
                    <a:stretch>
                      <a:fillRect/>
                    </a:stretch>
                  </pic:blipFill>
                  <pic:spPr bwMode="auto">
                    <a:xfrm>
                      <a:off x="0" y="0"/>
                      <a:ext cx="4754880" cy="2937285"/>
                    </a:xfrm>
                    <a:prstGeom prst="rect">
                      <a:avLst/>
                    </a:prstGeom>
                    <a:noFill/>
                    <a:ln w="9525">
                      <a:noFill/>
                      <a:headEnd/>
                      <a:tailEnd/>
                    </a:ln>
                  </pic:spPr>
                </pic:pic>
              </a:graphicData>
            </a:graphic>
          </wp:inline>
        </w:drawing>
      </w:r>
    </w:p>
    <w:bookmarkEnd w:id="145"/>
    <w:p>
      <w:r>
        <w:br w:type="page"/>
      </w:r>
    </w:p>
    <w:bookmarkStart w:id="149" w:name="fig-coefs"/>
    <w:p>
      <w:pPr>
        <w:pStyle w:val="FigureTitle"/>
      </w:pPr>
      <w:r>
        <w:t xml:space="preserve">Figure 5</w:t>
      </w:r>
    </w:p>
    <w:p>
      <w:pPr>
        <w:pStyle w:val="Caption"/>
      </w:pPr>
      <w:r>
        <w:t xml:space="preserve">Beta coefficients for listener responses in the</w:t>
      </w:r>
      <w:r>
        <w:t xml:space="preserve"> </w:t>
      </w:r>
      <w:r>
        <w:t xml:space="preserve">Congruous (black) and Incongruous (gray) logistic regression models</w:t>
      </w:r>
      <w:r>
        <w:t xml:space="preserve"> </w:t>
      </w:r>
      <w:r>
        <w:t xml:space="preserve">plotted with 95% confidence intervals.</w:t>
      </w:r>
    </w:p>
    <w:p>
      <w:pPr>
        <w:pStyle w:val="FigureWithoutNote"/>
      </w:pPr>
      <w:r>
        <w:drawing>
          <wp:inline>
            <wp:extent cx="4754880" cy="3169919"/>
            <wp:effectExtent b="0" l="0" r="0" t="0"/>
            <wp:docPr descr="" title="" id="147" name="Picture"/>
            <a:graphic>
              <a:graphicData uri="http://schemas.openxmlformats.org/drawingml/2006/picture">
                <pic:pic>
                  <pic:nvPicPr>
                    <pic:cNvPr descr="images/coefs_instruction.png" id="148" name="Picture"/>
                    <pic:cNvPicPr>
                      <a:picLocks noChangeArrowheads="1" noChangeAspect="1"/>
                    </pic:cNvPicPr>
                  </pic:nvPicPr>
                  <pic:blipFill>
                    <a:blip r:embed="rId146"/>
                    <a:stretch>
                      <a:fillRect/>
                    </a:stretch>
                  </pic:blipFill>
                  <pic:spPr bwMode="auto">
                    <a:xfrm>
                      <a:off x="0" y="0"/>
                      <a:ext cx="4754880" cy="3169919"/>
                    </a:xfrm>
                    <a:prstGeom prst="rect">
                      <a:avLst/>
                    </a:prstGeom>
                    <a:noFill/>
                    <a:ln w="9525">
                      <a:noFill/>
                      <a:headEnd/>
                      <a:tailEnd/>
                    </a:ln>
                  </pic:spPr>
                </pic:pic>
              </a:graphicData>
            </a:graphic>
          </wp:inline>
        </w:drawing>
      </w:r>
    </w:p>
    <w:bookmarkEnd w:id="149"/>
    <w:p>
      <w:r>
        <w:br w:type="page"/>
      </w:r>
    </w:p>
    <w:bookmarkStart w:id="153" w:name="fig-coefs-logRT"/>
    <w:p>
      <w:pPr>
        <w:pStyle w:val="FigureTitle"/>
      </w:pPr>
      <w:r>
        <w:t xml:space="preserve">Figure 6</w:t>
      </w:r>
    </w:p>
    <w:p>
      <w:pPr>
        <w:pStyle w:val="Caption"/>
      </w:pPr>
      <w:r>
        <w:t xml:space="preserve">Beta coefficients for log-transformed response</w:t>
      </w:r>
      <w:r>
        <w:t xml:space="preserve"> </w:t>
      </w:r>
      <w:r>
        <w:t xml:space="preserve">times in the Congruous (black) and Incongruous (gray) linear regression</w:t>
      </w:r>
      <w:r>
        <w:t xml:space="preserve"> </w:t>
      </w:r>
      <w:r>
        <w:t xml:space="preserve">models plotted with 95% confidence intervals.</w:t>
      </w:r>
    </w:p>
    <w:p>
      <w:pPr>
        <w:pStyle w:val="FigureWithoutNote"/>
      </w:pPr>
      <w:r>
        <w:drawing>
          <wp:inline>
            <wp:extent cx="4754880" cy="3169919"/>
            <wp:effectExtent b="0" l="0" r="0" t="0"/>
            <wp:docPr descr="" title="" id="151" name="Picture"/>
            <a:graphic>
              <a:graphicData uri="http://schemas.openxmlformats.org/drawingml/2006/picture">
                <pic:pic>
                  <pic:nvPicPr>
                    <pic:cNvPr descr="images/coefs-logRT_instructions.png" id="152" name="Picture"/>
                    <pic:cNvPicPr>
                      <a:picLocks noChangeArrowheads="1" noChangeAspect="1"/>
                    </pic:cNvPicPr>
                  </pic:nvPicPr>
                  <pic:blipFill>
                    <a:blip r:embed="rId150"/>
                    <a:stretch>
                      <a:fillRect/>
                    </a:stretch>
                  </pic:blipFill>
                  <pic:spPr bwMode="auto">
                    <a:xfrm>
                      <a:off x="0" y="0"/>
                      <a:ext cx="4754880" cy="3169919"/>
                    </a:xfrm>
                    <a:prstGeom prst="rect">
                      <a:avLst/>
                    </a:prstGeom>
                    <a:noFill/>
                    <a:ln w="9525">
                      <a:noFill/>
                      <a:headEnd/>
                      <a:tailEnd/>
                    </a:ln>
                  </pic:spPr>
                </pic:pic>
              </a:graphicData>
            </a:graphic>
          </wp:inline>
        </w:drawing>
      </w:r>
    </w:p>
    <w:bookmarkEnd w:id="153"/>
    <w:p>
      <w:r>
        <w:br w:type="page"/>
      </w:r>
    </w:p>
    <w:bookmarkEnd w:id="154"/>
    <w:bookmarkEnd w:id="15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w:t>
      </w:r>
      <w:hyperlink w:anchor="ref-schulman1974">
        <w:r>
          <w:rPr>
            <w:rStyle w:val="Hyperlink"/>
            <w:b/>
            <w:bCs/>
          </w:rPr>
          <w:t xml:space="preserve">schulman1974?</w:t>
        </w:r>
      </w:hyperlink>
      <w:r>
        <w:t xml:space="preserve">)</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134" Target="media/rId134.jpg" /><Relationship Type="http://schemas.openxmlformats.org/officeDocument/2006/relationships/image" Id="rId130" Target="media/rId130.png" /><Relationship Type="http://schemas.openxmlformats.org/officeDocument/2006/relationships/hyperlink" Id="rId46" Target="http://CRAN.R-project.org/package=lme4" TargetMode="External" /><Relationship Type="http://schemas.openxmlformats.org/officeDocument/2006/relationships/hyperlink" Id="rId69" Target="http://dx.doi.org/10.3758/BF03207536" TargetMode="External" /><Relationship Type="http://schemas.openxmlformats.org/officeDocument/2006/relationships/hyperlink" Id="rId109" Target="https://doi.org/10.1002/9781118584248.ch5" TargetMode="External" /><Relationship Type="http://schemas.openxmlformats.org/officeDocument/2006/relationships/hyperlink" Id="rId51" Target="https://doi.org/10.1017/S0954394521000089" TargetMode="External" /><Relationship Type="http://schemas.openxmlformats.org/officeDocument/2006/relationships/hyperlink" Id="rId49" Target="https://doi.org/10.1121/1.5101933" TargetMode="External" /><Relationship Type="http://schemas.openxmlformats.org/officeDocument/2006/relationships/hyperlink" Id="rId85" Target="https://doi.org/10.1371/journal.pone.0130834" TargetMode="External" /><Relationship Type="http://schemas.openxmlformats.org/officeDocument/2006/relationships/hyperlink" Id="rId90" Target="https://doi.org/10.3758/s13428-014-0532-5" TargetMode="External" /><Relationship Type="http://schemas.openxmlformats.org/officeDocument/2006/relationships/hyperlink" Id="rId88"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46" Target="http://CRAN.R-project.org/package=lme4" TargetMode="External" /><Relationship Type="http://schemas.openxmlformats.org/officeDocument/2006/relationships/hyperlink" Id="rId69" Target="http://dx.doi.org/10.3758/BF03207536" TargetMode="External" /><Relationship Type="http://schemas.openxmlformats.org/officeDocument/2006/relationships/hyperlink" Id="rId109" Target="https://doi.org/10.1002/9781118584248.ch5" TargetMode="External" /><Relationship Type="http://schemas.openxmlformats.org/officeDocument/2006/relationships/hyperlink" Id="rId51" Target="https://doi.org/10.1017/S0954394521000089" TargetMode="External" /><Relationship Type="http://schemas.openxmlformats.org/officeDocument/2006/relationships/hyperlink" Id="rId49" Target="https://doi.org/10.1121/1.5101933" TargetMode="External" /><Relationship Type="http://schemas.openxmlformats.org/officeDocument/2006/relationships/hyperlink" Id="rId85" Target="https://doi.org/10.1371/journal.pone.0130834" TargetMode="External" /><Relationship Type="http://schemas.openxmlformats.org/officeDocument/2006/relationships/hyperlink" Id="rId90" Target="https://doi.org/10.3758/s13428-014-0532-5" TargetMode="External" /><Relationship Type="http://schemas.openxmlformats.org/officeDocument/2006/relationships/hyperlink" Id="rId88"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REMOVING THE DISGUISE: THE MATCHED GUISE TECHNIQUE AND LISTENER AWARENESS</dc:description>
  <cp:keywords>awareness, control, inverse matched guise, sociophonetic perception</cp:keywords>
  <dcterms:created xsi:type="dcterms:W3CDTF">2024-10-23T17:39:17Z</dcterms:created>
  <dcterms:modified xsi:type="dcterms:W3CDTF">2024-10-23T17:39:17Z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1999; Strand &amp; Johnson, 1996).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5" name="apaauthor">
    <vt:lpwstr/>
  </property>
  <property fmtid="{D5CDD505-2E9C-101B-9397-08002B2CF9AE}" pid="6" name="apadate">
    <vt:lpwstr>2024-10-23</vt:lpwstr>
  </property>
  <property fmtid="{D5CDD505-2E9C-101B-9397-08002B2CF9AE}" pid="7" name="apatitle">
    <vt:lpwstr>REMOVING THE DISGUISE: THE MATCHED GUISE TECHNIQUE AND LISTENER AWARENESS</vt:lpwstr>
  </property>
  <property fmtid="{D5CDD505-2E9C-101B-9397-08002B2CF9AE}" pid="8" name="apatitledisplay">
    <vt:lpwstr>Removing the disguise: the matched guise technique and listener awareness</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itation">
    <vt:lpwstr/>
  </property>
  <property fmtid="{D5CDD505-2E9C-101B-9397-08002B2CF9AE}" pid="15" name="clear-hidden-classes">
    <vt:lpwstr>none</vt:lpwstr>
  </property>
  <property fmtid="{D5CDD505-2E9C-101B-9397-08002B2CF9AE}" pid="16" name="csl">
    <vt:lpwstr>_extensions/wjschne/apaquarto/apa.csl</vt:lpwstr>
  </property>
  <property fmtid="{D5CDD505-2E9C-101B-9397-08002B2CF9AE}" pid="17" name="documentmode">
    <vt:lpwstr>man</vt:lpwstr>
  </property>
  <property fmtid="{D5CDD505-2E9C-101B-9397-08002B2CF9AE}" pid="18" name="editor">
    <vt:lpwstr/>
  </property>
  <property fmtid="{D5CDD505-2E9C-101B-9397-08002B2CF9AE}" pid="19" name="fig-cap-location">
    <vt:lpwstr>top</vt:lpwstr>
  </property>
  <property fmtid="{D5CDD505-2E9C-101B-9397-08002B2CF9AE}" pid="20" name="google-scholar">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nitr">
    <vt:lpwstr/>
  </property>
  <property fmtid="{D5CDD505-2E9C-101B-9397-08002B2CF9AE}" pid="25" name="labels">
    <vt:lpwstr/>
  </property>
  <property fmtid="{D5CDD505-2E9C-101B-9397-08002B2CF9AE}" pid="26" name="language">
    <vt:lpwstr/>
  </property>
  <property fmtid="{D5CDD505-2E9C-101B-9397-08002B2CF9AE}" pid="27" name="lightbox">
    <vt:lpwstr>auto</vt:lpwstr>
  </property>
  <property fmtid="{D5CDD505-2E9C-101B-9397-08002B2CF9AE}" pid="28" name="link-citations">
    <vt:lpwstr>True</vt:lpwstr>
  </property>
  <property fmtid="{D5CDD505-2E9C-101B-9397-08002B2CF9AE}" pid="29" name="manuscript">
    <vt:lpwstr/>
  </property>
  <property fmtid="{D5CDD505-2E9C-101B-9397-08002B2CF9AE}" pid="30" name="no-ampersand-parenthetical">
    <vt:lpwstr>False</vt:lpwstr>
  </property>
  <property fmtid="{D5CDD505-2E9C-101B-9397-08002B2CF9AE}" pid="31" name="notebook-preview-options">
    <vt:lpwstr/>
  </property>
  <property fmtid="{D5CDD505-2E9C-101B-9397-08002B2CF9AE}" pid="32" name="oneaffiliation">
    <vt:lpwstr>False</vt:lpwstr>
  </property>
  <property fmtid="{D5CDD505-2E9C-101B-9397-08002B2CF9AE}" pid="33" name="oneauthor">
    <vt:lpwstr>False</vt:lpwstr>
  </property>
  <property fmtid="{D5CDD505-2E9C-101B-9397-08002B2CF9AE}" pid="34" name="quarto-internal">
    <vt:lpwstr/>
  </property>
  <property fmtid="{D5CDD505-2E9C-101B-9397-08002B2CF9AE}" pid="35" name="references">
    <vt:lpwstr/>
  </property>
  <property fmtid="{D5CDD505-2E9C-101B-9397-08002B2CF9AE}" pid="36" name="remove-hidden">
    <vt:lpwstr>all</vt:lpwstr>
  </property>
  <property fmtid="{D5CDD505-2E9C-101B-9397-08002B2CF9AE}" pid="37" name="revealjs-plugins">
    <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False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True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emplate-partials">
    <vt:lpwstr/>
  </property>
  <property fmtid="{D5CDD505-2E9C-101B-9397-08002B2CF9AE}" pid="63" name="theme">
    <vt:lpwstr>cosmo</vt:lpwstr>
  </property>
  <property fmtid="{D5CDD505-2E9C-101B-9397-08002B2CF9AE}" pid="64" name="title-block-style">
    <vt:lpwstr>manuscript</vt:lpwstr>
  </property>
  <property fmtid="{D5CDD505-2E9C-101B-9397-08002B2CF9AE}" pid="65" name="toc-title">
    <vt:lpwstr>Table of contents</vt:lpwstr>
  </property>
  <property fmtid="{D5CDD505-2E9C-101B-9397-08002B2CF9AE}" pid="66" name="unroll-markdown-cells">
    <vt:lpwstr>True</vt:lpwstr>
  </property>
  <property fmtid="{D5CDD505-2E9C-101B-9397-08002B2CF9AE}" pid="67" name="zerocitations">
    <vt:lpwstr>False</vt:lpwstr>
  </property>
</Properties>
</file>