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2024-10-24</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talkers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them</w:t>
      </w:r>
      <w:r>
        <w:t xml:space="preserve"> </w:t>
      </w:r>
      <w:r>
        <w:t xml:space="preserve">(Bakhtin 1981)</w:t>
      </w:r>
      <w:r>
        <w:t xml:space="preserve">. The cognitive reality of this tripartite relationship between the concepts of gender identities and instances of fine phonetic detail is essential for the performance of those identities. This observation remains true regardless of talker and listener awareness.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will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the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The concept of control, in perception, is less clear, but it is necessary to explore perceptual control for the purposes of the present chapter. Here we owe much of our general conceptualization of</w:t>
      </w:r>
      <w:r>
        <w:t xml:space="preserve"> </w:t>
      </w:r>
      <w:r>
        <w:t xml:space="preserve">‘control’</w:t>
      </w:r>
      <w:r>
        <w:t xml:space="preserve"> </w:t>
      </w:r>
      <w:r>
        <w:t xml:space="preserve">to Preston’s</w:t>
      </w:r>
      <w:r>
        <w:t xml:space="preserve"> </w:t>
      </w:r>
      <w:r>
        <w:t xml:space="preserve">(1996, 2016)</w:t>
      </w:r>
      <w:r>
        <w:t xml:space="preserve"> </w:t>
      </w:r>
      <w:r>
        <w:t xml:space="preserve">four modes of awareness but with the stipulation that the ability to</w:t>
      </w:r>
      <w:r>
        <w:t xml:space="preserve"> </w:t>
      </w:r>
      <w:r>
        <w:t xml:space="preserve">‘perform’</w:t>
      </w:r>
      <w:r>
        <w:t xml:space="preserve"> </w:t>
      </w:r>
      <w:r>
        <w:t xml:space="preserve">or</w:t>
      </w:r>
      <w:r>
        <w:t xml:space="preserve"> </w:t>
      </w:r>
      <w:r>
        <w:t xml:space="preserve">‘employ’</w:t>
      </w:r>
      <w:r>
        <w:t xml:space="preserve"> </w:t>
      </w:r>
      <w:r>
        <w:t xml:space="preserve">the linking relationship between a social label and its phonetic reflexes is just as clearly a task for the listener as it is for the talker. A listener must be able to control, to link, the auditory cues of a performed gender identity to the cognitive representation of that identity just as much as a talker’s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perception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use perception to describe a kind of low-level, fast, processing of sensory input 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w:t>
      </w:r>
      <w:r>
        <w:t xml:space="preserve"> </w:t>
      </w:r>
      <w:r>
        <w:t xml:space="preserve">(pp. 492-494) 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perhaps somewhat slower, evaluative judgment of talkers and voices. This is the meaning of perception employed in folk linguistics</w:t>
      </w:r>
      <w:r>
        <w:t xml:space="preserve"> </w:t>
      </w:r>
      <w:r>
        <w:t xml:space="preserve">(N. A. Niedzielski and Preston 2000)</w:t>
      </w:r>
      <w:r>
        <w:t xml:space="preserve"> </w:t>
      </w:r>
      <w:r>
        <w:t xml:space="preserve">and perceptual dialectology</w:t>
      </w:r>
      <w:r>
        <w:t xml:space="preserve"> </w:t>
      </w:r>
      <w:r>
        <w:t xml:space="preserve">(Cramer 2021)</w:t>
      </w:r>
      <w:r>
        <w:t xml:space="preserve">. This is the level of</w:t>
      </w:r>
      <w:r>
        <w:t xml:space="preserve"> </w:t>
      </w:r>
      <w:r>
        <w:t xml:space="preserve">‘perception’</w:t>
      </w:r>
      <w:r>
        <w:t xml:space="preserve"> </w:t>
      </w:r>
      <w:r>
        <w:t xml:space="preserve">at which the sociolinguistic monitor is proposed to operate</w:t>
      </w:r>
      <w:r>
        <w:t xml:space="preserve"> </w:t>
      </w:r>
      <w:r>
        <w:t xml:space="preserve">(Labov et al. 2011)</w:t>
      </w:r>
      <w:r>
        <w:t xml:space="preserve">. Finally, and crucially for the present study, this higher, evaluative level of perception is the level for which the Matched Guise Technique was originally developed</w:t>
      </w:r>
      <w:r>
        <w:t xml:space="preserve"> </w:t>
      </w:r>
      <w:r>
        <w:t xml:space="preserve">(Lambert et al. 1960)</w:t>
      </w:r>
      <w:r>
        <w:t xml:space="preserve">.</w:t>
      </w:r>
      <w:r>
        <w:t xml:space="preserve"> </w:t>
      </w:r>
    </w:p>
    <w:bookmarkStart w:id="21"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(McGowan 2015;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bookmarkStart w:id="20" w:name="section"/>
    <w:p>
      <w:pPr>
        <w:pStyle w:val="Heading3"/>
      </w:pPr>
    </w:p>
    <w:p>
      <w:pPr>
        <w:pStyle w:val="FirstParagraph"/>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w:t>
      </w:r>
      <w:r>
        <w:t xml:space="preserve"> </w:t>
      </w:r>
      <w:r>
        <w:t xml:space="preserve">(centered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volume)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0"/>
    <w:bookmarkEnd w:id="21"/>
    <w:bookmarkStart w:id="22"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2"/>
    <w:bookmarkStart w:id="23"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(Johnson 2005,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3"/>
    <w:bookmarkEnd w:id="24"/>
    <w:bookmarkStart w:id="40" w:name="method"/>
    <w:p>
      <w:pPr>
        <w:pStyle w:val="Heading1"/>
      </w:pPr>
      <w:r>
        <w:t xml:space="preserve">Method</w:t>
      </w:r>
    </w:p>
    <w:bookmarkStart w:id="25"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5"/>
    <w:bookmarkStart w:id="31" w:name="stimulus-materials"/>
    <w:p>
      <w:pPr>
        <w:pStyle w:val="Heading2"/>
      </w:pPr>
      <w:r>
        <w:t xml:space="preserve">Stimulus Materials</w:t>
      </w:r>
    </w:p>
    <w:bookmarkStart w:id="30"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9"/>
        </w:tc>
      </w:tr>
    </w:tbl>
    <w:bookmarkEnd w:id="30"/>
    <w:bookmarkEnd w:id="31"/>
    <w:bookmarkStart w:id="37"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6"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predicted-results"/>
    <w:p>
      <w:pPr>
        <w:pStyle w:val="Heading1"/>
      </w:pPr>
      <w:r>
        <w:t xml:space="preserve">Predicted Results</w:t>
      </w:r>
    </w:p>
    <w:bookmarkStart w:id="41"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3"/>
    <w:bookmarkEnd w:id="44"/>
    <w:bookmarkStart w:id="64"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3"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8"/>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 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174"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73" w:name="references"/>
    <w:p>
      <w:pPr>
        <w:pStyle w:val="Heading2"/>
      </w:pPr>
      <w:r>
        <w:t xml:space="preserve">References</w:t>
      </w:r>
    </w:p>
    <w:bookmarkStart w:id="172" w:name="refs"/>
    <w:bookmarkStart w:id="66"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6"/>
    <w:bookmarkStart w:id="67"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7"/>
    <w:bookmarkStart w:id="68"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0"/>
    <w:bookmarkStart w:id="72"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1">
        <w:r>
          <w:rPr>
            <w:rStyle w:val="Hyperlink"/>
          </w:rPr>
          <w:t xml:space="preserve">http://CRAN.R-project.org/package=lme4</w:t>
        </w:r>
      </w:hyperlink>
      <w:r>
        <w:t xml:space="preserve">.</w:t>
      </w:r>
    </w:p>
    <w:bookmarkEnd w:id="72"/>
    <w:bookmarkStart w:id="73"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3"/>
    <w:bookmarkStart w:id="75"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4">
        <w:r>
          <w:rPr>
            <w:rStyle w:val="Hyperlink"/>
          </w:rPr>
          <w:t xml:space="preserve">https://doi.org/10.1121/1.5101933</w:t>
        </w:r>
      </w:hyperlink>
      <w:r>
        <w:t xml:space="preserve">.</w:t>
      </w:r>
    </w:p>
    <w:bookmarkEnd w:id="75"/>
    <w:bookmarkStart w:id="77"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6">
        <w:r>
          <w:rPr>
            <w:rStyle w:val="Hyperlink"/>
          </w:rPr>
          <w:t xml:space="preserve">https://doi.org/10.1017/S0954394521000089</w:t>
        </w:r>
      </w:hyperlink>
      <w:r>
        <w:t xml:space="preserve">.</w:t>
      </w:r>
    </w:p>
    <w:bookmarkEnd w:id="77"/>
    <w:bookmarkStart w:id="78"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8"/>
    <w:bookmarkStart w:id="79"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9"/>
    <w:bookmarkStart w:id="80"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0"/>
    <w:bookmarkStart w:id="81"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1"/>
    <w:bookmarkStart w:id="82"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2"/>
    <w:bookmarkStart w:id="83"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3"/>
    <w:bookmarkStart w:id="84"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4"/>
    <w:bookmarkStart w:id="85"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5"/>
    <w:bookmarkStart w:id="87"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86">
        <w:r>
          <w:rPr>
            <w:rStyle w:val="Hyperlink"/>
          </w:rPr>
          <w:t xml:space="preserve">https://doi.org/10.1037/xlm0000137</w:t>
        </w:r>
      </w:hyperlink>
      <w:r>
        <w:t xml:space="preserve">.</w:t>
      </w:r>
    </w:p>
    <w:bookmarkEnd w:id="87"/>
    <w:bookmarkStart w:id="88"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88"/>
    <w:bookmarkStart w:id="8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9"/>
    <w:bookmarkStart w:id="9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0">
        <w:r>
          <w:rPr>
            <w:rStyle w:val="Hyperlink"/>
          </w:rPr>
          <w:t xml:space="preserve">https://doi.org/10.1016/s0010-0277(00)00123-2</w:t>
        </w:r>
      </w:hyperlink>
      <w:r>
        <w:t xml:space="preserve">.</w:t>
      </w:r>
    </w:p>
    <w:bookmarkEnd w:id="91"/>
    <w:bookmarkStart w:id="92"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2"/>
    <w:bookmarkStart w:id="93"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3"/>
    <w:bookmarkStart w:id="94"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4"/>
    <w:bookmarkStart w:id="95"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95"/>
    <w:bookmarkStart w:id="96"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96"/>
    <w:bookmarkStart w:id="97"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7"/>
    <w:bookmarkStart w:id="98"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98"/>
    <w:bookmarkStart w:id="99"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99"/>
    <w:bookmarkStart w:id="100"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0"/>
    <w:bookmarkStart w:id="101"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1"/>
    <w:bookmarkStart w:id="103"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2">
        <w:r>
          <w:rPr>
            <w:rStyle w:val="Hyperlink"/>
          </w:rPr>
          <w:t xml:space="preserve">https://doi.org/10.3389/fpsyg.2015.00500</w:t>
        </w:r>
      </w:hyperlink>
      <w:r>
        <w:t xml:space="preserve">.</w:t>
      </w:r>
    </w:p>
    <w:bookmarkEnd w:id="103"/>
    <w:bookmarkStart w:id="105"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04">
        <w:r>
          <w:rPr>
            <w:rStyle w:val="Hyperlink"/>
          </w:rPr>
          <w:t xml:space="preserve">http://dx.doi.org/10.3758/BF03207536</w:t>
        </w:r>
      </w:hyperlink>
      <w:r>
        <w:t xml:space="preserve">.</w:t>
      </w:r>
    </w:p>
    <w:bookmarkEnd w:id="105"/>
    <w:bookmarkStart w:id="106"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04">
        <w:r>
          <w:rPr>
            <w:rStyle w:val="Hyperlink"/>
          </w:rPr>
          <w:t xml:space="preserve">http://dx.doi.org/10.3758/BF03207536</w:t>
        </w:r>
      </w:hyperlink>
      <w:r>
        <w:t xml:space="preserve">.</w:t>
      </w:r>
    </w:p>
    <w:bookmarkEnd w:id="106"/>
    <w:bookmarkStart w:id="107"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107"/>
    <w:bookmarkStart w:id="108"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08"/>
    <w:bookmarkStart w:id="109"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09"/>
    <w:bookmarkStart w:id="110"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0"/>
    <w:bookmarkStart w:id="111"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1"/>
    <w:bookmarkStart w:id="112"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2"/>
    <w:bookmarkStart w:id="113"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3"/>
    <w:bookmarkStart w:id="114"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14"/>
    <w:bookmarkStart w:id="116"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15">
        <w:r>
          <w:rPr>
            <w:rStyle w:val="Hyperlink"/>
          </w:rPr>
          <w:t xml:space="preserve">http://www.jstor.org/stable/522229</w:t>
        </w:r>
      </w:hyperlink>
      <w:r>
        <w:t xml:space="preserve">.</w:t>
      </w:r>
    </w:p>
    <w:bookmarkEnd w:id="116"/>
    <w:bookmarkStart w:id="117"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17"/>
    <w:bookmarkStart w:id="118"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18"/>
    <w:bookmarkStart w:id="119"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19"/>
    <w:bookmarkStart w:id="120"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0"/>
    <w:bookmarkStart w:id="121"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1"/>
    <w:bookmarkStart w:id="123"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2">
        <w:r>
          <w:rPr>
            <w:rStyle w:val="Hyperlink"/>
          </w:rPr>
          <w:t xml:space="preserve">https://doi.org/10.1371/journal.pone.0130834</w:t>
        </w:r>
      </w:hyperlink>
      <w:r>
        <w:t xml:space="preserve">.</w:t>
      </w:r>
    </w:p>
    <w:bookmarkEnd w:id="123"/>
    <w:bookmarkStart w:id="12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24"/>
    <w:bookmarkStart w:id="126" w:name="ref-imagemagick"/>
    <w:p>
      <w:pPr>
        <w:pStyle w:val="Bibliography"/>
      </w:pPr>
      <w:r>
        <w:t xml:space="preserve">LLC, ImageMagick Studio. 2023.</w:t>
      </w:r>
      <w:r>
        <w:t xml:space="preserve"> </w:t>
      </w:r>
      <w:r>
        <w:t xml:space="preserve">“ImageMagick.”</w:t>
      </w:r>
      <w:r>
        <w:t xml:space="preserve"> </w:t>
      </w:r>
      <w:hyperlink r:id="rId125">
        <w:r>
          <w:rPr>
            <w:rStyle w:val="Hyperlink"/>
          </w:rPr>
          <w:t xml:space="preserve">https://imagemagick.org</w:t>
        </w:r>
      </w:hyperlink>
      <w:r>
        <w:t xml:space="preserve">.</w:t>
      </w:r>
    </w:p>
    <w:bookmarkEnd w:id="126"/>
    <w:bookmarkStart w:id="12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27">
        <w:r>
          <w:rPr>
            <w:rStyle w:val="Hyperlink"/>
          </w:rPr>
          <w:t xml:space="preserve">https://doi.org/10.3758/s13428-014-0532-5</w:t>
        </w:r>
      </w:hyperlink>
      <w:r>
        <w:t xml:space="preserve">.</w:t>
      </w:r>
    </w:p>
    <w:bookmarkEnd w:id="128"/>
    <w:bookmarkStart w:id="129"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29"/>
    <w:bookmarkStart w:id="130"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30"/>
    <w:bookmarkStart w:id="131"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31"/>
    <w:bookmarkStart w:id="132"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32"/>
    <w:bookmarkStart w:id="133"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33"/>
    <w:bookmarkStart w:id="134"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34"/>
    <w:bookmarkStart w:id="135"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35"/>
    <w:bookmarkStart w:id="136"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36"/>
    <w:bookmarkStart w:id="137"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37"/>
    <w:bookmarkStart w:id="138"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38"/>
    <w:bookmarkStart w:id="139" w:name="ref-niedzielskiPreston2000"/>
    <w:p>
      <w:pPr>
        <w:pStyle w:val="Bibliography"/>
      </w:pPr>
      <w:r>
        <w:t xml:space="preserve">Niedzielski, Nancy A, and Dennis Richard Preston. 2000.</w:t>
      </w:r>
      <w:r>
        <w:t xml:space="preserve"> </w:t>
      </w:r>
      <w:r>
        <w:rPr>
          <w:i/>
          <w:iCs/>
        </w:rPr>
        <w:t xml:space="preserve">Folk Linguistics</w:t>
      </w:r>
      <w:r>
        <w:t xml:space="preserve">. Vol. 122. Walter de Gruyter.</w:t>
      </w:r>
    </w:p>
    <w:bookmarkEnd w:id="139"/>
    <w:bookmarkStart w:id="140"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40"/>
    <w:bookmarkStart w:id="141"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41"/>
    <w:bookmarkStart w:id="142"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42"/>
    <w:bookmarkStart w:id="143"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43"/>
    <w:bookmarkStart w:id="144"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44"/>
    <w:bookmarkStart w:id="145"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45"/>
    <w:bookmarkStart w:id="146"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46"/>
    <w:bookmarkStart w:id="147"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47"/>
    <w:bookmarkStart w:id="148"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48"/>
    <w:bookmarkStart w:id="150"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49">
        <w:r>
          <w:rPr>
            <w:rStyle w:val="Hyperlink"/>
          </w:rPr>
          <w:t xml:space="preserve">https://doi.org/10.1093/oxfordhb/9780199600472.001.0001</w:t>
        </w:r>
      </w:hyperlink>
      <w:r>
        <w:t xml:space="preserve">.</w:t>
      </w:r>
    </w:p>
    <w:bookmarkEnd w:id="150"/>
    <w:bookmarkStart w:id="151"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51"/>
    <w:bookmarkStart w:id="152"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52"/>
    <w:bookmarkStart w:id="153"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53"/>
    <w:bookmarkStart w:id="154"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54"/>
    <w:bookmarkStart w:id="155"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55"/>
    <w:bookmarkStart w:id="157"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56">
        <w:r>
          <w:rPr>
            <w:rStyle w:val="Hyperlink"/>
          </w:rPr>
          <w:t xml:space="preserve">https://doi.org/10.3758/BF03197491</w:t>
        </w:r>
      </w:hyperlink>
      <w:r>
        <w:t xml:space="preserve">.</w:t>
      </w:r>
    </w:p>
    <w:bookmarkEnd w:id="157"/>
    <w:bookmarkStart w:id="158"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58"/>
    <w:bookmarkStart w:id="159"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59"/>
    <w:bookmarkStart w:id="160"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60"/>
    <w:bookmarkStart w:id="161"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61"/>
    <w:bookmarkStart w:id="162"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62"/>
    <w:bookmarkStart w:id="163"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63"/>
    <w:bookmarkStart w:id="164"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64"/>
    <w:bookmarkStart w:id="165"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65"/>
    <w:bookmarkStart w:id="166"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66"/>
    <w:bookmarkStart w:id="167"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67"/>
    <w:bookmarkStart w:id="168"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68"/>
    <w:bookmarkStart w:id="169"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69"/>
    <w:bookmarkStart w:id="170"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70"/>
    <w:bookmarkStart w:id="171"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71"/>
    <w:bookmarkEnd w:id="172"/>
    <w:bookmarkEnd w:id="173"/>
    <w:bookmarkEnd w:id="174"/>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1" Target="http://CRAN.R-project.org/package=lme4" TargetMode="External" /><Relationship Type="http://schemas.openxmlformats.org/officeDocument/2006/relationships/hyperlink" Id="rId104" Target="http://dx.doi.org/10.3758/BF03207536" TargetMode="External" /><Relationship Type="http://schemas.openxmlformats.org/officeDocument/2006/relationships/hyperlink" Id="rId115" Target="http://www.jstor.org/stable/522229" TargetMode="External" /><Relationship Type="http://schemas.openxmlformats.org/officeDocument/2006/relationships/hyperlink" Id="rId90"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6" Target="https://doi.org/10.1037/xlm0000137" TargetMode="External" /><Relationship Type="http://schemas.openxmlformats.org/officeDocument/2006/relationships/hyperlink" Id="rId149"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2" Target="https://doi.org/10.1371/journal.pone.0130834" TargetMode="External" /><Relationship Type="http://schemas.openxmlformats.org/officeDocument/2006/relationships/hyperlink" Id="rId102" Target="https://doi.org/10.3389/fpsyg.2015.00500" TargetMode="External" /><Relationship Type="http://schemas.openxmlformats.org/officeDocument/2006/relationships/hyperlink" Id="rId156" Target="https://doi.org/10.3758/BF03197491" TargetMode="External" /><Relationship Type="http://schemas.openxmlformats.org/officeDocument/2006/relationships/hyperlink" Id="rId127" Target="https://doi.org/10.3758/s13428-014-0532-5" TargetMode="External" /><Relationship Type="http://schemas.openxmlformats.org/officeDocument/2006/relationships/hyperlink" Id="rId12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1" Target="http://CRAN.R-project.org/package=lme4" TargetMode="External" /><Relationship Type="http://schemas.openxmlformats.org/officeDocument/2006/relationships/hyperlink" Id="rId104" Target="http://dx.doi.org/10.3758/BF03207536" TargetMode="External" /><Relationship Type="http://schemas.openxmlformats.org/officeDocument/2006/relationships/hyperlink" Id="rId115" Target="http://www.jstor.org/stable/522229" TargetMode="External" /><Relationship Type="http://schemas.openxmlformats.org/officeDocument/2006/relationships/hyperlink" Id="rId90"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6" Target="https://doi.org/10.1037/xlm0000137" TargetMode="External" /><Relationship Type="http://schemas.openxmlformats.org/officeDocument/2006/relationships/hyperlink" Id="rId149"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2" Target="https://doi.org/10.1371/journal.pone.0130834" TargetMode="External" /><Relationship Type="http://schemas.openxmlformats.org/officeDocument/2006/relationships/hyperlink" Id="rId102" Target="https://doi.org/10.3389/fpsyg.2015.00500" TargetMode="External" /><Relationship Type="http://schemas.openxmlformats.org/officeDocument/2006/relationships/hyperlink" Id="rId156" Target="https://doi.org/10.3758/BF03197491" TargetMode="External" /><Relationship Type="http://schemas.openxmlformats.org/officeDocument/2006/relationships/hyperlink" Id="rId127" Target="https://doi.org/10.3758/s13428-014-0532-5" TargetMode="External" /><Relationship Type="http://schemas.openxmlformats.org/officeDocument/2006/relationships/hyperlink" Id="rId12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2024-10-24T18:18:22Z</dcterms:created>
  <dcterms:modified xsi:type="dcterms:W3CDTF">2024-10-24T18:18:22Z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2024-10-24</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