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9.png" ContentType="image/png"/>
  <Override PartName="/word/media/rId54.png" ContentType="image/png"/>
  <Override PartName="/word/media/rId3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2024-11-10</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4"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(Calder 2018; Mack and Munson 2012a; Pharao et al. 2014; Strand 1999)</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observation holds regardless of speaker and listener awareness. This observation remains true even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the voice, the prevailing frequency of vocal fold vibration during voiced sounds, as a primary, biological phonetic detail associated with gender performance</w:t>
      </w:r>
      <w:r>
        <w:t xml:space="preserve"> </w:t>
      </w:r>
      <w:r>
        <w:t xml:space="preserve">(Foulkes and Docherty 2006, 411)</w:t>
      </w:r>
      <w:r>
        <w:t xml:space="preserve">; when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but it is necessary to explore perceptual control for the purposes of the present chapter. Here we owe much of our general conceptualization of</w:t>
      </w:r>
      <w:r>
        <w:t xml:space="preserve"> </w:t>
      </w:r>
      <w:r>
        <w:t xml:space="preserve">‘control’</w:t>
      </w:r>
      <w:r>
        <w:t xml:space="preserve"> </w:t>
      </w:r>
      <w:r>
        <w:t xml:space="preserve">to</w:t>
      </w:r>
      <w:r>
        <w:t xml:space="preserve"> </w:t>
      </w:r>
      <w:r>
        <w:t xml:space="preserve">(Babel this issue)</w:t>
      </w:r>
      <w:r>
        <w:t xml:space="preserve">‘s application of the semiotic role of the interpretant in perception and Preston’s</w:t>
      </w:r>
      <w:r>
        <w:t xml:space="preserve"> </w:t>
      </w:r>
      <w:r>
        <w:t xml:space="preserve">(1996, 2016)</w:t>
      </w:r>
      <w:r>
        <w:t xml:space="preserve"> </w:t>
      </w:r>
      <w:r>
        <w:t xml:space="preserve">four modes of awareness. Critical to our understanding of this phenomenon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listening subject as it is for the speaker. Social meaning making occurs in interaction</w:t>
      </w:r>
      <w:r>
        <w:t xml:space="preserve"> </w:t>
      </w:r>
      <w:r>
        <w:t xml:space="preserve">(Sharma this issue)</w:t>
      </w:r>
      <w:r>
        <w:t xml:space="preserve">; a listener must be able to control, to link, the auditory cues of a performed gender identity to the cognitive representation of that identity just as much as a speaker’s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perception is a phenomenon that crosses disciplinary and subdisciplinary boundaries and approaches to language and social meaning. With these varying disciplinary and subdisciplinary contexts come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Researchers, typically working within the fields of segmental speech perception or word recognition, have used perception to describe a kind of low-level, implicit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perception in common use in the various language disciplines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bookmarkStart w:id="21" w:name="sec-mgt"/>
    <w:p>
      <w:pPr>
        <w:pStyle w:val="Heading3"/>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initial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 McGowan and Babel attempt to demonstrate, through analysis of participants’ explicit commentary on the AXB task, that participants</w:t>
      </w:r>
      <w:r>
        <w:t xml:space="preserve"> </w:t>
      </w:r>
      <w:r>
        <w:rPr>
          <w:i/>
          <w:iCs/>
        </w:rPr>
        <w:t xml:space="preserve">believed</w:t>
      </w:r>
      <w:r>
        <w:t xml:space="preserve"> </w:t>
      </w:r>
      <w:r>
        <w:t xml:space="preserve">the guise manipulation, but the stark difference between performances on the AXB discrimination task and evaluative commentary on the voice in each guise, particularly in the second guise, leave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their stereotypes,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The Matched Guise technique has been deployed in numerous configurations, but, at its core, the technique almost always pairs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 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w:t>
      </w:r>
    </w:p>
    <w:p>
      <w:pPr>
        <w:pStyle w:val="BodyText"/>
      </w:pPr>
      <w:r>
        <w:t xml:space="preserve">A central focus of</w:t>
      </w:r>
      <w:r>
        <w:t xml:space="preserve"> </w:t>
      </w:r>
      <w:r>
        <w:t xml:space="preserve">McGowan and Babel (2020, 246–48)</w:t>
      </w:r>
      <w:r>
        <w:t xml:space="preserve">’s discussion, particularly of their interview results, centers on the question of whether deception was successful and listeners</w:t>
      </w:r>
      <w:r>
        <w:t xml:space="preserve"> </w:t>
      </w:r>
      <w:r>
        <w:rPr>
          <w:i/>
          <w:iCs/>
        </w:rPr>
        <w:t xml:space="preserve">believed</w:t>
      </w:r>
      <w:r>
        <w:t xml:space="preserve"> </w:t>
      </w:r>
      <w:r>
        <w:t xml:space="preserve">the two MGT guise manipulations. In part this is because they observe a stark disjunction between the segmental and evaluative levels of perception. Belief is especially important in a paper that reports the outcome of an unusual within-subjects MGT which presents both guises to each participant. But more fundamentally, and of interest to anyone employing the MGT for language perception or evaluation research,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However, the majority of studies cannot speak directly to this lack of awareness during segmental perception because the data provided by the participants is relatively late in processing and involves layers of potential introspection and evaluation that block access to the initial online percept for listeners and researchers alike.</w:t>
      </w:r>
      <w:r>
        <w:t xml:space="preserve"> </w:t>
      </w:r>
      <w:r>
        <w:t xml:space="preserve">Niedzielski (1999)</w:t>
      </w:r>
      <w:r>
        <w:t xml:space="preserve"> </w:t>
      </w:r>
      <w:r>
        <w:t xml:space="preserve">infers, on the basis of later, evaluative judgments of diphthong onset quality, that social information has blocked online access to phonetic detail, but this can not be confirmed by the task. Additionally,</w:t>
      </w:r>
      <w:r>
        <w:t xml:space="preserve"> </w:t>
      </w:r>
      <w:r>
        <w:t xml:space="preserve">McGowan and Babel (2020)</w:t>
      </w:r>
      <w:r>
        <w:t xml:space="preserve"> </w:t>
      </w:r>
      <w:r>
        <w:t xml:space="preserve">suggest that inferring segmental perception behavior from evaluative perception tasks is unwise given how dramatically responses to these two levels may disagree</w:t>
      </w:r>
      <w:r>
        <w:t xml:space="preserve"> </w:t>
      </w:r>
      <w:r>
        <w:t xml:space="preserve">(see also Campbell-Kibler 2012)</w:t>
      </w:r>
      <w:r>
        <w:t xml:space="preserve">. To understand how awareness of the guise manipulation may influence perception behavior, the present study uses the inverted MGT to test listeners’ segmental perceptions of an [ʃ]-[s] fricative continuum under both different guise and different awareness conditions.</w:t>
      </w:r>
    </w:p>
    <w:bookmarkEnd w:id="21"/>
    <w:bookmarkStart w:id="22" w:name="sec-fricative-gender"/>
    <w:p>
      <w:pPr>
        <w:pStyle w:val="Heading3"/>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English [ʃ] has a comparatively larger resonating chamber,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This effect is, in practice, entirely separable from between-speaker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These continua have endpoints in prototypical examples of [ʃ] and [s], with some number of acoustic steps spliced, synthesized, or even mixed between these. Near the middle of such a continuum will be a synthetic fricative that is ambiguous as to category membership: not clearly [ʃ] and not clearly [s] for the vocal tract that produced the endpoints.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p>
    <w:p>
      <w:pPr>
        <w:pStyle w:val="BodyText"/>
      </w:pPr>
      <w:r>
        <w:t xml:space="preserve">Strand and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(May 1976; 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of their purported talker can, again, shift perceptions of the [ʃ]-[s] continuum such that listeners report hearing a higher proportion of the continuum as [ʃ] when watching a female talker and a higher proportion of the same continuum as [s] when watching a male talker.</w:t>
      </w:r>
    </w:p>
    <w:bookmarkEnd w:id="22"/>
    <w:bookmarkStart w:id="23" w:name="sec-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 Sawusch 2005)</w:t>
      </w:r>
      <w:r>
        <w:t xml:space="preserve"> </w:t>
      </w:r>
      <w:r>
        <w:t xml:space="preserve">that listeners can simply normalize away</w:t>
      </w:r>
      <w:r>
        <w:t xml:space="preserve"> </w:t>
      </w:r>
      <w:r>
        <w:t xml:space="preserve">(Johnson 2005)</w:t>
      </w:r>
      <w:r>
        <w:t xml:space="preserve"> </w:t>
      </w:r>
      <w:r>
        <w:t xml:space="preserve">to facilitate linguistic perception. Even within sociolinguistics and sociophonetics,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our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the fine phonetic detail available for the production and perception of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w:t>
      </w:r>
      <w:r>
        <w:t xml:space="preserve">. Unfortunately, it can be essentially impossible for an experimenter to tell the difference between a genuine finding that a particular social variable does not influence perception, on the one hand, or an indexical mismatch between experimental stimuli and participants’ indexical inventories</w:t>
      </w:r>
      <w:r>
        <w:t xml:space="preserve"> </w:t>
      </w:r>
      <w:r>
        <w:t xml:space="preserve">(Barrett and Hall 2024)</w:t>
      </w:r>
      <w:r>
        <w:t xml:space="preserve"> </w:t>
      </w:r>
      <w:r>
        <w:t xml:space="preserve">on the other. The creation and use of stimuli that are rated as highly gender-prototypical for a large group of listeners therefore maximizes the probability that a perception experiment will find an interpretable result.</w:t>
      </w:r>
    </w:p>
    <w:p>
      <w:pPr>
        <w:pStyle w:val="BodyText"/>
      </w:pPr>
      <w:r>
        <w:t xml:space="preserve">Therefore, it can not be overemphasized that an essentially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gestural style.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constellations of meanings are socially-constructed in interaction</w:t>
      </w:r>
      <w:r>
        <w:t xml:space="preserve"> </w:t>
      </w:r>
      <w:r>
        <w:t xml:space="preserve">(Eckert 2008)</w:t>
      </w:r>
      <w:r>
        <w:t xml:space="preserve">.</w:t>
      </w:r>
    </w:p>
    <w:p>
      <w:pPr>
        <w:pStyle w:val="BodyText"/>
      </w:pPr>
      <w:r>
        <w:t xml:space="preserve">Vowels, in both their linguistic and social aspects, are the acoustic consequence of gestural control. The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 don’t perform adult-like vowel formant patterns because they were born tiny men and women, children perform adult-like vowel formant patterns because they are socialized into gender and are using the cultural and linguistic resources available to communicate that gender to others just as adults do. Humans are meaning-making agents, not deterministically resonating meat tubes.</w:t>
      </w:r>
    </w:p>
    <w:p>
      <w:pPr>
        <w:pStyle w:val="BodyText"/>
      </w:pPr>
      <w:r>
        <w:t xml:space="preserve">In the earliest sociophonetic perception research, it was still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instruction condition were briefed in the instructions about the guise manipulation. They were instructed that the man or woman in the photo was not associated with the voice they were listening to.</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 stimulus.</w:t>
      </w:r>
    </w:p>
    <w:bookmarkEnd w:id="23"/>
    <w:bookmarkEnd w:id="24"/>
    <w:bookmarkStart w:id="40" w:name="sec-method"/>
    <w:p>
      <w:pPr>
        <w:pStyle w:val="Heading1"/>
      </w:pPr>
      <w:r>
        <w:t xml:space="preserve">Method</w:t>
      </w:r>
    </w:p>
    <w:bookmarkStart w:id="25"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had provided language history and demographic data as part of Prolific’s general pre-screening questionnaire. Participation was restricted to a standard sample of desktop computer users located in the USA, who spent most of their childhoods in the US, spoke English as their first and primary language, and having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p>
    <w:p>
      <w:pPr>
        <w:pStyle w:val="BodyText"/>
      </w:pPr>
      <w:r>
        <w:t xml:space="preserve">Participants were paid $3 for their time, prorated from a projected rate of $20/hour (actual rate: $26.29/hour). This same instrument was piloted in the Speech Perception lab of The Ohio State University, and, while reaction times online were generally slower than in-person, results from the online administration were generally consistent with pilot results collected under laboratory conditions. Four participants were excluded for low accuracy rates (below 85%).</w:t>
      </w:r>
    </w:p>
    <w:bookmarkEnd w:id="25"/>
    <w:bookmarkStart w:id="31" w:name="sec-stimuli"/>
    <w:p>
      <w:pPr>
        <w:pStyle w:val="Heading2"/>
      </w:pPr>
      <w:r>
        <w:t xml:space="preserve">Stimulus Materials</w:t>
      </w:r>
    </w:p>
    <w:bookmarkStart w:id="30"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which were generously shared with us, contain two parts, both of which are drawn from synthetic continua: a fricative onset and a VC rime. The fricative onsets comprise a synthetic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in</w:t>
      </w:r>
      <w:r>
        <w:t xml:space="preserve"> </w:t>
      </w:r>
      <w:r>
        <w:t xml:space="preserve">Strand and Johnson (1996)</w:t>
      </w:r>
      <w:r>
        <w:t xml:space="preserve">). Centers of Gravity ranged from a low of 3.2 kHz (/ʃ/-like) to a high of 7 kHz (/s/-like). This continuum is essential to the design as it will allow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their unmodified values in a feminizing direction. Conversely, the female talker’s /æk/ continuum decreased both parameters from her unmodified productions to create a continuum in a masculinizing direction. These continua essentially allow us to combine the designs of Strand &amp; Johnson’s experiment 1 and experiment 2 in a single task. Listeners will be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the auditory stimulus item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PhD program, some of the elements of such an identity are likely available to conscious reflection, but many of these indexical features (such as VOT duration, F2:F3 formant ratio, etc.)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9" w:name="fig-stimuli"/>
          <w:p>
            <w:pPr>
              <w:pStyle w:val="Compact"/>
              <w:jc w:val="center"/>
            </w:pPr>
            <w:r>
              <w:drawing>
                <wp:inline>
                  <wp:extent cx="4754880" cy="3361404"/>
                  <wp:effectExtent b="0" l="0" r="0" t="0"/>
                  <wp:docPr descr="" title="" id="27" name="Picture"/>
                  <a:graphic>
                    <a:graphicData uri="http://schemas.openxmlformats.org/drawingml/2006/picture">
                      <pic:pic>
                        <pic:nvPicPr>
                          <pic:cNvPr descr="images/figure1.png" id="28" name="Picture"/>
                          <pic:cNvPicPr>
                            <a:picLocks noChangeArrowheads="1" noChangeAspect="1"/>
                          </pic:cNvPicPr>
                        </pic:nvPicPr>
                        <pic:blipFill>
                          <a:blip r:embed="rId26"/>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w:t>
            </w:r>
          </w:p>
          <w:bookmarkEnd w:id="29"/>
        </w:tc>
      </w:tr>
    </w:tbl>
    <w:bookmarkEnd w:id="30"/>
    <w:bookmarkEnd w:id="31"/>
    <w:bookmarkStart w:id="37"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the auditory stimuli might influence participants’ perception of the identities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1.0.1</w:t>
        </w:r>
      </w:hyperlink>
      <w:r>
        <w:t xml:space="preserve">). 40 undergraduate students at the Ohio State University (25 female, 15 male, ages 18-26) who participated in an in-person pilot version of the inverted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 about the gender identity of the speaker. Most participants (93%)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 (1 further specified</w:t>
      </w:r>
      <w:r>
        <w:t xml:space="preserve"> </w:t>
      </w:r>
      <w:r>
        <w:t xml:space="preserve">‘trans-male’</w:t>
      </w:r>
      <w:r>
        <w:t xml:space="preserve">), and 21%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6"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both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5" w:name="fig-visual"/>
          <w:p>
            <w:pPr>
              <w:pStyle w:val="Compact"/>
              <w:jc w:val="center"/>
            </w:pPr>
            <w:r>
              <w:drawing>
                <wp:inline>
                  <wp:extent cx="4754880" cy="4754880"/>
                  <wp:effectExtent b="0" l="0" r="0" t="0"/>
                  <wp:docPr descr="" title="" id="33" name="Picture"/>
                  <a:graphic>
                    <a:graphicData uri="http://schemas.openxmlformats.org/drawingml/2006/picture">
                      <pic:pic>
                        <pic:nvPicPr>
                          <pic:cNvPr descr="images/facesanddrawings.jpg" id="34" name="Picture"/>
                          <pic:cNvPicPr>
                            <a:picLocks noChangeArrowheads="1" noChangeAspect="1"/>
                          </pic:cNvPicPr>
                        </pic:nvPicPr>
                        <pic:blipFill>
                          <a:blip r:embed="rId3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5"/>
        </w:tc>
      </w:tr>
    </w:tbl>
    <w:bookmarkEnd w:id="36"/>
    <w:bookmarkEnd w:id="37"/>
    <w:bookmarkStart w:id="39"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8"/>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9"/>
    <w:bookmarkEnd w:id="40"/>
    <w:bookmarkStart w:id="44" w:name="sec-predictions"/>
    <w:p>
      <w:pPr>
        <w:pStyle w:val="Heading1"/>
      </w:pPr>
      <w:r>
        <w:t xml:space="preserve">Predicted Results</w:t>
      </w:r>
    </w:p>
    <w:bookmarkStart w:id="41"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1"/>
    <w:bookmarkStart w:id="42"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2"/>
    <w:bookmarkStart w:id="43"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(traditional) hidden matched guise and the unhidden guise.</w:t>
      </w:r>
    </w:p>
    <w:p>
      <w:pPr>
        <w:pStyle w:val="BodyText"/>
      </w:pPr>
      <w:r>
        <w:t xml:space="preserve">Additionally, we speculate that there may be a response time difference between the Hidden and Unhidden guises even if there is no apparent difference in percept between the conditions. It can certainly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3"/>
    <w:bookmarkEnd w:id="44"/>
    <w:bookmarkStart w:id="64"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3"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8" w:name="fig-scurve"/>
          <w:p>
            <w:pPr>
              <w:pStyle w:val="Compact"/>
              <w:jc w:val="center"/>
            </w:pPr>
            <w:r>
              <w:drawing>
                <wp:inline>
                  <wp:extent cx="4754880" cy="2937285"/>
                  <wp:effectExtent b="0" l="0" r="0" t="0"/>
                  <wp:docPr descr="" title="" id="46" name="Picture"/>
                  <a:graphic>
                    <a:graphicData uri="http://schemas.openxmlformats.org/drawingml/2006/picture">
                      <pic:pic>
                        <pic:nvPicPr>
                          <pic:cNvPr descr="images/Scurve.png" id="47" name="Picture"/>
                          <pic:cNvPicPr>
                            <a:picLocks noChangeArrowheads="1" noChangeAspect="1"/>
                          </pic:cNvPicPr>
                        </pic:nvPicPr>
                        <pic:blipFill>
                          <a:blip r:embed="rId45"/>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8"/>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2" w:name="fig-rimes"/>
          <w:p>
            <w:pPr>
              <w:pStyle w:val="Compact"/>
              <w:jc w:val="center"/>
            </w:pPr>
            <w:r>
              <w:drawing>
                <wp:inline>
                  <wp:extent cx="4754880" cy="2937285"/>
                  <wp:effectExtent b="0" l="0" r="0" t="0"/>
                  <wp:docPr descr="" title="" id="50" name="Picture"/>
                  <a:graphic>
                    <a:graphicData uri="http://schemas.openxmlformats.org/drawingml/2006/picture">
                      <pic:pic>
                        <pic:nvPicPr>
                          <pic:cNvPr descr="images/ambiguous-by-rime-step.png" id="51" name="Picture"/>
                          <pic:cNvPicPr>
                            <a:picLocks noChangeArrowheads="1" noChangeAspect="1"/>
                          </pic:cNvPicPr>
                        </pic:nvPicPr>
                        <pic:blipFill>
                          <a:blip r:embed="rId49"/>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2"/>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that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3"/>
    <w:bookmarkStart w:id="58"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7" w:name="fig-coefs"/>
          <w:p>
            <w:pPr>
              <w:pStyle w:val="Compact"/>
              <w:jc w:val="center"/>
            </w:pPr>
            <w:r>
              <w:drawing>
                <wp:inline>
                  <wp:extent cx="4754880" cy="3169919"/>
                  <wp:effectExtent b="0" l="0" r="0" t="0"/>
                  <wp:docPr descr="" title="" id="55" name="Picture"/>
                  <a:graphic>
                    <a:graphicData uri="http://schemas.openxmlformats.org/drawingml/2006/picture">
                      <pic:pic>
                        <pic:nvPicPr>
                          <pic:cNvPr descr="images/coefs_instruction.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7"/>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8"/>
    <w:bookmarkStart w:id="63" w:name="sec-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efs-logRT"/>
          <w:p>
            <w:pPr>
              <w:pStyle w:val="Compact"/>
              <w:jc w:val="center"/>
            </w:pPr>
            <w:r>
              <w:drawing>
                <wp:inline>
                  <wp:extent cx="4754880" cy="3169919"/>
                  <wp:effectExtent b="0" l="0" r="0" t="0"/>
                  <wp:docPr descr="" title="" id="60" name="Picture"/>
                  <a:graphic>
                    <a:graphicData uri="http://schemas.openxmlformats.org/drawingml/2006/picture">
                      <pic:pic>
                        <pic:nvPicPr>
                          <pic:cNvPr descr="images/coefs-logRT_instructions.png" id="61" name="Picture"/>
                          <pic:cNvPicPr>
                            <a:picLocks noChangeArrowheads="1" noChangeAspect="1"/>
                          </pic:cNvPicPr>
                        </pic:nvPicPr>
                        <pic:blipFill>
                          <a:blip r:embed="rId59"/>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2"/>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3"/>
    <w:bookmarkEnd w:id="64"/>
    <w:bookmarkStart w:id="65" w:name="discussion"/>
    <w:p>
      <w:pPr>
        <w:pStyle w:val="Heading1"/>
      </w:pPr>
      <w:r>
        <w:t xml:space="preserve">Discussion</w:t>
      </w:r>
    </w:p>
    <w:p>
      <w:pPr>
        <w:pStyle w:val="FirstParagraph"/>
      </w:pPr>
      <w:r>
        <w:t xml:space="preserve">This study was initially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We attempted to demonstrate in the introduction that the careful steps researchers typcially take to obscure the nature of the guise manipulation from participants reflects a long-held assumption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the congruous or incongruous conditions. Nor did this revelation have a significant influence on response times in either condition.</w:t>
      </w:r>
    </w:p>
    <w:p>
      <w:pPr>
        <w:pStyle w:val="BodyText"/>
      </w:pPr>
      <w:r>
        <w:t xml:space="preserve">The finding that the Matched Guise effect holds for speech perception both when hidden from the participant and when unhidden is inconsistent with a model of processing in which social knowledge simply acts as a filter on linguistic knowledge. Social knowledge can influence perception even when listeners are aware that it is likely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which lends support to</w:t>
      </w:r>
      <w:r>
        <w:t xml:space="preserve"> </w:t>
      </w:r>
      <w:r>
        <w:t xml:space="preserve">Drager and Kirtley (2016b)</w:t>
      </w:r>
      <w:r>
        <w:t xml:space="preserve">’s (p.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two experiments simultaneously. One wonders, looking back at their experiment 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’non-protypical’</w:t>
      </w:r>
      <w:r>
        <w:t xml:space="preserve"> </w:t>
      </w:r>
      <w:r>
        <w:t xml:space="preserve">voice to supplement</w:t>
      </w:r>
      <w:r>
        <w:t xml:space="preserve"> </w:t>
      </w:r>
      <w:r>
        <w:t xml:space="preserve">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spacing. However, these may not be the only cues</w:t>
      </w:r>
      <w:r>
        <w:t xml:space="preserve"> </w:t>
      </w:r>
      <w:r>
        <w:t xml:space="preserve">listeners are drawing upon with their knowledge of US English. Surely,</w:t>
      </w:r>
      <w:r>
        <w:t xml:space="preserve"> </w:t>
      </w:r>
      <w:r>
        <w:t xml:space="preserve">F0 and vowel formant spacing</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for those stops,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the present study, we have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these commonly-manipulated phonetic correlates.</w:t>
      </w:r>
    </w:p>
    <w:bookmarkEnd w:id="65"/>
    <w:bookmarkStart w:id="66"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 1 and experiment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 the</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w:t>
      </w:r>
    </w:p>
    <w:p>
      <w:pPr>
        <w:pStyle w:val="BodyText"/>
      </w:pPr>
      <w:r>
        <w:t xml:space="preserve">(Barrett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w:t>
      </w:r>
      <w:r>
        <w:t xml:space="preserve">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the influence of listeners’ social knowledge</w:t>
      </w:r>
      <w:r>
        <w:t xml:space="preserve"> </w:t>
      </w:r>
      <w:r>
        <w:t xml:space="preserve">of speech on perception is not delicate. The present result is equally inconsistent</w:t>
      </w:r>
      <w:r>
        <w:t xml:space="preserve"> </w:t>
      </w:r>
      <w:r>
        <w:t xml:space="preserve">with a model that disregards social knowledge entirely and with a</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and linguistic knowledge are deeply intertwined in speech</w:t>
      </w:r>
      <w:r>
        <w:t xml:space="preserve"> </w:t>
      </w:r>
      <w:r>
        <w:t xml:space="preserve">perception.</w:t>
      </w:r>
    </w:p>
    <w:bookmarkEnd w:id="66"/>
    <w:bookmarkStart w:id="197" w:name="sec-references"/>
    <w:p>
      <w:pPr>
        <w:pStyle w:val="Heading1"/>
      </w:pPr>
      <w:r>
        <w:t xml:space="preserve">References</w:t>
      </w:r>
    </w:p>
    <w:bookmarkStart w:id="196" w:name="refs"/>
    <w:bookmarkStart w:id="67"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7"/>
    <w:bookmarkStart w:id="68"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8"/>
    <w:bookmarkStart w:id="69"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9"/>
    <w:bookmarkStart w:id="70"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0"/>
    <w:bookmarkStart w:id="71"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1"/>
    <w:bookmarkStart w:id="72"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2"/>
    <w:bookmarkStart w:id="74"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3">
        <w:r>
          <w:rPr>
            <w:rStyle w:val="Hyperlink"/>
          </w:rPr>
          <w:t xml:space="preserve">http://CRAN.R-project.org/package=lme4</w:t>
        </w:r>
      </w:hyperlink>
      <w:r>
        <w:t xml:space="preserve">.</w:t>
      </w:r>
    </w:p>
    <w:bookmarkEnd w:id="74"/>
    <w:bookmarkStart w:id="75"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5"/>
    <w:bookmarkStart w:id="76"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6"/>
    <w:bookmarkStart w:id="78"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7">
        <w:r>
          <w:rPr>
            <w:rStyle w:val="Hyperlink"/>
          </w:rPr>
          <w:t xml:space="preserve">https://doi.org/10.1121/1.5101933</w:t>
        </w:r>
      </w:hyperlink>
      <w:r>
        <w:t xml:space="preserve">.</w:t>
      </w:r>
    </w:p>
    <w:bookmarkEnd w:id="78"/>
    <w:bookmarkStart w:id="80"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9">
        <w:r>
          <w:rPr>
            <w:rStyle w:val="Hyperlink"/>
          </w:rPr>
          <w:t xml:space="preserve">https://doi.org/10.1017/S0954394521000089</w:t>
        </w:r>
      </w:hyperlink>
      <w:r>
        <w:t xml:space="preserve">.</w:t>
      </w:r>
    </w:p>
    <w:bookmarkEnd w:id="80"/>
    <w:bookmarkStart w:id="81"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1"/>
    <w:bookmarkStart w:id="82"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2"/>
    <w:bookmarkStart w:id="83"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3"/>
    <w:bookmarkStart w:id="84"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4"/>
    <w:bookmarkStart w:id="85"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5"/>
    <w:bookmarkStart w:id="86"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6"/>
    <w:bookmarkStart w:id="87"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7"/>
    <w:bookmarkStart w:id="88"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8"/>
    <w:bookmarkStart w:id="89"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9"/>
    <w:bookmarkStart w:id="91"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90">
        <w:r>
          <w:rPr>
            <w:rStyle w:val="Hyperlink"/>
          </w:rPr>
          <w:t xml:space="preserve">https://doi.org/10.4324/9781315514857-5</w:t>
        </w:r>
      </w:hyperlink>
      <w:r>
        <w:t xml:space="preserve">.</w:t>
      </w:r>
    </w:p>
    <w:bookmarkEnd w:id="91"/>
    <w:bookmarkStart w:id="92"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2"/>
    <w:bookmarkStart w:id="93"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3"/>
    <w:bookmarkStart w:id="95"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4">
        <w:r>
          <w:rPr>
            <w:rStyle w:val="Hyperlink"/>
          </w:rPr>
          <w:t xml:space="preserve">https://doi.org/10.1037/xlm0000137</w:t>
        </w:r>
      </w:hyperlink>
      <w:r>
        <w:t xml:space="preserve">.</w:t>
      </w:r>
    </w:p>
    <w:bookmarkEnd w:id="95"/>
    <w:bookmarkStart w:id="96"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6"/>
    <w:bookmarkStart w:id="97"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7"/>
    <w:bookmarkStart w:id="98"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98"/>
    <w:bookmarkStart w:id="99"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9"/>
    <w:bookmarkStart w:id="101"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0">
        <w:r>
          <w:rPr>
            <w:rStyle w:val="Hyperlink"/>
          </w:rPr>
          <w:t xml:space="preserve">https://doi.org/10.1016/s0010-0277(00)00123-2</w:t>
        </w:r>
      </w:hyperlink>
      <w:r>
        <w:t xml:space="preserve">.</w:t>
      </w:r>
    </w:p>
    <w:bookmarkEnd w:id="101"/>
    <w:bookmarkStart w:id="102"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2"/>
    <w:bookmarkStart w:id="103"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3"/>
    <w:bookmarkStart w:id="104"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4"/>
    <w:bookmarkStart w:id="105"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5"/>
    <w:bookmarkStart w:id="106"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106"/>
    <w:bookmarkStart w:id="107"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7"/>
    <w:bookmarkStart w:id="108"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8"/>
    <w:bookmarkStart w:id="109"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09"/>
    <w:bookmarkStart w:id="110"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0"/>
    <w:bookmarkStart w:id="111"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1"/>
    <w:bookmarkStart w:id="112"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2"/>
    <w:bookmarkStart w:id="113"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3"/>
    <w:bookmarkStart w:id="114"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4"/>
    <w:bookmarkStart w:id="115"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5"/>
    <w:bookmarkStart w:id="116"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6"/>
    <w:bookmarkStart w:id="117"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7"/>
    <w:bookmarkStart w:id="119"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18">
        <w:r>
          <w:rPr>
            <w:rStyle w:val="Hyperlink"/>
          </w:rPr>
          <w:t xml:space="preserve">https://doi.org/10.3389/fpsyg.2015.00500</w:t>
        </w:r>
      </w:hyperlink>
      <w:r>
        <w:t xml:space="preserve">.</w:t>
      </w:r>
    </w:p>
    <w:bookmarkEnd w:id="119"/>
    <w:bookmarkStart w:id="121"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0">
        <w:r>
          <w:rPr>
            <w:rStyle w:val="Hyperlink"/>
          </w:rPr>
          <w:t xml:space="preserve">http://dx.doi.org/10.3758/BF03207536</w:t>
        </w:r>
      </w:hyperlink>
      <w:r>
        <w:t xml:space="preserve">.</w:t>
      </w:r>
    </w:p>
    <w:bookmarkEnd w:id="121"/>
    <w:bookmarkStart w:id="122"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2"/>
    <w:bookmarkStart w:id="123"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3"/>
    <w:bookmarkStart w:id="124"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4"/>
    <w:bookmarkStart w:id="125"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5"/>
    <w:bookmarkStart w:id="126"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6"/>
    <w:bookmarkStart w:id="127"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27"/>
    <w:bookmarkStart w:id="128"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28"/>
    <w:bookmarkStart w:id="129"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29"/>
    <w:bookmarkStart w:id="130"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0"/>
    <w:bookmarkStart w:id="132"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1">
        <w:r>
          <w:rPr>
            <w:rStyle w:val="Hyperlink"/>
          </w:rPr>
          <w:t xml:space="preserve">http://www.jstor.org/stable/522229</w:t>
        </w:r>
      </w:hyperlink>
      <w:r>
        <w:t xml:space="preserve">.</w:t>
      </w:r>
    </w:p>
    <w:bookmarkEnd w:id="132"/>
    <w:bookmarkStart w:id="133"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3"/>
    <w:bookmarkStart w:id="134"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4"/>
    <w:bookmarkStart w:id="135"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5"/>
    <w:bookmarkStart w:id="136"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6"/>
    <w:bookmarkStart w:id="137"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7"/>
    <w:bookmarkStart w:id="139"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38">
        <w:r>
          <w:rPr>
            <w:rStyle w:val="Hyperlink"/>
          </w:rPr>
          <w:t xml:space="preserve">https://doi.org/10.1371/journal.pone.0130834</w:t>
        </w:r>
      </w:hyperlink>
      <w:r>
        <w:t xml:space="preserve">.</w:t>
      </w:r>
    </w:p>
    <w:bookmarkEnd w:id="139"/>
    <w:bookmarkStart w:id="141"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0">
        <w:r>
          <w:rPr>
            <w:rStyle w:val="Hyperlink"/>
          </w:rPr>
          <w:t xml:space="preserve">https://doi.org/10.3109/13682826809011440</w:t>
        </w:r>
      </w:hyperlink>
      <w:r>
        <w:t xml:space="preserve">.</w:t>
      </w:r>
    </w:p>
    <w:bookmarkEnd w:id="141"/>
    <w:bookmarkStart w:id="143"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2">
        <w:r>
          <w:rPr>
            <w:rStyle w:val="Hyperlink"/>
          </w:rPr>
          <w:t xml:space="preserve">https://doi.org/10.1177/0075424214531487</w:t>
        </w:r>
      </w:hyperlink>
      <w:r>
        <w:t xml:space="preserve">.</w:t>
      </w:r>
    </w:p>
    <w:bookmarkEnd w:id="143"/>
    <w:bookmarkStart w:id="144"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4"/>
    <w:bookmarkStart w:id="146" w:name="ref-imagemagick"/>
    <w:p>
      <w:pPr>
        <w:pStyle w:val="Bibliography"/>
      </w:pPr>
      <w:r>
        <w:t xml:space="preserve">LLC, ImageMagick Studio. 2023.</w:t>
      </w:r>
      <w:r>
        <w:t xml:space="preserve"> </w:t>
      </w:r>
      <w:r>
        <w:t xml:space="preserve">“ImageMagick.”</w:t>
      </w:r>
      <w:r>
        <w:t xml:space="preserve"> </w:t>
      </w:r>
      <w:hyperlink r:id="rId145">
        <w:r>
          <w:rPr>
            <w:rStyle w:val="Hyperlink"/>
          </w:rPr>
          <w:t xml:space="preserve">https://imagemagick.org</w:t>
        </w:r>
      </w:hyperlink>
      <w:r>
        <w:t xml:space="preserve">.</w:t>
      </w:r>
    </w:p>
    <w:bookmarkEnd w:id="146"/>
    <w:bookmarkStart w:id="148"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7">
        <w:r>
          <w:rPr>
            <w:rStyle w:val="Hyperlink"/>
          </w:rPr>
          <w:t xml:space="preserve">https://doi.org/10.3758/s13428-014-0532-5</w:t>
        </w:r>
      </w:hyperlink>
      <w:r>
        <w:t xml:space="preserve">.</w:t>
      </w:r>
    </w:p>
    <w:bookmarkEnd w:id="148"/>
    <w:bookmarkStart w:id="149"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49"/>
    <w:bookmarkStart w:id="151"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50">
        <w:r>
          <w:rPr>
            <w:rStyle w:val="Hyperlink"/>
          </w:rPr>
          <w:t xml:space="preserve">https://doi.org/10.1016/j.wocn.2011.10.002</w:t>
        </w:r>
      </w:hyperlink>
      <w:r>
        <w:t xml:space="preserve">.</w:t>
      </w:r>
    </w:p>
    <w:bookmarkEnd w:id="151"/>
    <w:bookmarkStart w:id="152"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2"/>
    <w:bookmarkStart w:id="153"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3"/>
    <w:bookmarkStart w:id="154"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4"/>
    <w:bookmarkStart w:id="155"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5"/>
    <w:bookmarkStart w:id="156"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6"/>
    <w:bookmarkStart w:id="157"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7"/>
    <w:bookmarkStart w:id="158"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58"/>
    <w:bookmarkStart w:id="159"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59"/>
    <w:bookmarkStart w:id="160"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60"/>
    <w:bookmarkStart w:id="161"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1"/>
    <w:bookmarkStart w:id="162"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2"/>
    <w:bookmarkStart w:id="163"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3"/>
    <w:bookmarkStart w:id="164"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4"/>
    <w:bookmarkStart w:id="165"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5"/>
    <w:bookmarkStart w:id="166"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6"/>
    <w:bookmarkStart w:id="167"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67"/>
    <w:bookmarkStart w:id="168"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68"/>
    <w:bookmarkStart w:id="169"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69"/>
    <w:bookmarkStart w:id="170"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0"/>
    <w:bookmarkStart w:id="171"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1"/>
    <w:bookmarkStart w:id="172"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2"/>
    <w:bookmarkStart w:id="174"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3">
        <w:r>
          <w:rPr>
            <w:rStyle w:val="Hyperlink"/>
          </w:rPr>
          <w:t xml:space="preserve">https://doi.org/10.1093/oxfordhb/9780199600472.001.0001</w:t>
        </w:r>
      </w:hyperlink>
      <w:r>
        <w:t xml:space="preserve">.</w:t>
      </w:r>
    </w:p>
    <w:bookmarkEnd w:id="174"/>
    <w:bookmarkStart w:id="175"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5"/>
    <w:bookmarkStart w:id="176"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6"/>
    <w:bookmarkStart w:id="177"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77"/>
    <w:bookmarkStart w:id="178"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78"/>
    <w:bookmarkStart w:id="179"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79"/>
    <w:bookmarkStart w:id="181"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0">
        <w:r>
          <w:rPr>
            <w:rStyle w:val="Hyperlink"/>
          </w:rPr>
          <w:t xml:space="preserve">https://doi.org/10.3758/BF03197491</w:t>
        </w:r>
      </w:hyperlink>
      <w:r>
        <w:t xml:space="preserve">.</w:t>
      </w:r>
    </w:p>
    <w:bookmarkEnd w:id="181"/>
    <w:bookmarkStart w:id="182"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2"/>
    <w:bookmarkStart w:id="183"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3"/>
    <w:bookmarkStart w:id="184"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4"/>
    <w:bookmarkStart w:id="185"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5"/>
    <w:bookmarkStart w:id="186"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6"/>
    <w:bookmarkStart w:id="187"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87"/>
    <w:bookmarkStart w:id="188"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88"/>
    <w:bookmarkStart w:id="189"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89"/>
    <w:bookmarkStart w:id="190"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0"/>
    <w:bookmarkStart w:id="191"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1"/>
    <w:bookmarkStart w:id="192"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2"/>
    <w:bookmarkStart w:id="193"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3"/>
    <w:bookmarkStart w:id="194"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4"/>
    <w:bookmarkStart w:id="195"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5"/>
    <w:bookmarkEnd w:id="196"/>
    <w:bookmarkEnd w:id="197"/>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8">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hyperlink" Id="rId73" Target="http://CRAN.R-project.org/package=lme4" TargetMode="External" /><Relationship Type="http://schemas.openxmlformats.org/officeDocument/2006/relationships/hyperlink" Id="rId120" Target="http://dx.doi.org/10.3758/BF03207536" TargetMode="External" /><Relationship Type="http://schemas.openxmlformats.org/officeDocument/2006/relationships/hyperlink" Id="rId131" Target="http://www.jstor.org/stable/522229" TargetMode="External" /><Relationship Type="http://schemas.openxmlformats.org/officeDocument/2006/relationships/hyperlink" Id="rId150"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3"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2" Target="https://doi.org/10.1177/0075424214531487" TargetMode="External" /><Relationship Type="http://schemas.openxmlformats.org/officeDocument/2006/relationships/hyperlink" Id="rId138" Target="https://doi.org/10.1371/journal.pone.0130834" TargetMode="External" /><Relationship Type="http://schemas.openxmlformats.org/officeDocument/2006/relationships/hyperlink" Id="rId140" Target="https://doi.org/10.3109/13682826809011440" TargetMode="External" /><Relationship Type="http://schemas.openxmlformats.org/officeDocument/2006/relationships/hyperlink" Id="rId118" Target="https://doi.org/10.3389/fpsyg.2015.00500" TargetMode="External" /><Relationship Type="http://schemas.openxmlformats.org/officeDocument/2006/relationships/hyperlink" Id="rId180" Target="https://doi.org/10.3758/BF03197491" TargetMode="External" /><Relationship Type="http://schemas.openxmlformats.org/officeDocument/2006/relationships/hyperlink" Id="rId147"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5"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3" Target="http://CRAN.R-project.org/package=lme4" TargetMode="External" /><Relationship Type="http://schemas.openxmlformats.org/officeDocument/2006/relationships/hyperlink" Id="rId120" Target="http://dx.doi.org/10.3758/BF03207536" TargetMode="External" /><Relationship Type="http://schemas.openxmlformats.org/officeDocument/2006/relationships/hyperlink" Id="rId131" Target="http://www.jstor.org/stable/522229" TargetMode="External" /><Relationship Type="http://schemas.openxmlformats.org/officeDocument/2006/relationships/hyperlink" Id="rId150"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3"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2" Target="https://doi.org/10.1177/0075424214531487" TargetMode="External" /><Relationship Type="http://schemas.openxmlformats.org/officeDocument/2006/relationships/hyperlink" Id="rId138" Target="https://doi.org/10.1371/journal.pone.0130834" TargetMode="External" /><Relationship Type="http://schemas.openxmlformats.org/officeDocument/2006/relationships/hyperlink" Id="rId140" Target="https://doi.org/10.3109/13682826809011440" TargetMode="External" /><Relationship Type="http://schemas.openxmlformats.org/officeDocument/2006/relationships/hyperlink" Id="rId118" Target="https://doi.org/10.3389/fpsyg.2015.00500" TargetMode="External" /><Relationship Type="http://schemas.openxmlformats.org/officeDocument/2006/relationships/hyperlink" Id="rId180" Target="https://doi.org/10.3758/BF03197491" TargetMode="External" /><Relationship Type="http://schemas.openxmlformats.org/officeDocument/2006/relationships/hyperlink" Id="rId147"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5"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2024-11-10T21:12:59Z</dcterms:created>
  <dcterms:modified xsi:type="dcterms:W3CDTF">2024-11-10T21:12:59Z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2024-11-10</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