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use perception to describe a kind of low-level, fast,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w:t>
      </w:r>
      <w:r>
        <w:t xml:space="preserve"> </w:t>
      </w:r>
      <w:r>
        <w:t xml:space="preserve">(pp. 492-494) 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perhaps somewhat slower,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the level of perception, for example, at which the sociolinguistic monitor is proposed to operate[^1 ]</w:t>
      </w:r>
      <w:r>
        <w:t xml:space="preserve">(Labov et al. 2011)</w:t>
      </w:r>
      <w:r>
        <w:t xml:space="preserve">. Importantly for the present study, this higher, evaluative level of perception is the level for which the Matched Guise Technique (MGT) was originally developed.</w:t>
      </w:r>
    </w:p>
    <w:p>
      <w:pPr>
        <w:pStyle w:val="BodyText"/>
      </w:pPr>
      <w:r>
        <w:t xml:space="preserve">In their foundational use of the technique, for example,</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the Quechua-dominant or Spanish-dominant speaker social labels provided by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talker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Clopper and Pisoni 2004; Campbell-Kibler, this volume)</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stereotypical associations of a given accent arising in the listener independently of a conscious ability to name that accent.</w:t>
      </w:r>
    </w:p>
    <w:bookmarkStart w:id="21" w:name="sub-mgt"/>
    <w:p>
      <w:pPr>
        <w:pStyle w:val="Heading2"/>
      </w:pPr>
      <w:r>
        <w:t xml:space="preserve">The adoption and extension of the Matched Guise Technique</w:t>
      </w:r>
    </w:p>
    <w:p>
      <w:pPr>
        <w:pStyle w:val="FirstParagraph"/>
      </w:pPr>
      <w:r>
        <w:t xml:space="preserve">The Matched Guise technique has been deployed in numerous configurations but, at its core, the technique pairs a single linguistic signal: such as an identical talker</w:t>
      </w:r>
      <w:r>
        <w:t xml:space="preserve"> </w:t>
      </w:r>
      <w:r>
        <w:t xml:space="preserve">(Giles 1970)</w:t>
      </w:r>
      <w:r>
        <w:t xml:space="preserve">, identical recordings</w:t>
      </w:r>
      <w:r>
        <w:t xml:space="preserve"> </w:t>
      </w:r>
      <w:r>
        <w:t xml:space="preserve">(Rubin 1992; Niedzielski 1999)</w:t>
      </w:r>
      <w:r>
        <w:t xml:space="preserve">, identical texts with multiple talkers</w:t>
      </w:r>
      <w:r>
        <w:t xml:space="preserve"> </w:t>
      </w:r>
      <w:r>
        <w:t xml:space="preserve">(Milroy and McClenaghan 1977)</w:t>
      </w:r>
      <w:r>
        <w:t xml:space="preserve">, or some combination of these.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volume; Chan 2021)</w:t>
      </w:r>
      <w:r>
        <w:t xml:space="preserve">.</w:t>
      </w:r>
    </w:p>
    <w:p>
      <w:pPr>
        <w:pStyle w:val="BodyText"/>
      </w:pPr>
      <w:r>
        <w:t xml:space="preserve">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 This usage of the technique is far enough from the original studies in which social information was communicated entirely through the voice that researchers sometimes disregard that even so-called standard voices carry social information</w:t>
      </w:r>
      <w:r>
        <w:t xml:space="preserve"> </w:t>
      </w:r>
      <w:r>
        <w:t xml:space="preserve">(Rubin 1992)</w:t>
      </w:r>
      <w:r>
        <w:t xml:space="preserve"> </w:t>
      </w:r>
      <w:r>
        <w:t xml:space="preserve">while others and sometimes take the combination of voice and visual stimuli into account</w:t>
      </w:r>
      <w:r>
        <w:t xml:space="preserve"> </w:t>
      </w:r>
      <w:r>
        <w:t xml:space="preserve">(McGowan 2015; Campbell-Kibler 2016; Gnevsheva 2017)</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End w:id="21"/>
    <w:bookmarkStart w:id="22"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timulus-materials"/>
    <w:p>
      <w:pPr>
        <w:pStyle w:val="Heading2"/>
      </w:pPr>
      <w:r>
        <w:t xml:space="preserve">Stimulus Materials</w:t>
      </w:r>
    </w:p>
    <w:bookmarkStart w:id="30"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predicted-results"/>
    <w:p>
      <w:pPr>
        <w:pStyle w:val="Heading1"/>
      </w:pPr>
      <w:r>
        <w:t xml:space="preserve">Predicted Results</w:t>
      </w:r>
    </w:p>
    <w:bookmarkStart w:id="41"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181"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80" w:name="references"/>
    <w:p>
      <w:pPr>
        <w:pStyle w:val="Heading2"/>
      </w:pPr>
      <w:r>
        <w:t xml:space="preserve">References</w:t>
      </w:r>
    </w:p>
    <w:bookmarkStart w:id="179"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ampbell-kiblerVolume"/>
    <w:p>
      <w:pPr>
        <w:pStyle w:val="Bibliography"/>
      </w:pPr>
      <w:r>
        <w:t xml:space="preserve">———. This volume.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5"/>
    <w:bookmarkStart w:id="86"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6"/>
    <w:bookmarkStart w:id="87"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7"/>
    <w:bookmarkStart w:id="89"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8">
        <w:r>
          <w:rPr>
            <w:rStyle w:val="Hyperlink"/>
          </w:rPr>
          <w:t xml:space="preserve">https://doi.org/10.1037/xlm0000137</w:t>
        </w:r>
      </w:hyperlink>
      <w:r>
        <w:t xml:space="preserve">.</w:t>
      </w:r>
    </w:p>
    <w:bookmarkEnd w:id="89"/>
    <w:bookmarkStart w:id="90"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0"/>
    <w:bookmarkStart w:id="91"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1"/>
    <w:bookmarkStart w:id="93"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2">
        <w:r>
          <w:rPr>
            <w:rStyle w:val="Hyperlink"/>
          </w:rPr>
          <w:t xml:space="preserve">https://doi.org/10.1016/s0010-0277(00)00123-2</w:t>
        </w:r>
      </w:hyperlink>
      <w:r>
        <w:t xml:space="preserve">.</w:t>
      </w:r>
    </w:p>
    <w:bookmarkEnd w:id="93"/>
    <w:bookmarkStart w:id="94"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4"/>
    <w:bookmarkStart w:id="95"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5"/>
    <w:bookmarkStart w:id="96"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6"/>
    <w:bookmarkStart w:id="97"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7"/>
    <w:bookmarkStart w:id="98"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8"/>
    <w:bookmarkStart w:id="9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9"/>
    <w:bookmarkStart w:id="10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0"/>
    <w:bookmarkStart w:id="101"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1"/>
    <w:bookmarkStart w:id="102"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2"/>
    <w:bookmarkStart w:id="103"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3"/>
    <w:bookmarkStart w:id="104"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4"/>
    <w:bookmarkStart w:id="105"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5"/>
    <w:bookmarkStart w:id="107"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6">
        <w:r>
          <w:rPr>
            <w:rStyle w:val="Hyperlink"/>
          </w:rPr>
          <w:t xml:space="preserve">https://doi.org/10.3389/fpsyg.2015.00500</w:t>
        </w:r>
      </w:hyperlink>
      <w:r>
        <w:t xml:space="preserve">.</w:t>
      </w:r>
    </w:p>
    <w:bookmarkEnd w:id="107"/>
    <w:bookmarkStart w:id="109"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8">
        <w:r>
          <w:rPr>
            <w:rStyle w:val="Hyperlink"/>
          </w:rPr>
          <w:t xml:space="preserve">http://dx.doi.org/10.3758/BF03207536</w:t>
        </w:r>
      </w:hyperlink>
      <w:r>
        <w:t xml:space="preserve">.</w:t>
      </w:r>
    </w:p>
    <w:bookmarkEnd w:id="109"/>
    <w:bookmarkStart w:id="110"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8">
        <w:r>
          <w:rPr>
            <w:rStyle w:val="Hyperlink"/>
          </w:rPr>
          <w:t xml:space="preserve">http://dx.doi.org/10.3758/BF03207536</w:t>
        </w:r>
      </w:hyperlink>
      <w:r>
        <w:t xml:space="preserve">.</w:t>
      </w:r>
    </w:p>
    <w:bookmarkEnd w:id="110"/>
    <w:bookmarkStart w:id="111"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11"/>
    <w:bookmarkStart w:id="112"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2"/>
    <w:bookmarkStart w:id="11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3"/>
    <w:bookmarkStart w:id="11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4"/>
    <w:bookmarkStart w:id="115"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5"/>
    <w:bookmarkStart w:id="116"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6"/>
    <w:bookmarkStart w:id="117"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7"/>
    <w:bookmarkStart w:id="118"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8"/>
    <w:bookmarkStart w:id="120"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9">
        <w:r>
          <w:rPr>
            <w:rStyle w:val="Hyperlink"/>
          </w:rPr>
          <w:t xml:space="preserve">http://www.jstor.org/stable/522229</w:t>
        </w:r>
      </w:hyperlink>
      <w:r>
        <w:t xml:space="preserve">.</w:t>
      </w:r>
    </w:p>
    <w:bookmarkEnd w:id="120"/>
    <w:bookmarkStart w:id="121"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1"/>
    <w:bookmarkStart w:id="122"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2"/>
    <w:bookmarkStart w:id="123"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3"/>
    <w:bookmarkStart w:id="124"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4"/>
    <w:bookmarkStart w:id="125"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5"/>
    <w:bookmarkStart w:id="127"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6">
        <w:r>
          <w:rPr>
            <w:rStyle w:val="Hyperlink"/>
          </w:rPr>
          <w:t xml:space="preserve">https://doi.org/10.1371/journal.pone.0130834</w:t>
        </w:r>
      </w:hyperlink>
      <w:r>
        <w:t xml:space="preserve">.</w:t>
      </w:r>
    </w:p>
    <w:bookmarkEnd w:id="127"/>
    <w:bookmarkStart w:id="129"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28">
        <w:r>
          <w:rPr>
            <w:rStyle w:val="Hyperlink"/>
          </w:rPr>
          <w:t xml:space="preserve">https://doi.org/10.3109/13682826809011440</w:t>
        </w:r>
      </w:hyperlink>
      <w:r>
        <w:t xml:space="preserve">.</w:t>
      </w:r>
    </w:p>
    <w:bookmarkEnd w:id="129"/>
    <w:bookmarkStart w:id="13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0"/>
    <w:bookmarkStart w:id="132" w:name="ref-imagemagick"/>
    <w:p>
      <w:pPr>
        <w:pStyle w:val="Bibliography"/>
      </w:pPr>
      <w:r>
        <w:t xml:space="preserve">LLC, ImageMagick Studio. 2023.</w:t>
      </w:r>
      <w:r>
        <w:t xml:space="preserve"> </w:t>
      </w:r>
      <w:r>
        <w:t xml:space="preserve">“ImageMagick.”</w:t>
      </w:r>
      <w:r>
        <w:t xml:space="preserve"> </w:t>
      </w:r>
      <w:hyperlink r:id="rId131">
        <w:r>
          <w:rPr>
            <w:rStyle w:val="Hyperlink"/>
          </w:rPr>
          <w:t xml:space="preserve">https://imagemagick.org</w:t>
        </w:r>
      </w:hyperlink>
      <w:r>
        <w:t xml:space="preserve">.</w:t>
      </w:r>
    </w:p>
    <w:bookmarkEnd w:id="132"/>
    <w:bookmarkStart w:id="13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3">
        <w:r>
          <w:rPr>
            <w:rStyle w:val="Hyperlink"/>
          </w:rPr>
          <w:t xml:space="preserve">https://doi.org/10.3758/s13428-014-0532-5</w:t>
        </w:r>
      </w:hyperlink>
      <w:r>
        <w:t xml:space="preserve">.</w:t>
      </w:r>
    </w:p>
    <w:bookmarkEnd w:id="134"/>
    <w:bookmarkStart w:id="13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5"/>
    <w:bookmarkStart w:id="136"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6"/>
    <w:bookmarkStart w:id="13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7"/>
    <w:bookmarkStart w:id="138"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8"/>
    <w:bookmarkStart w:id="139"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39"/>
    <w:bookmarkStart w:id="140"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0"/>
    <w:bookmarkStart w:id="141"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1"/>
    <w:bookmarkStart w:id="142"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2"/>
    <w:bookmarkStart w:id="143"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43"/>
    <w:bookmarkStart w:id="144"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44"/>
    <w:bookmarkStart w:id="145"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45"/>
    <w:bookmarkStart w:id="146"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46"/>
    <w:bookmarkStart w:id="147"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7"/>
    <w:bookmarkStart w:id="148"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48"/>
    <w:bookmarkStart w:id="149"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49"/>
    <w:bookmarkStart w:id="150"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0"/>
    <w:bookmarkStart w:id="151"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1"/>
    <w:bookmarkStart w:id="15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2"/>
    <w:bookmarkStart w:id="15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3"/>
    <w:bookmarkStart w:id="15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54"/>
    <w:bookmarkStart w:id="15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55"/>
    <w:bookmarkStart w:id="15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56">
        <w:r>
          <w:rPr>
            <w:rStyle w:val="Hyperlink"/>
          </w:rPr>
          <w:t xml:space="preserve">https://doi.org/10.1093/oxfordhb/9780199600472.001.0001</w:t>
        </w:r>
      </w:hyperlink>
      <w:r>
        <w:t xml:space="preserve">.</w:t>
      </w:r>
    </w:p>
    <w:bookmarkEnd w:id="157"/>
    <w:bookmarkStart w:id="15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58"/>
    <w:bookmarkStart w:id="15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59"/>
    <w:bookmarkStart w:id="160"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60"/>
    <w:bookmarkStart w:id="161"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1"/>
    <w:bookmarkStart w:id="16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2"/>
    <w:bookmarkStart w:id="16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3">
        <w:r>
          <w:rPr>
            <w:rStyle w:val="Hyperlink"/>
          </w:rPr>
          <w:t xml:space="preserve">https://doi.org/10.3758/BF03197491</w:t>
        </w:r>
      </w:hyperlink>
      <w:r>
        <w:t xml:space="preserve">.</w:t>
      </w:r>
    </w:p>
    <w:bookmarkEnd w:id="164"/>
    <w:bookmarkStart w:id="16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65"/>
    <w:bookmarkStart w:id="166"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66"/>
    <w:bookmarkStart w:id="16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7"/>
    <w:bookmarkStart w:id="16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68"/>
    <w:bookmarkStart w:id="16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69"/>
    <w:bookmarkStart w:id="17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0"/>
    <w:bookmarkStart w:id="17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1"/>
    <w:bookmarkStart w:id="172"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72"/>
    <w:bookmarkStart w:id="173"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3"/>
    <w:bookmarkStart w:id="174"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74"/>
    <w:bookmarkStart w:id="17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5"/>
    <w:bookmarkStart w:id="17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6"/>
    <w:bookmarkStart w:id="17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7"/>
    <w:bookmarkStart w:id="17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78"/>
    <w:bookmarkEnd w:id="179"/>
    <w:bookmarkEnd w:id="180"/>
    <w:bookmarkEnd w:id="181"/>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08" Target="http://dx.doi.org/10.3758/BF03207536" TargetMode="External" /><Relationship Type="http://schemas.openxmlformats.org/officeDocument/2006/relationships/hyperlink" Id="rId119" Target="http://www.jstor.org/stable/522229" TargetMode="External" /><Relationship Type="http://schemas.openxmlformats.org/officeDocument/2006/relationships/hyperlink" Id="rId92"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8" Target="https://doi.org/10.1037/xlm0000137" TargetMode="External" /><Relationship Type="http://schemas.openxmlformats.org/officeDocument/2006/relationships/hyperlink" Id="rId156"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6" Target="https://doi.org/10.1371/journal.pone.0130834" TargetMode="External" /><Relationship Type="http://schemas.openxmlformats.org/officeDocument/2006/relationships/hyperlink" Id="rId128" Target="https://doi.org/10.3109/13682826809011440" TargetMode="External" /><Relationship Type="http://schemas.openxmlformats.org/officeDocument/2006/relationships/hyperlink" Id="rId106" Target="https://doi.org/10.3389/fpsyg.2015.00500" TargetMode="External" /><Relationship Type="http://schemas.openxmlformats.org/officeDocument/2006/relationships/hyperlink" Id="rId163" Target="https://doi.org/10.3758/BF03197491" TargetMode="External" /><Relationship Type="http://schemas.openxmlformats.org/officeDocument/2006/relationships/hyperlink" Id="rId133" Target="https://doi.org/10.3758/s13428-014-0532-5" TargetMode="External" /><Relationship Type="http://schemas.openxmlformats.org/officeDocument/2006/relationships/hyperlink" Id="rId13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8" Target="http://dx.doi.org/10.3758/BF03207536" TargetMode="External" /><Relationship Type="http://schemas.openxmlformats.org/officeDocument/2006/relationships/hyperlink" Id="rId119" Target="http://www.jstor.org/stable/522229" TargetMode="External" /><Relationship Type="http://schemas.openxmlformats.org/officeDocument/2006/relationships/hyperlink" Id="rId92"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8" Target="https://doi.org/10.1037/xlm0000137" TargetMode="External" /><Relationship Type="http://schemas.openxmlformats.org/officeDocument/2006/relationships/hyperlink" Id="rId156"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6" Target="https://doi.org/10.1371/journal.pone.0130834" TargetMode="External" /><Relationship Type="http://schemas.openxmlformats.org/officeDocument/2006/relationships/hyperlink" Id="rId128" Target="https://doi.org/10.3109/13682826809011440" TargetMode="External" /><Relationship Type="http://schemas.openxmlformats.org/officeDocument/2006/relationships/hyperlink" Id="rId106" Target="https://doi.org/10.3389/fpsyg.2015.00500" TargetMode="External" /><Relationship Type="http://schemas.openxmlformats.org/officeDocument/2006/relationships/hyperlink" Id="rId163" Target="https://doi.org/10.3758/BF03197491" TargetMode="External" /><Relationship Type="http://schemas.openxmlformats.org/officeDocument/2006/relationships/hyperlink" Id="rId133" Target="https://doi.org/10.3758/s13428-014-0532-5" TargetMode="External" /><Relationship Type="http://schemas.openxmlformats.org/officeDocument/2006/relationships/hyperlink" Id="rId13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2024-10-25T01:29:37Z</dcterms:created>
  <dcterms:modified xsi:type="dcterms:W3CDTF">2024-10-25T01:29:37Z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2024-10-25</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