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0.png" ContentType="image/png"/>
  <Override PartName="/word/media/rId60.png" ContentType="image/png"/>
  <Override PartName="/word/media/rId55.png" ContentType="image/png"/>
  <Override PartName="/word/media/rId33.jpg" ContentType="image/jpe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2024-12-09</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5"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(Calder 2018; Mack and Munson 2012a; Pharao et al. 2014; Strand 1999)</w:t>
      </w:r>
      <w:r>
        <w:t xml:space="preserve">. To investigate the role of awareness in sociophonetic perception, this paper reports an audiovisual matched guise experiment, modeled on</w:t>
      </w:r>
      <w:r>
        <w:t xml:space="preserve"> </w:t>
      </w:r>
      <w:r>
        <w:t xml:space="preserve">Strand and Johnson (1996)</w:t>
      </w:r>
      <w:r>
        <w:t xml:space="preserve"> </w:t>
      </w:r>
      <w:r>
        <w:t xml:space="preserve">and related work, but with a novel</w:t>
      </w:r>
      <w:r>
        <w:t xml:space="preserve"> </w:t>
      </w:r>
      <w:r>
        <w:t xml:space="preserve">‘unhidden’</w:t>
      </w:r>
      <w:r>
        <w:t xml:space="preserve"> </w:t>
      </w:r>
      <w:r>
        <w:t xml:space="preserve">condition in which listeners are explicitly informed about the nature of the guise manipulations. In doing so, we seek to explore the relationship between beliefs about talker gender and fricative categories and the ways in which social and linguistic knowledge are integrated in perception.</w:t>
      </w:r>
    </w:p>
    <w:p>
      <w:pPr>
        <w:pStyle w:val="BodyText"/>
      </w:pPr>
      <w:r>
        <w:t xml:space="preserve">As we will see, there is little consensus around the extent to which language users are aware of, and can control, these fine gradations of social meaning in production and perception. There are even conflicting meanings of the word</w:t>
      </w:r>
      <w:r>
        <w:t xml:space="preserve"> </w:t>
      </w:r>
      <w:r>
        <w:rPr>
          <w:i/>
          <w:iCs/>
        </w:rPr>
        <w:t xml:space="preserve">perception</w:t>
      </w:r>
      <w:r>
        <w:t xml:space="preserve"> </w:t>
      </w:r>
      <w:r>
        <w:t xml:space="preserve">used interchangeably in the various relevant literatures. This lack of consensus leads to results that are difficult to interpret across disciplinary and even sub-disciplinary boundaries and limits our ability to benefit from one another’s work; even creating an apparent paradox in which sociophonetic perception appears to be at once sensitive to fine phonetic detail and able to erase details that are inconsistent with our social expectations</w:t>
      </w:r>
      <w:r>
        <w:t xml:space="preserve"> </w:t>
      </w:r>
      <w:r>
        <w:t xml:space="preserve">(Babel this issue)</w:t>
      </w:r>
      <w:r>
        <w:t xml:space="preserve">. It is our hope that one key contribution of this paper will be to build on the general framing provided by</w:t>
      </w:r>
      <w:r>
        <w:t xml:space="preserve"> </w:t>
      </w:r>
      <w:r>
        <w:t xml:space="preserve">(Babel, Campbell-Kibler, and McGowan, this issue)</w:t>
      </w:r>
      <w:r>
        <w:t xml:space="preserve"> </w:t>
      </w:r>
      <w:r>
        <w:t xml:space="preserve">and to serve as a two-way bridge between researchers working primarily in segmental speech perception and word recognition to researchers working primarily in sociolinguistics, linguistic anthropology, and social psychology.</w:t>
      </w:r>
    </w:p>
    <w:bookmarkStart w:id="21" w:name="sec-background"/>
    <w:p>
      <w:pPr>
        <w:pStyle w:val="Heading2"/>
      </w:pPr>
      <w:r>
        <w:t xml:space="preserve">Background: Awareness &amp; Control in Speech Production and Perception</w:t>
      </w:r>
    </w:p>
    <w:p>
      <w:pPr>
        <w:pStyle w:val="FirstParagraph"/>
      </w:pPr>
      <w:r>
        <w:t xml:space="preserve">In this paper, we use</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requirement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w:t>
      </w:r>
      <w:r>
        <w:t xml:space="preserve"> </w:t>
      </w:r>
      <w:r>
        <w:t xml:space="preserve">(Laver 1968)</w:t>
      </w:r>
      <w:r>
        <w:t xml:space="preserv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pitch as the primary, biological phonetic detail associated with gender performance</w:t>
      </w:r>
      <w:r>
        <w:t xml:space="preserve"> </w:t>
      </w:r>
      <w:r>
        <w:t xml:space="preserve">(Foulkes and Docherty 2006, 411)</w:t>
      </w:r>
      <w:r>
        <w:t xml:space="preserve">; but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Here we owe much of our general conceptualization of</w:t>
      </w:r>
      <w:r>
        <w:t xml:space="preserve"> </w:t>
      </w:r>
      <w:r>
        <w:t xml:space="preserve">‘control’</w:t>
      </w:r>
      <w:r>
        <w:t xml:space="preserve"> </w:t>
      </w:r>
      <w:r>
        <w:t xml:space="preserve">to Babel (this issue)</w:t>
      </w:r>
      <w:r>
        <w:t xml:space="preserve">‘s application of the semiotic role of the interpretant</w:t>
      </w:r>
      <w:r>
        <w:t xml:space="preserve"> </w:t>
      </w:r>
      <w:r>
        <w:t xml:space="preserve">(Peirce 1955)</w:t>
      </w:r>
      <w:r>
        <w:t xml:space="preserve"> </w:t>
      </w:r>
      <w:r>
        <w:t xml:space="preserve">in perception and Preston’s</w:t>
      </w:r>
      <w:r>
        <w:t xml:space="preserve"> </w:t>
      </w:r>
      <w:r>
        <w:t xml:space="preserve">(1996, 2016)</w:t>
      </w:r>
      <w:r>
        <w:t xml:space="preserve"> </w:t>
      </w:r>
      <w:r>
        <w:t xml:space="preserve">four modes of awareness. Underlying our hypothesis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listener as it is for the speaker. Social meaning making occurs in interaction</w:t>
      </w:r>
      <w:r>
        <w:t xml:space="preserve"> </w:t>
      </w:r>
      <w:r>
        <w:t xml:space="preserve">(Sharma this issue)</w:t>
      </w:r>
      <w:r>
        <w:t xml:space="preserve">; a listener must be able to control, that is to link, the auditory cues of a performed gender identity to the cognitive representation of that identity just as much as a speaker must be capable of the gestural control required to implement the phonetics of that identity. Crucially,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performance &amp; perception is a phenomenon that crosses disciplinary and subdisciplinary boundaries and approaches to language and social meaning. These varying disciplinary and subdisciplinary contexts employ quite different, sometimes contradictory, assumptions and theoretical commitments about the extent to which language users can bring aspects of perception into introspective awareness and control (conscious or otherwise). Exemplifying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Perception is often construed as the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inaccessible to introspection even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perception in common use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End w:id="21"/>
    <w:bookmarkStart w:id="22" w:name="sec-mgt"/>
    <w:p>
      <w:pPr>
        <w:pStyle w:val="Heading2"/>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levels of perception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commentary in a subsequent interview about the voices in that task sometimes agreed, but typically diverged. When they diverged, segmental perception tracked vowel categories established by the listeners’ previous experience with the voice, while evaluations of the talker much more closely tracked language ideologies regarding the social labels provided by the experiment. Indeed, several participants explicitly commented on the differences between the fricatives used by the two guises; speech sounds that had been held identical in the stimuli</w:t>
      </w:r>
      <w:r>
        <w:t xml:space="preserve"> </w:t>
      </w:r>
      <w:r>
        <w:t xml:space="preserve">(Babel this issue)</w:t>
      </w:r>
      <w:r>
        <w:t xml:space="preserve">. McGowan and Babel attempt to demonstrate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about each guise, leaves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be sensitive to inauthentic details in the performance and thus not</w:t>
      </w:r>
      <w:r>
        <w:t xml:space="preserve"> </w:t>
      </w:r>
      <w:r>
        <w:rPr>
          <w:i/>
          <w:iCs/>
        </w:rPr>
        <w:t xml:space="preserve">believe</w:t>
      </w:r>
      <w:r>
        <w:t xml:space="preserve"> </w:t>
      </w:r>
      <w:r>
        <w:t xml:space="preserve">the mimicked accents.</w:t>
      </w:r>
    </w:p>
    <w:p>
      <w:pPr>
        <w:pStyle w:val="BodyText"/>
      </w:pPr>
      <w:r>
        <w:t xml:space="preserve">Listeners in this task provided both subjective evaluations of personal characteristics of each talker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social meanings, stereotypes,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perceptual outcomes.</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w:t>
      </w:r>
    </w:p>
    <w:p>
      <w:pPr>
        <w:pStyle w:val="BodyText"/>
      </w:pPr>
      <w:r>
        <w:t xml:space="preserve">In sociophonetic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Considering these multiple, potentially contradictory, levels of perception separately may help us unravel the apparent paradox noted above. Studies using late, evaluative, measures likely do not provide insight on segmental perception because behavior obtained late in processing potentially involves layers of awareness and control that block access to the initial online percept for listeners and researchers alike</w:t>
      </w:r>
      <w:r>
        <w:t xml:space="preserve"> </w:t>
      </w:r>
      <w:r>
        <w:t xml:space="preserve">(Campbell-Kibler 2012; McGowan and Babel 2020)</w:t>
      </w:r>
      <w:r>
        <w:t xml:space="preserve">. By the same token, studies using segmental or lexical measures likely do not provide clear insight into participants’ subjective experience of the social qualities of a voice. To understand how these levels of perception may interact in perception and how awareness of the guise manipulation may influence perception behavior, the present study uses the inverted MGT to test listeners’ segmental perceptions of an [ʃ]-[s] fricative continuum under both different guise and different awareness conditions.</w:t>
      </w:r>
    </w:p>
    <w:bookmarkEnd w:id="22"/>
    <w:bookmarkStart w:id="23" w:name="sec-fricative-gender"/>
    <w:p>
      <w:pPr>
        <w:pStyle w:val="Heading2"/>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(cf. 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and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These continua have endpoints in prototypical examples of [ʃ] and [s], with some number of acoustic steps spliced, synthesized, or even mixed between these. Near the middle of such a continuum will be a synthetic fricative that is ambiguous as to category membership: not clearly [ʃ] and not clearly [s] for the vocal tract that produced the endpoints.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(May 1976; 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of their purported talker can, again, shift perceptions of the [ʃ]-[s] continuum such that listeners report hearing a higher proportion of the continuum as [ʃ] when watching a female talker and a higher proportion of the same continuum as [s] when watching a male talker.</w:t>
      </w:r>
    </w:p>
    <w:bookmarkEnd w:id="23"/>
    <w:bookmarkStart w:id="24"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 Sawusch 2005)</w:t>
      </w:r>
      <w:r>
        <w:t xml:space="preserve"> </w:t>
      </w:r>
      <w:r>
        <w:t xml:space="preserve">that listeners can simply normalize away</w:t>
      </w:r>
      <w:r>
        <w:t xml:space="preserve"> </w:t>
      </w:r>
      <w:r>
        <w:t xml:space="preserve">(Johnson 2005)</w:t>
      </w:r>
      <w:r>
        <w:t xml:space="preserve"> </w:t>
      </w:r>
      <w:r>
        <w:t xml:space="preserve">to facilitate linguistic perception. Even within sociolinguistics and sociophonetics,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our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the fine phonetic detail available for the production and perception of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w:t>
      </w:r>
      <w:r>
        <w:t xml:space="preserve">. Unfortunately, it can be essentially impossible for an experimenter to tell the difference between a genuine finding that a particular social variable does not influence perception, on the one hand, or an indexical mismatch between experimental stimuli and participants’ indexical inventories</w:t>
      </w:r>
      <w:r>
        <w:t xml:space="preserve"> </w:t>
      </w:r>
      <w:r>
        <w:t xml:space="preserve">(Barrett and Hall 2024)</w:t>
      </w:r>
      <w:r>
        <w:t xml:space="preserve"> </w:t>
      </w:r>
      <w:r>
        <w:t xml:space="preserve">on the other. The creation and use of stimuli that are rated as highly gender-prototypical for a large group of listeners therefore maximizes the probability that a perception experiment will find an interpretable result.</w:t>
      </w:r>
    </w:p>
    <w:p>
      <w:pPr>
        <w:pStyle w:val="BodyText"/>
      </w:pPr>
      <w:r>
        <w:t xml:space="preserve">Therefore, it can not be overemphasized that an essentially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gestural style.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constellations of meanings are socially-constructed in interaction</w:t>
      </w:r>
      <w:r>
        <w:t xml:space="preserve"> </w:t>
      </w:r>
      <w:r>
        <w:t xml:space="preserve">(Eckert 2008)</w:t>
      </w:r>
      <w:r>
        <w:t xml:space="preserve">.</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are using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 either with, or without, explicit instructions to disregard the visual stimulus.</w:t>
      </w:r>
    </w:p>
    <w:bookmarkEnd w:id="24"/>
    <w:bookmarkEnd w:id="25"/>
    <w:bookmarkStart w:id="41" w:name="sec-method"/>
    <w:p>
      <w:pPr>
        <w:pStyle w:val="Heading1"/>
      </w:pPr>
      <w:r>
        <w:t xml:space="preserve">Method</w:t>
      </w:r>
    </w:p>
    <w:bookmarkStart w:id="26"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had provided language history and demographic data as part of Prolific’s general pre-screening questionnaire. Participation was restricted to a standard sample of desktop computer users located in the USA, who spent most of their childhoods in the US, spoke English as their first and primary language, and having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p>
    <w:p>
      <w:pPr>
        <w:pStyle w:val="BodyText"/>
      </w:pPr>
      <w:r>
        <w:t xml:space="preserve">Participants were paid $3 for their time, prorated from a projected rate of $20/hour (actual rate: $26.29/hour). This same instrument was piloted in the Speech Perception lab of The Ohio State University, and, while reaction times online were generally slower than in-person, results from the online administration were generally consistent with pilot results collected under laboratory conditions. Four participants were excluded for low accuracy rates (below 85%).</w:t>
      </w:r>
    </w:p>
    <w:bookmarkEnd w:id="26"/>
    <w:bookmarkStart w:id="32" w:name="sec-stimuli"/>
    <w:p>
      <w:pPr>
        <w:pStyle w:val="Heading2"/>
      </w:pPr>
      <w:r>
        <w:t xml:space="preserve">Stimulus Materials</w:t>
      </w:r>
    </w:p>
    <w:bookmarkStart w:id="31"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which were generously shared with us, contain two parts, both of which are drawn from synthetic continua: a fricative onset and a VC rime. The fricative onsets comprise a synthetic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in</w:t>
      </w:r>
      <w:r>
        <w:t xml:space="preserve"> </w:t>
      </w:r>
      <w:r>
        <w:t xml:space="preserve">Strand and Johnson (1996)</w:t>
      </w:r>
      <w:r>
        <w:t xml:space="preserve">). Centers of Gravity ranged from a low of 3.2 kHz (/ʃ/-like) to a high of 7 kHz (/s/-like). This continuum is essential to the design as it will allow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their unmodified values in a feminizing direction. Conversely, the female talker’s /æk/ continuum decreased both parameters from her unmodified productions to create a continuum in a masculinizing direction. These continua essentially allow us to combine the designs of Strand &amp; Johnson’s experiment 1 and experiment 2 in a single task. Listeners will be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the auditory stimulus item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PhD program, some of the elements of such an identity are likely available to conscious reflection, but many of these indexical features (such as VOT duration, F2:F3 formant ratio, etc.)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30" w:name="fig-stimuli"/>
          <w:p>
            <w:pPr>
              <w:pStyle w:val="Compact"/>
              <w:jc w:val="center"/>
            </w:pPr>
            <w:r>
              <w:drawing>
                <wp:inline>
                  <wp:extent cx="4754880" cy="3511736"/>
                  <wp:effectExtent b="0" l="0" r="0" t="0"/>
                  <wp:docPr descr="" title="" id="28" name="Picture"/>
                  <a:graphic>
                    <a:graphicData uri="http://schemas.openxmlformats.org/drawingml/2006/picture">
                      <pic:pic>
                        <pic:nvPicPr>
                          <pic:cNvPr descr="images/figure1.png" id="29" name="Picture"/>
                          <pic:cNvPicPr>
                            <a:picLocks noChangeArrowheads="1" noChangeAspect="1"/>
                          </pic:cNvPicPr>
                        </pic:nvPicPr>
                        <pic:blipFill>
                          <a:blip r:embed="rId27"/>
                          <a:stretch>
                            <a:fillRect/>
                          </a:stretch>
                        </pic:blipFill>
                        <pic:spPr bwMode="auto">
                          <a:xfrm>
                            <a:off x="0" y="0"/>
                            <a:ext cx="4754880" cy="3511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six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 across five coda steps.</w:t>
            </w:r>
          </w:p>
          <w:bookmarkEnd w:id="30"/>
        </w:tc>
      </w:tr>
    </w:tbl>
    <w:bookmarkEnd w:id="31"/>
    <w:bookmarkEnd w:id="32"/>
    <w:bookmarkStart w:id="38"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the auditory stimuli might influence participants’ perception of the identities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1.2</w:t>
        </w:r>
      </w:hyperlink>
      <w:r>
        <w:t xml:space="preserve">). 40 undergraduate students at the Ohio State University (25 female, 15 male, ages 18-26) who participated in an in-person pilot version of the inverted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 about the gender identity of the speaker. Most participants (93%)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 (1 further specified</w:t>
      </w:r>
      <w:r>
        <w:t xml:space="preserve"> </w:t>
      </w:r>
      <w:r>
        <w:t xml:space="preserve">‘trans-male’</w:t>
      </w:r>
      <w:r>
        <w:t xml:space="preserve">), and 21%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7"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6" w:name="fig-visual"/>
          <w:p>
            <w:pPr>
              <w:pStyle w:val="Compact"/>
              <w:jc w:val="center"/>
            </w:pPr>
            <w:r>
              <w:drawing>
                <wp:inline>
                  <wp:extent cx="4754880" cy="4754880"/>
                  <wp:effectExtent b="0" l="0" r="0" t="0"/>
                  <wp:docPr descr="" title="" id="34" name="Picture"/>
                  <a:graphic>
                    <a:graphicData uri="http://schemas.openxmlformats.org/drawingml/2006/picture">
                      <pic:pic>
                        <pic:nvPicPr>
                          <pic:cNvPr descr="images/facesanddrawings.jpg" id="35" name="Picture"/>
                          <pic:cNvPicPr>
                            <a:picLocks noChangeArrowheads="1" noChangeAspect="1"/>
                          </pic:cNvPicPr>
                        </pic:nvPicPr>
                        <pic:blipFill>
                          <a:blip r:embed="rId33"/>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6"/>
        </w:tc>
      </w:tr>
    </w:tbl>
    <w:bookmarkEnd w:id="37"/>
    <w:bookmarkEnd w:id="38"/>
    <w:bookmarkStart w:id="40"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 pilot participants in</w:t>
      </w:r>
      <w:r>
        <w:t xml:space="preserve"> </w:t>
      </w:r>
      <w:r>
        <w:t xml:space="preserve">Bouavichith et al. (2019)</w:t>
      </w:r>
      <w:r>
        <w:t xml:space="preserve">,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9"/>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40"/>
    <w:bookmarkEnd w:id="41"/>
    <w:bookmarkStart w:id="45" w:name="sec-predictions"/>
    <w:p>
      <w:pPr>
        <w:pStyle w:val="Heading1"/>
      </w:pPr>
      <w:r>
        <w:t xml:space="preserve">Predicted Results</w:t>
      </w:r>
    </w:p>
    <w:bookmarkStart w:id="42"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2"/>
    <w:bookmarkStart w:id="43"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3"/>
    <w:bookmarkStart w:id="44"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(traditional) hidden matched guise and the unhidden guise.</w:t>
      </w:r>
    </w:p>
    <w:p>
      <w:pPr>
        <w:pStyle w:val="BodyText"/>
      </w:pPr>
      <w:r>
        <w:t xml:space="preserve">Additionally, we speculate that there may be a response time difference between the Hidden and Unhidden guises even if there is no apparent difference in percept between the conditions. It can certainly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4"/>
    <w:bookmarkEnd w:id="45"/>
    <w:bookmarkStart w:id="65"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4"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9" w:name="fig-scurve"/>
          <w:p>
            <w:pPr>
              <w:pStyle w:val="Compact"/>
              <w:jc w:val="center"/>
            </w:pPr>
            <w:r>
              <w:drawing>
                <wp:inline>
                  <wp:extent cx="4754880" cy="2937285"/>
                  <wp:effectExtent b="0" l="0" r="0" t="0"/>
                  <wp:docPr descr="" title="" id="47" name="Picture"/>
                  <a:graphic>
                    <a:graphicData uri="http://schemas.openxmlformats.org/drawingml/2006/picture">
                      <pic:pic>
                        <pic:nvPicPr>
                          <pic:cNvPr descr="images/Scurve.png" id="48" name="Picture"/>
                          <pic:cNvPicPr>
                            <a:picLocks noChangeArrowheads="1" noChangeAspect="1"/>
                          </pic:cNvPicPr>
                        </pic:nvPicPr>
                        <pic:blipFill>
                          <a:blip r:embed="rId46"/>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9"/>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3" w:name="fig-rimes"/>
          <w:p>
            <w:pPr>
              <w:pStyle w:val="Compact"/>
              <w:jc w:val="center"/>
            </w:pPr>
            <w:r>
              <w:drawing>
                <wp:inline>
                  <wp:extent cx="4754880" cy="2937285"/>
                  <wp:effectExtent b="0" l="0" r="0" t="0"/>
                  <wp:docPr descr="" title="" id="51" name="Picture"/>
                  <a:graphic>
                    <a:graphicData uri="http://schemas.openxmlformats.org/drawingml/2006/picture">
                      <pic:pic>
                        <pic:nvPicPr>
                          <pic:cNvPr descr="images/ambiguous-by-rime-step.png" id="52" name="Picture"/>
                          <pic:cNvPicPr>
                            <a:picLocks noChangeArrowheads="1" noChangeAspect="1"/>
                          </pic:cNvPicPr>
                        </pic:nvPicPr>
                        <pic:blipFill>
                          <a:blip r:embed="rId50"/>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3"/>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that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4"/>
    <w:bookmarkStart w:id="59"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8" w:name="fig-coefs"/>
          <w:p>
            <w:pPr>
              <w:pStyle w:val="Compact"/>
              <w:jc w:val="center"/>
            </w:pPr>
            <w:r>
              <w:drawing>
                <wp:inline>
                  <wp:extent cx="4754880" cy="3169919"/>
                  <wp:effectExtent b="0" l="0" r="0" t="0"/>
                  <wp:docPr descr="" title="" id="56" name="Picture"/>
                  <a:graphic>
                    <a:graphicData uri="http://schemas.openxmlformats.org/drawingml/2006/picture">
                      <pic:pic>
                        <pic:nvPicPr>
                          <pic:cNvPr descr="images/coefs_instruction.png" id="57" name="Picture"/>
                          <pic:cNvPicPr>
                            <a:picLocks noChangeArrowheads="1" noChangeAspect="1"/>
                          </pic:cNvPicPr>
                        </pic:nvPicPr>
                        <pic:blipFill>
                          <a:blip r:embed="rId55"/>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8"/>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9"/>
    <w:bookmarkStart w:id="64"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3" w:name="fig-coefs-logRT"/>
          <w:p>
            <w:pPr>
              <w:pStyle w:val="Compact"/>
              <w:jc w:val="center"/>
            </w:pPr>
            <w:r>
              <w:drawing>
                <wp:inline>
                  <wp:extent cx="4754880" cy="3169919"/>
                  <wp:effectExtent b="0" l="0" r="0" t="0"/>
                  <wp:docPr descr="" title="" id="61" name="Picture"/>
                  <a:graphic>
                    <a:graphicData uri="http://schemas.openxmlformats.org/drawingml/2006/picture">
                      <pic:pic>
                        <pic:nvPicPr>
                          <pic:cNvPr descr="images/coefs-logRT_instructions.png" id="62" name="Picture"/>
                          <pic:cNvPicPr>
                            <a:picLocks noChangeArrowheads="1" noChangeAspect="1"/>
                          </pic:cNvPicPr>
                        </pic:nvPicPr>
                        <pic:blipFill>
                          <a:blip r:embed="rId60"/>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3"/>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4"/>
    <w:bookmarkEnd w:id="65"/>
    <w:bookmarkStart w:id="66" w:name="discussion"/>
    <w:p>
      <w:pPr>
        <w:pStyle w:val="Heading1"/>
      </w:pPr>
      <w:r>
        <w:t xml:space="preserve">Discussion</w:t>
      </w:r>
    </w:p>
    <w:p>
      <w:pPr>
        <w:pStyle w:val="FirstParagraph"/>
      </w:pPr>
      <w:r>
        <w:t xml:space="preserve">This study was initially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We attempted to demonstrate in the introduction that the careful steps researchers typcially take to obscure the nature of the guise manipulation from participants reflects a long-held assumption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the congruous or incongruous conditions. Nor did this revelation have a significant influence on response times in either condition.</w:t>
      </w:r>
    </w:p>
    <w:p>
      <w:pPr>
        <w:pStyle w:val="BodyText"/>
      </w:pPr>
      <w:r>
        <w:t xml:space="preserve">The finding that the Matched Guise effect holds for speech perception both when hidden from the participant and when unhidden is inconsistent with a model of processing in which social knowledge simply acts as a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which lends support to</w:t>
      </w:r>
      <w:r>
        <w:t xml:space="preserve"> </w:t>
      </w:r>
      <w:r>
        <w:t xml:space="preserve">Drager and Kirtley (2016b)</w:t>
      </w:r>
      <w:r>
        <w:t xml:space="preserve">’s (p.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by separating trials by</w:t>
      </w:r>
      <w:r>
        <w:t xml:space="preserve"> </w:t>
      </w:r>
      <w:r>
        <w:t xml:space="preserve">congruity of face and voice, we have replicated both experiments from</w:t>
      </w:r>
      <w:r>
        <w:t xml:space="preserve"> </w:t>
      </w:r>
      <w:r>
        <w:t xml:space="preserve">Strand and Johnson (1996)</w:t>
      </w:r>
      <w:r>
        <w:t xml:space="preserve"> </w:t>
      </w:r>
      <w:r>
        <w:t xml:space="preserve">simultaneously. One wonders, looking back at their experiment 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w:t>
      </w:r>
      <w:r>
        <w:t xml:space="preserve"> </w:t>
      </w:r>
      <w:r>
        <w:t xml:space="preserve">‘non-protypical’</w:t>
      </w:r>
      <w:r>
        <w:t xml:space="preserve"> </w:t>
      </w:r>
      <w:r>
        <w:t xml:space="preserve">voice to supplement</w:t>
      </w:r>
      <w:r>
        <w:t xml:space="preserve"> </w:t>
      </w:r>
      <w:r>
        <w:t xml:space="preserve">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for those stops,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the present study, we have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 the stimuli in</w:t>
      </w:r>
      <w:r>
        <w:t xml:space="preserve"> </w:t>
      </w:r>
      <w:r>
        <w:t xml:space="preserve">Whalen (1984)</w:t>
      </w:r>
      <w:r>
        <w:t xml:space="preserve"> </w:t>
      </w:r>
      <w:r>
        <w:t xml:space="preserve">did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these commonly-manipulated phonetic correlates.</w:t>
      </w:r>
    </w:p>
    <w:bookmarkEnd w:id="66"/>
    <w:bookmarkStart w:id="67" w:name="conclusion"/>
    <w:p>
      <w:pPr>
        <w:pStyle w:val="Heading1"/>
      </w:pPr>
      <w:r>
        <w:t xml:space="preserve">Conclusion</w:t>
      </w:r>
    </w:p>
    <w:p>
      <w:pPr>
        <w:pStyle w:val="FirstParagraph"/>
      </w:pPr>
      <w:r>
        <w:t xml:space="preserve">Decades of research since the original findings of</w:t>
      </w:r>
      <w:r>
        <w:t xml:space="preserve"> </w:t>
      </w:r>
      <w:r>
        <w:t xml:space="preserve">Strand and Johnson (1996)</w:t>
      </w:r>
      <w:r>
        <w:t xml:space="preserve"> </w:t>
      </w:r>
      <w:r>
        <w:t xml:space="preserve">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 1 and experiment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 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 the</w:t>
      </w:r>
      <w:r>
        <w:t xml:space="preserve"> </w:t>
      </w:r>
      <w:r>
        <w:t xml:space="preserve">lack of Face effect in</w:t>
      </w:r>
      <w:r>
        <w:t xml:space="preserve"> </w:t>
      </w:r>
      <w:r>
        <w:t xml:space="preserve">Johnson, Strand, and D’Imperio (1999)</w:t>
      </w:r>
      <w:r>
        <w:t xml:space="preserve"> </w:t>
      </w:r>
      <w:r>
        <w:t xml:space="preserve">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w:t>
      </w:r>
    </w:p>
    <w:p>
      <w:pPr>
        <w:pStyle w:val="BodyText"/>
      </w:pPr>
      <w:r>
        <w:t xml:space="preserve">Barrett (2014, 205)</w:t>
      </w:r>
      <w:r>
        <w:t xml:space="preserve"> </w:t>
      </w:r>
      <w:r>
        <w:t xml:space="preserve">writes,</w:t>
      </w:r>
      <w:r>
        <w:t xml:space="preserve"> </w:t>
      </w:r>
      <w:r>
        <w:t xml:space="preserve">“any assumption of essentialism will ultimately marginalize those individuals who do not fit the essentialist understandings of human behavior.”</w:t>
      </w:r>
      <w:r>
        <w:t xml:space="preserve"> </w:t>
      </w:r>
      <w:r>
        <w:t xml:space="preserve">It may not feel brutal or reductive to read the findings of</w:t>
      </w:r>
      <w:r>
        <w:t xml:space="preserve"> </w:t>
      </w:r>
      <w:r>
        <w:t xml:space="preserve">May (1976)</w:t>
      </w:r>
      <w:r>
        <w:t xml:space="preserve"> </w:t>
      </w:r>
      <w:r>
        <w:t xml:space="preserve">about large and small vocal tracts as if they refer to male and female vocal tracts, respectively, but it does necessarily imply that tall, long-necked women and short, squat-necked men need to find some other way of labeling themselves. The idea that male voices come from large bodies and female voices come from small bodies need not be literally true for the phonetic and perceptual correlates of size to become enregistered alongside other features in the creation of gendered personae (D’Onofrio 2020). Our prediction that incongruity in face and voice would slow listener judgments was not supported. It is tempting to interpret this as evidence that, unlike misleading coarticulatory information, listeners are aware of the diversity of gender expression, but this is not a question the current study can resolve.</w:t>
      </w:r>
    </w:p>
    <w:p>
      <w:pPr>
        <w:pStyle w:val="BodyText"/>
      </w:pPr>
      <w:r>
        <w:t xml:space="preserve">What the current study can resolve is that the influence of listeners’ social knowledge of speech on perception is not delicate. The present result is equally inconsistent with a model that disregards social knowledge entirely and with a</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and linguistic knowledge are deeply intertwined in speech</w:t>
      </w:r>
      <w:r>
        <w:t xml:space="preserve"> </w:t>
      </w:r>
      <w:r>
        <w:t xml:space="preserve">perception.</w:t>
      </w:r>
    </w:p>
    <w:bookmarkEnd w:id="67"/>
    <w:bookmarkStart w:id="200" w:name="sec-references"/>
    <w:p>
      <w:pPr>
        <w:pStyle w:val="Heading1"/>
      </w:pPr>
      <w:r>
        <w:t xml:space="preserve">References</w:t>
      </w:r>
    </w:p>
    <w:bookmarkStart w:id="199" w:name="refs"/>
    <w:bookmarkStart w:id="68"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8"/>
    <w:bookmarkStart w:id="69"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9"/>
    <w:bookmarkStart w:id="70"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70"/>
    <w:bookmarkStart w:id="71"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1"/>
    <w:bookmarkStart w:id="72"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2"/>
    <w:bookmarkStart w:id="73"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3"/>
    <w:bookmarkStart w:id="75"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4">
        <w:r>
          <w:rPr>
            <w:rStyle w:val="Hyperlink"/>
          </w:rPr>
          <w:t xml:space="preserve">http://CRAN.R-project.org/package=lme4</w:t>
        </w:r>
      </w:hyperlink>
      <w:r>
        <w:t xml:space="preserve">.</w:t>
      </w:r>
    </w:p>
    <w:bookmarkEnd w:id="75"/>
    <w:bookmarkStart w:id="76"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6"/>
    <w:bookmarkStart w:id="77"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7"/>
    <w:bookmarkStart w:id="79"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8">
        <w:r>
          <w:rPr>
            <w:rStyle w:val="Hyperlink"/>
          </w:rPr>
          <w:t xml:space="preserve">https://doi.org/10.1121/1.5101933</w:t>
        </w:r>
      </w:hyperlink>
      <w:r>
        <w:t xml:space="preserve">.</w:t>
      </w:r>
    </w:p>
    <w:bookmarkEnd w:id="79"/>
    <w:bookmarkStart w:id="81"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80">
        <w:r>
          <w:rPr>
            <w:rStyle w:val="Hyperlink"/>
          </w:rPr>
          <w:t xml:space="preserve">https://doi.org/10.1017/S0954394521000089</w:t>
        </w:r>
      </w:hyperlink>
      <w:r>
        <w:t xml:space="preserve">.</w:t>
      </w:r>
    </w:p>
    <w:bookmarkEnd w:id="81"/>
    <w:bookmarkStart w:id="82"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2"/>
    <w:bookmarkStart w:id="83"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3"/>
    <w:bookmarkStart w:id="84"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4"/>
    <w:bookmarkStart w:id="85"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5"/>
    <w:bookmarkStart w:id="86"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6"/>
    <w:bookmarkStart w:id="87"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7"/>
    <w:bookmarkStart w:id="88"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8"/>
    <w:bookmarkStart w:id="89"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9"/>
    <w:bookmarkStart w:id="90"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90"/>
    <w:bookmarkStart w:id="92"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1">
        <w:r>
          <w:rPr>
            <w:rStyle w:val="Hyperlink"/>
          </w:rPr>
          <w:t xml:space="preserve">https://doi.org/10.4324/9781315514857-5</w:t>
        </w:r>
      </w:hyperlink>
      <w:r>
        <w:t xml:space="preserve">.</w:t>
      </w:r>
    </w:p>
    <w:bookmarkEnd w:id="92"/>
    <w:bookmarkStart w:id="93"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3"/>
    <w:bookmarkStart w:id="94"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4"/>
    <w:bookmarkStart w:id="96"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5">
        <w:r>
          <w:rPr>
            <w:rStyle w:val="Hyperlink"/>
          </w:rPr>
          <w:t xml:space="preserve">https://doi.org/10.1037/xlm0000137</w:t>
        </w:r>
      </w:hyperlink>
      <w:r>
        <w:t xml:space="preserve">.</w:t>
      </w:r>
    </w:p>
    <w:bookmarkEnd w:id="96"/>
    <w:bookmarkStart w:id="97"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7"/>
    <w:bookmarkStart w:id="98"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8"/>
    <w:bookmarkStart w:id="99"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9"/>
    <w:bookmarkStart w:id="100"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100"/>
    <w:bookmarkStart w:id="102"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1">
        <w:r>
          <w:rPr>
            <w:rStyle w:val="Hyperlink"/>
          </w:rPr>
          <w:t xml:space="preserve">https://doi.org/10.1016/s0010-0277(00)00123-2</w:t>
        </w:r>
      </w:hyperlink>
      <w:r>
        <w:t xml:space="preserve">.</w:t>
      </w:r>
    </w:p>
    <w:bookmarkEnd w:id="102"/>
    <w:bookmarkStart w:id="103"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3"/>
    <w:bookmarkStart w:id="104"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4"/>
    <w:bookmarkStart w:id="105"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6"/>
    <w:bookmarkStart w:id="107"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107"/>
    <w:bookmarkStart w:id="108"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8"/>
    <w:bookmarkStart w:id="109"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9"/>
    <w:bookmarkStart w:id="110"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10"/>
    <w:bookmarkStart w:id="111"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1"/>
    <w:bookmarkStart w:id="112"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2"/>
    <w:bookmarkStart w:id="113"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3"/>
    <w:bookmarkStart w:id="114" w:name="ref-fuchsToda2010"/>
    <w:p>
      <w:pPr>
        <w:pStyle w:val="Bibliography"/>
      </w:pPr>
      <w:r>
        <w:t xml:space="preserve">Fuchs, Susanne, and Martine Toda. 2010.</w:t>
      </w:r>
      <w:r>
        <w:t xml:space="preserve"> </w:t>
      </w:r>
      <w:r>
        <w:t xml:space="preserve">“Do Differences in Male Versus Female /s/ Reflect Biological or Sociophonetic Factors.”</w:t>
      </w:r>
      <w:r>
        <w:t xml:space="preserve"> </w:t>
      </w:r>
      <w:r>
        <w:rPr>
          <w:i/>
          <w:iCs/>
        </w:rPr>
        <w:t xml:space="preserve">Turbulent Sounds: An Interdisciplinary Guide</w:t>
      </w:r>
      <w:r>
        <w:t xml:space="preserve"> </w:t>
      </w:r>
      <w:r>
        <w:t xml:space="preserve">21: 281–302.</w:t>
      </w:r>
    </w:p>
    <w:bookmarkEnd w:id="114"/>
    <w:bookmarkStart w:id="115"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5"/>
    <w:bookmarkStart w:id="116"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6"/>
    <w:bookmarkStart w:id="117"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7"/>
    <w:bookmarkStart w:id="118"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8"/>
    <w:bookmarkStart w:id="119"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9"/>
    <w:bookmarkStart w:id="121"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20">
        <w:r>
          <w:rPr>
            <w:rStyle w:val="Hyperlink"/>
          </w:rPr>
          <w:t xml:space="preserve">https://doi.org/10.3389/fpsyg.2015.00500</w:t>
        </w:r>
      </w:hyperlink>
      <w:r>
        <w:t xml:space="preserve">.</w:t>
      </w:r>
    </w:p>
    <w:bookmarkEnd w:id="121"/>
    <w:bookmarkStart w:id="123"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2">
        <w:r>
          <w:rPr>
            <w:rStyle w:val="Hyperlink"/>
          </w:rPr>
          <w:t xml:space="preserve">http://dx.doi.org/10.3758/BF03207536</w:t>
        </w:r>
      </w:hyperlink>
      <w:r>
        <w:t xml:space="preserve">.</w:t>
      </w:r>
    </w:p>
    <w:bookmarkEnd w:id="123"/>
    <w:bookmarkStart w:id="124"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4"/>
    <w:bookmarkStart w:id="125"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5"/>
    <w:bookmarkStart w:id="126"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6"/>
    <w:bookmarkStart w:id="127"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7"/>
    <w:bookmarkStart w:id="128"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8"/>
    <w:bookmarkStart w:id="129"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9"/>
    <w:bookmarkStart w:id="130"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30"/>
    <w:bookmarkStart w:id="131"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31"/>
    <w:bookmarkStart w:id="132"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2"/>
    <w:bookmarkStart w:id="134"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3">
        <w:r>
          <w:rPr>
            <w:rStyle w:val="Hyperlink"/>
          </w:rPr>
          <w:t xml:space="preserve">http://www.jstor.org/stable/522229</w:t>
        </w:r>
      </w:hyperlink>
      <w:r>
        <w:t xml:space="preserve">.</w:t>
      </w:r>
    </w:p>
    <w:bookmarkEnd w:id="134"/>
    <w:bookmarkStart w:id="135"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5"/>
    <w:bookmarkStart w:id="136"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6"/>
    <w:bookmarkStart w:id="137"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7"/>
    <w:bookmarkStart w:id="138"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8"/>
    <w:bookmarkStart w:id="139"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9"/>
    <w:bookmarkStart w:id="141"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40">
        <w:r>
          <w:rPr>
            <w:rStyle w:val="Hyperlink"/>
          </w:rPr>
          <w:t xml:space="preserve">https://doi.org/10.1371/journal.pone.0130834</w:t>
        </w:r>
      </w:hyperlink>
      <w:r>
        <w:t xml:space="preserve">.</w:t>
      </w:r>
    </w:p>
    <w:bookmarkEnd w:id="141"/>
    <w:bookmarkStart w:id="143"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2">
        <w:r>
          <w:rPr>
            <w:rStyle w:val="Hyperlink"/>
          </w:rPr>
          <w:t xml:space="preserve">https://doi.org/10.3109/13682826809011440</w:t>
        </w:r>
      </w:hyperlink>
      <w:r>
        <w:t xml:space="preserve">.</w:t>
      </w:r>
    </w:p>
    <w:bookmarkEnd w:id="143"/>
    <w:bookmarkStart w:id="145"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4">
        <w:r>
          <w:rPr>
            <w:rStyle w:val="Hyperlink"/>
          </w:rPr>
          <w:t xml:space="preserve">https://doi.org/10.1177/0075424214531487</w:t>
        </w:r>
      </w:hyperlink>
      <w:r>
        <w:t xml:space="preserve">.</w:t>
      </w:r>
    </w:p>
    <w:bookmarkEnd w:id="145"/>
    <w:bookmarkStart w:id="146"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6"/>
    <w:bookmarkStart w:id="148" w:name="ref-imagemagick"/>
    <w:p>
      <w:pPr>
        <w:pStyle w:val="Bibliography"/>
      </w:pPr>
      <w:r>
        <w:t xml:space="preserve">LLC, ImageMagick Studio. 2023.</w:t>
      </w:r>
      <w:r>
        <w:t xml:space="preserve"> </w:t>
      </w:r>
      <w:r>
        <w:t xml:space="preserve">“ImageMagick.”</w:t>
      </w:r>
      <w:r>
        <w:t xml:space="preserve"> </w:t>
      </w:r>
      <w:hyperlink r:id="rId147">
        <w:r>
          <w:rPr>
            <w:rStyle w:val="Hyperlink"/>
          </w:rPr>
          <w:t xml:space="preserve">https://imagemagick.org</w:t>
        </w:r>
      </w:hyperlink>
      <w:r>
        <w:t xml:space="preserve">.</w:t>
      </w:r>
    </w:p>
    <w:bookmarkEnd w:id="148"/>
    <w:bookmarkStart w:id="150"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9">
        <w:r>
          <w:rPr>
            <w:rStyle w:val="Hyperlink"/>
          </w:rPr>
          <w:t xml:space="preserve">https://doi.org/10.3758/s13428-014-0532-5</w:t>
        </w:r>
      </w:hyperlink>
      <w:r>
        <w:t xml:space="preserve">.</w:t>
      </w:r>
    </w:p>
    <w:bookmarkEnd w:id="150"/>
    <w:bookmarkStart w:id="151"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51"/>
    <w:bookmarkStart w:id="153"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2">
        <w:r>
          <w:rPr>
            <w:rStyle w:val="Hyperlink"/>
          </w:rPr>
          <w:t xml:space="preserve">https://doi.org/10.1016/j.wocn.2011.10.002</w:t>
        </w:r>
      </w:hyperlink>
      <w:r>
        <w:t xml:space="preserve">.</w:t>
      </w:r>
    </w:p>
    <w:bookmarkEnd w:id="153"/>
    <w:bookmarkStart w:id="154"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4"/>
    <w:bookmarkStart w:id="155"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5"/>
    <w:bookmarkStart w:id="156"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6"/>
    <w:bookmarkStart w:id="157"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7"/>
    <w:bookmarkStart w:id="158"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8"/>
    <w:bookmarkStart w:id="159"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9"/>
    <w:bookmarkStart w:id="160"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60"/>
    <w:bookmarkStart w:id="161"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61"/>
    <w:bookmarkStart w:id="162"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2"/>
    <w:bookmarkStart w:id="163"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3"/>
    <w:bookmarkStart w:id="164"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4"/>
    <w:bookmarkStart w:id="165"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5"/>
    <w:bookmarkStart w:id="166"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6"/>
    <w:bookmarkStart w:id="167"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7"/>
    <w:bookmarkStart w:id="168" w:name="ref-peirce1955"/>
    <w:p>
      <w:pPr>
        <w:pStyle w:val="Bibliography"/>
      </w:pPr>
      <w:r>
        <w:t xml:space="preserve">Peirce, Charles Sanders. 1955.</w:t>
      </w:r>
      <w:r>
        <w:t xml:space="preserve"> </w:t>
      </w:r>
      <w:r>
        <w:rPr>
          <w:i/>
          <w:iCs/>
        </w:rPr>
        <w:t xml:space="preserve">Philosophical Writings of Peirce</w:t>
      </w:r>
      <w:r>
        <w:t xml:space="preserve">. Dover Publications.</w:t>
      </w:r>
    </w:p>
    <w:bookmarkEnd w:id="168"/>
    <w:bookmarkStart w:id="169"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9"/>
    <w:bookmarkStart w:id="170"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70"/>
    <w:bookmarkStart w:id="171"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71"/>
    <w:bookmarkStart w:id="172"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72"/>
    <w:bookmarkStart w:id="173"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3"/>
    <w:bookmarkStart w:id="174"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4"/>
    <w:bookmarkStart w:id="175"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5"/>
    <w:bookmarkStart w:id="177"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6">
        <w:r>
          <w:rPr>
            <w:rStyle w:val="Hyperlink"/>
          </w:rPr>
          <w:t xml:space="preserve">https://doi.org/10.1093/oxfordhb/9780199600472.001.0001</w:t>
        </w:r>
      </w:hyperlink>
      <w:r>
        <w:t xml:space="preserve">.</w:t>
      </w:r>
    </w:p>
    <w:bookmarkEnd w:id="177"/>
    <w:bookmarkStart w:id="178"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8"/>
    <w:bookmarkStart w:id="179"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9"/>
    <w:bookmarkStart w:id="180"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80"/>
    <w:bookmarkStart w:id="181"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81"/>
    <w:bookmarkStart w:id="182"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82"/>
    <w:bookmarkStart w:id="184"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3">
        <w:r>
          <w:rPr>
            <w:rStyle w:val="Hyperlink"/>
          </w:rPr>
          <w:t xml:space="preserve">https://doi.org/10.3758/BF03197491</w:t>
        </w:r>
      </w:hyperlink>
      <w:r>
        <w:t xml:space="preserve">.</w:t>
      </w:r>
    </w:p>
    <w:bookmarkEnd w:id="184"/>
    <w:bookmarkStart w:id="185"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5"/>
    <w:bookmarkStart w:id="186"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6"/>
    <w:bookmarkStart w:id="187"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7"/>
    <w:bookmarkStart w:id="188"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8"/>
    <w:bookmarkStart w:id="189"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9"/>
    <w:bookmarkStart w:id="190"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90"/>
    <w:bookmarkStart w:id="191"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91"/>
    <w:bookmarkStart w:id="192"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92"/>
    <w:bookmarkStart w:id="193"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3"/>
    <w:bookmarkStart w:id="194"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4"/>
    <w:bookmarkStart w:id="195"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5"/>
    <w:bookmarkStart w:id="196"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6"/>
    <w:bookmarkStart w:id="197"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7"/>
    <w:bookmarkStart w:id="198"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8"/>
    <w:bookmarkEnd w:id="199"/>
    <w:bookmarkEnd w:id="200"/>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 to Labov et al. 2011,</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9">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33" Target="media/rId33.jpg" /><Relationship Type="http://schemas.openxmlformats.org/officeDocument/2006/relationships/image" Id="rId27" Target="media/rId27.png" /><Relationship Type="http://schemas.openxmlformats.org/officeDocument/2006/relationships/hyperlink" Id="rId74" Target="http://CRAN.R-project.org/package=lme4" TargetMode="External" /><Relationship Type="http://schemas.openxmlformats.org/officeDocument/2006/relationships/hyperlink" Id="rId122" Target="http://dx.doi.org/10.3758/BF03207536" TargetMode="External" /><Relationship Type="http://schemas.openxmlformats.org/officeDocument/2006/relationships/hyperlink" Id="rId133" Target="http://www.jstor.org/stable/522229" TargetMode="External" /><Relationship Type="http://schemas.openxmlformats.org/officeDocument/2006/relationships/hyperlink" Id="rId152" Target="https://doi.org/10.1016/j.wocn.2011.10.002" TargetMode="External" /><Relationship Type="http://schemas.openxmlformats.org/officeDocument/2006/relationships/hyperlink" Id="rId101" Target="https://doi.org/10.1016/s0010-0277(00)00123-2" TargetMode="External" /><Relationship Type="http://schemas.openxmlformats.org/officeDocument/2006/relationships/hyperlink" Id="rId80" Target="https://doi.org/10.1017/S0954394521000089" TargetMode="External" /><Relationship Type="http://schemas.openxmlformats.org/officeDocument/2006/relationships/hyperlink" Id="rId95" Target="https://doi.org/10.1037/xlm0000137" TargetMode="External" /><Relationship Type="http://schemas.openxmlformats.org/officeDocument/2006/relationships/hyperlink" Id="rId176" Target="https://doi.org/10.1093/oxfordhb/9780199600472.001.0001" TargetMode="External" /><Relationship Type="http://schemas.openxmlformats.org/officeDocument/2006/relationships/hyperlink" Id="rId78" Target="https://doi.org/10.1121/1.5101933" TargetMode="External" /><Relationship Type="http://schemas.openxmlformats.org/officeDocument/2006/relationships/hyperlink" Id="rId144" Target="https://doi.org/10.1177/0075424214531487" TargetMode="External" /><Relationship Type="http://schemas.openxmlformats.org/officeDocument/2006/relationships/hyperlink" Id="rId140" Target="https://doi.org/10.1371/journal.pone.0130834" TargetMode="External" /><Relationship Type="http://schemas.openxmlformats.org/officeDocument/2006/relationships/hyperlink" Id="rId142" Target="https://doi.org/10.3109/13682826809011440" TargetMode="External" /><Relationship Type="http://schemas.openxmlformats.org/officeDocument/2006/relationships/hyperlink" Id="rId120" Target="https://doi.org/10.3389/fpsyg.2015.00500" TargetMode="External" /><Relationship Type="http://schemas.openxmlformats.org/officeDocument/2006/relationships/hyperlink" Id="rId183" Target="https://doi.org/10.3758/BF03197491" TargetMode="External" /><Relationship Type="http://schemas.openxmlformats.org/officeDocument/2006/relationships/hyperlink" Id="rId149" Target="https://doi.org/10.3758/s13428-014-0532-5" TargetMode="External" /><Relationship Type="http://schemas.openxmlformats.org/officeDocument/2006/relationships/hyperlink" Id="rId91" Target="https://doi.org/10.4324/9781315514857-5" TargetMode="External" /><Relationship Type="http://schemas.openxmlformats.org/officeDocument/2006/relationships/hyperlink" Id="rId147"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4" Target="http://CRAN.R-project.org/package=lme4" TargetMode="External" /><Relationship Type="http://schemas.openxmlformats.org/officeDocument/2006/relationships/hyperlink" Id="rId122" Target="http://dx.doi.org/10.3758/BF03207536" TargetMode="External" /><Relationship Type="http://schemas.openxmlformats.org/officeDocument/2006/relationships/hyperlink" Id="rId133" Target="http://www.jstor.org/stable/522229" TargetMode="External" /><Relationship Type="http://schemas.openxmlformats.org/officeDocument/2006/relationships/hyperlink" Id="rId152" Target="https://doi.org/10.1016/j.wocn.2011.10.002" TargetMode="External" /><Relationship Type="http://schemas.openxmlformats.org/officeDocument/2006/relationships/hyperlink" Id="rId101" Target="https://doi.org/10.1016/s0010-0277(00)00123-2" TargetMode="External" /><Relationship Type="http://schemas.openxmlformats.org/officeDocument/2006/relationships/hyperlink" Id="rId80" Target="https://doi.org/10.1017/S0954394521000089" TargetMode="External" /><Relationship Type="http://schemas.openxmlformats.org/officeDocument/2006/relationships/hyperlink" Id="rId95" Target="https://doi.org/10.1037/xlm0000137" TargetMode="External" /><Relationship Type="http://schemas.openxmlformats.org/officeDocument/2006/relationships/hyperlink" Id="rId176" Target="https://doi.org/10.1093/oxfordhb/9780199600472.001.0001" TargetMode="External" /><Relationship Type="http://schemas.openxmlformats.org/officeDocument/2006/relationships/hyperlink" Id="rId78" Target="https://doi.org/10.1121/1.5101933" TargetMode="External" /><Relationship Type="http://schemas.openxmlformats.org/officeDocument/2006/relationships/hyperlink" Id="rId144" Target="https://doi.org/10.1177/0075424214531487" TargetMode="External" /><Relationship Type="http://schemas.openxmlformats.org/officeDocument/2006/relationships/hyperlink" Id="rId140" Target="https://doi.org/10.1371/journal.pone.0130834" TargetMode="External" /><Relationship Type="http://schemas.openxmlformats.org/officeDocument/2006/relationships/hyperlink" Id="rId142" Target="https://doi.org/10.3109/13682826809011440" TargetMode="External" /><Relationship Type="http://schemas.openxmlformats.org/officeDocument/2006/relationships/hyperlink" Id="rId120" Target="https://doi.org/10.3389/fpsyg.2015.00500" TargetMode="External" /><Relationship Type="http://schemas.openxmlformats.org/officeDocument/2006/relationships/hyperlink" Id="rId183" Target="https://doi.org/10.3758/BF03197491" TargetMode="External" /><Relationship Type="http://schemas.openxmlformats.org/officeDocument/2006/relationships/hyperlink" Id="rId149" Target="https://doi.org/10.3758/s13428-014-0532-5" TargetMode="External" /><Relationship Type="http://schemas.openxmlformats.org/officeDocument/2006/relationships/hyperlink" Id="rId91" Target="https://doi.org/10.4324/9781315514857-5" TargetMode="External" /><Relationship Type="http://schemas.openxmlformats.org/officeDocument/2006/relationships/hyperlink" Id="rId147"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2024-12-09T19:18:11Z</dcterms:created>
  <dcterms:modified xsi:type="dcterms:W3CDTF">2024-12-09T19:18:11Z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2024-12-09</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