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51.png" ContentType="image/png"/>
  <Override PartName="/word/media/rId61.png" ContentType="image/png"/>
  <Override PartName="/word/media/rId56.png" ContentType="image/png"/>
  <Override PartName="/word/media/rId34.jpg" ContentType="image/jpe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incongruity, and listener awareness</w:t>
      </w:r>
    </w:p>
    <w:p>
      <w:pPr>
        <w:pStyle w:val="Author"/>
      </w:pPr>
      <w:r>
        <w:t xml:space="preserve">Kyler Laycock</w:t>
      </w:r>
    </w:p>
    <w:p>
      <w:pPr>
        <w:pStyle w:val="Author"/>
      </w:pPr>
      <w:r>
        <w:t xml:space="preserve">Kevin B. McGowan</w:t>
      </w:r>
    </w:p>
    <w:p>
      <w:pPr>
        <w:pStyle w:val="Date"/>
      </w:pPr>
      <w:r>
        <w:t xml:space="preserve">2025-03-05</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1999; Strand &amp; Johnson, 1996)</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6" w:name="sec-intro"/>
    <w:p>
      <w:pPr>
        <w:pStyle w:val="Heading1"/>
      </w:pPr>
      <w:r>
        <w:t xml:space="preserve">Introduction</w:t>
      </w:r>
    </w:p>
    <w:p>
      <w:pPr>
        <w:pStyle w:val="FirstParagraph"/>
      </w:pPr>
      <w:r>
        <w:t xml:space="preserve">It is well established that social information can influence how listeners perceive</w:t>
      </w:r>
      <w:r>
        <w:t xml:space="preserve"> </w:t>
      </w:r>
      <w:r>
        <w:t xml:space="preserve">(Foulkes &amp; Docherty, 2006)</w:t>
      </w:r>
      <w:r>
        <w:t xml:space="preserve">, retrieve</w:t>
      </w:r>
      <w:r>
        <w:t xml:space="preserve"> </w:t>
      </w:r>
      <w:r>
        <w:t xml:space="preserve">(Walker &amp; Hay, 2011)</w:t>
      </w:r>
      <w:r>
        <w:t xml:space="preserve">, and even remember</w:t>
      </w:r>
      <w:r>
        <w:t xml:space="preserve"> </w:t>
      </w:r>
      <w:r>
        <w:t xml:space="preserve">(Nygaard et al., 1994)</w:t>
      </w:r>
      <w:r>
        <w:t xml:space="preserve"> </w:t>
      </w:r>
      <w:r>
        <w:t xml:space="preserve">the linguistic aspect of the speech signal. There is also abundant, converging evidence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2014; Bucholtz, 2002)</w:t>
      </w:r>
      <w:r>
        <w:t xml:space="preserve">. Gender is a culturally-situated practice, and social meaning is performed through voices that simultaneously produce the distinctions necessary for both social and linguistic meaning</w:t>
      </w:r>
      <w:r>
        <w:t xml:space="preserve"> </w:t>
      </w:r>
      <w:r>
        <w:t xml:space="preserve">(Bucholtz &amp; Hall, 2016; Hall et al., 2021; Podesva &amp; Kajino, 2014; Sumner et al., 2014)</w:t>
      </w:r>
      <w:r>
        <w:t xml:space="preserve">. This intersection of the construction of social and linguistic meaning via precise, dynamic speech articulation is perhaps nowhere more evident than in the palato-alveolar and alveolar fricative categories, [ʃ] and [s]</w:t>
      </w:r>
      <w:r>
        <w:t xml:space="preserve"> </w:t>
      </w:r>
      <w:r>
        <w:t xml:space="preserve">(Calder, 2018; Mack &amp; Munson, 2012a; Pharao et al., 2014; Strand, 1999)</w:t>
      </w:r>
      <w:r>
        <w:t xml:space="preserve">. To investigate the role of awareness in sociophonetic perception, this paper reports an audiovisual matched guise experiment, modeled on</w:t>
      </w:r>
      <w:r>
        <w:t xml:space="preserve"> </w:t>
      </w:r>
      <w:r>
        <w:t xml:space="preserve">Strand &amp; Johnson (1996)</w:t>
      </w:r>
      <w:r>
        <w:t xml:space="preserve"> </w:t>
      </w:r>
      <w:r>
        <w:t xml:space="preserve">and subsequent work, but with a novel</w:t>
      </w:r>
      <w:r>
        <w:t xml:space="preserve"> </w:t>
      </w:r>
      <w:r>
        <w:t xml:space="preserve">‘unhidden’</w:t>
      </w:r>
      <w:r>
        <w:t xml:space="preserve"> </w:t>
      </w:r>
      <w:r>
        <w:t xml:space="preserve">condition in which listeners are informed about the nature of the guise manipulations. In doing so, we seek to explore the relationship between beliefs about talker gender and fricative categories and the ways in which social and linguistic knowledge are integrated in perception.</w:t>
      </w:r>
    </w:p>
    <w:p>
      <w:pPr>
        <w:pStyle w:val="BodyText"/>
      </w:pPr>
      <w:r>
        <w:t xml:space="preserve">There is, however, little consensus around the extent to which language users are aware of, and can control, these fine gradations of social meaning in production and perception. There are actually conflicting meanings of the word</w:t>
      </w:r>
      <w:r>
        <w:t xml:space="preserve"> </w:t>
      </w:r>
      <w:r>
        <w:rPr>
          <w:i/>
          <w:iCs/>
        </w:rPr>
        <w:t xml:space="preserve">perception</w:t>
      </w:r>
      <w:r>
        <w:t xml:space="preserve"> </w:t>
      </w:r>
      <w:r>
        <w:t xml:space="preserve">used interchangeably in the various relevant literatures. This lack of consensus leads to results that are difficult to interpret across disciplinary and even sub-disciplinary boundaries and limits our ability to benefit from one another’s work; even creating an apparent paradox in which sociophonetic perception appears to be at once sensitive to fine phonetic detail and able to erase details that are inconsistent with our social expectations</w:t>
      </w:r>
      <w:r>
        <w:t xml:space="preserve"> </w:t>
      </w:r>
      <w:r>
        <w:t xml:space="preserve">(Babel, this issue)</w:t>
      </w:r>
      <w:r>
        <w:t xml:space="preserve">. It is our hope that one key contribution of this paper will be to build on the general framing provided by (Babel, Campbell-Kibler, and McGowan, this issue) and to bridge gaps between research in segmental speech perception and research in sociolinguistics, linguistic anthropology, and social psychology.</w:t>
      </w:r>
    </w:p>
    <w:bookmarkStart w:id="21" w:name="sec-background"/>
    <w:p>
      <w:pPr>
        <w:pStyle w:val="Heading2"/>
      </w:pPr>
      <w:r>
        <w:t xml:space="preserve">Awareness &amp; Control in Speech Production and Perception</w:t>
      </w:r>
    </w:p>
    <w:p>
      <w:pPr>
        <w:pStyle w:val="FirstParagraph"/>
      </w:pPr>
      <w:r>
        <w:t xml:space="preserve">In this paper, we use</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Bakhtin, 1981; D’Onofrio, 2021)</w:t>
      </w:r>
      <w:r>
        <w:t xml:space="preserve">. The cognitive reality of this tripartite relationship between the concepts of gender identities and instances of fine phonetic detail is essential for the performance of those identities. This requirement holds regardless of speaker and listener awareness. It even holds if what the listener believes about the speaker is false; a monolingual American listener might expect a Beijing voice to be non-rhotic</w:t>
      </w:r>
      <w:r>
        <w:t xml:space="preserve"> </w:t>
      </w:r>
      <w:r>
        <w:t xml:space="preserve">(McGowan, 2016)</w:t>
      </w:r>
      <w:r>
        <w:t xml:space="preserve">, Japanese women to use final particles</w:t>
      </w:r>
      <w:r>
        <w:t xml:space="preserve"> </w:t>
      </w:r>
      <w:r>
        <w:t xml:space="preserve">(Inoue, 2003)</w:t>
      </w:r>
      <w:r>
        <w:t xml:space="preserve">, or a gay male voice to have a lisp</w:t>
      </w:r>
      <w:r>
        <w:t xml:space="preserve"> </w:t>
      </w:r>
      <w:r>
        <w:t xml:space="preserve">(Mack &amp;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w:t>
      </w:r>
      <w:r>
        <w:t xml:space="preserve"> </w:t>
      </w:r>
      <w:r>
        <w:t xml:space="preserve">(Laver, 1968)</w:t>
      </w:r>
      <w:r>
        <w:t xml:space="preserve">. Indeed, children as young as 4, well before puberty, can do precisely this</w:t>
      </w:r>
      <w:r>
        <w:t xml:space="preserve"> </w:t>
      </w:r>
      <w:r>
        <w:t xml:space="preserve">(Perry et al.,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pitch as the primary, biological phonetic detail associated with gender performance</w:t>
      </w:r>
      <w:r>
        <w:t xml:space="preserve"> </w:t>
      </w:r>
      <w:r>
        <w:t xml:space="preserve">(Foulkes &amp; Docherty, 2006, p. 411)</w:t>
      </w:r>
      <w:r>
        <w:t xml:space="preserve">; but this cue is neither necessary nor sufficient for the production and perception of gender identity</w:t>
      </w:r>
      <w:r>
        <w:t xml:space="preserve"> </w:t>
      </w:r>
      <w:r>
        <w:t xml:space="preserve">(Johnson, 2005; Zimman, 2017)</w:t>
      </w:r>
      <w:r>
        <w:t xml:space="preserve">.</w:t>
      </w:r>
    </w:p>
    <w:p>
      <w:pPr>
        <w:pStyle w:val="BodyText"/>
      </w:pPr>
      <w:r>
        <w:t xml:space="preserve">In perception, the concept of control is less intuitive. We stipulate that the ability to link a social label to its phonetic reflexes is just as clearly a task for the listener as it is for the speaker</w:t>
      </w:r>
      <w:r>
        <w:t xml:space="preserve"> </w:t>
      </w:r>
      <w:r>
        <w:t xml:space="preserve">(Babel, this issue; D’Onofrio, 2021)</w:t>
      </w:r>
      <w:r>
        <w:t xml:space="preserve">. For social meaning making to occur in interaction</w:t>
      </w:r>
      <w:r>
        <w:t xml:space="preserve"> </w:t>
      </w:r>
      <w:r>
        <w:t xml:space="preserve">(Sharma, this issue)</w:t>
      </w:r>
      <w:r>
        <w:t xml:space="preserve">, a listener must be able to control, to link, the auditory cues of a performed gender identity to the cognitive representation of that identity just as much as a speaker must be capable of the gestural control required to implement the phonetics. None of this control requires introspective awareness as perception and attention are both possible without awareness</w:t>
      </w:r>
      <w:r>
        <w:t xml:space="preserve"> </w:t>
      </w:r>
      <w:r>
        <w:t xml:space="preserve">(Craik et al., 2015; Dehaene &amp; Naccache, 2001; Prinz, 2015)</w:t>
      </w:r>
      <w:r>
        <w:t xml:space="preserve">.</w:t>
      </w:r>
    </w:p>
    <w:p>
      <w:pPr>
        <w:pStyle w:val="BodyText"/>
      </w:pPr>
      <w:r>
        <w:t xml:space="preserve">Clarifying these definitions and exploring their implications for the sociophonetic perception of gender is important because gender performance &amp; perception is a phenomenon that crosses disciplinary and subdisciplinary boundaries and approaches to language and social meaning. These varying disciplinary contexts employ quite different, sometimes contradictory, assumptions and theoretical commitments about the extent to which language users can bring aspects of perception into introspective awareness and control (conscious or otherwise). Exemplifying this, there are at least two, quite distinct, meanings in regular use for the word</w:t>
      </w:r>
      <w:r>
        <w:t xml:space="preserve"> </w:t>
      </w:r>
      <w:r>
        <w:rPr>
          <w:i/>
          <w:iCs/>
        </w:rPr>
        <w:t xml:space="preserve">perception</w:t>
      </w:r>
      <w:r>
        <w:t xml:space="preserve"> </w:t>
      </w:r>
      <w:r>
        <w:t xml:space="preserve">(Drager &amp; Kirtley, 2016a; McGowan &amp; Babel, 2020)</w:t>
      </w:r>
      <w:r>
        <w:t xml:space="preserve">.</w:t>
      </w:r>
    </w:p>
    <w:p>
      <w:pPr>
        <w:pStyle w:val="BodyText"/>
      </w:pPr>
      <w:r>
        <w:t xml:space="preserve">Within phonetics and psycholinguistics, speech perception is construed as the processing of sensory input</w:t>
      </w:r>
      <w:r>
        <w:t xml:space="preserve"> </w:t>
      </w:r>
      <w:r>
        <w:t xml:space="preserve">(cf. Evans, 2008, pp.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&amp; Marslen-Wilson, 2002; Goldinger, 1998)</w:t>
      </w:r>
      <w:r>
        <w:t xml:space="preserve">. Perception, thus construed, is typically assumed to be automatic and to occur largely below the level of conscious awareness</w:t>
      </w:r>
      <w:r>
        <w:t xml:space="preserve"> </w:t>
      </w:r>
      <w:r>
        <w:t xml:space="preserve">(Joos, 1948, p. 63)</w:t>
      </w:r>
      <w:r>
        <w:t xml:space="preserve">, inaccessible to introspection even by researchers themselves</w:t>
      </w:r>
      <w:r>
        <w:t xml:space="preserve"> </w:t>
      </w:r>
      <w:r>
        <w:t xml:space="preserve">(Whalen, 1984)</w:t>
      </w:r>
      <w:r>
        <w:t xml:space="preserve">. Indeed, lack of awareness is taken as evidence of a</w:t>
      </w:r>
      <w:r>
        <w:t xml:space="preserve"> </w:t>
      </w:r>
      <w:r>
        <w:t xml:space="preserve">“true perceptual phenomenon”</w:t>
      </w:r>
      <w:r>
        <w:t xml:space="preserve"> </w:t>
      </w:r>
      <w:r>
        <w:t xml:space="preserve">for the McGurk effect,</w:t>
      </w:r>
      <w:r>
        <w:t xml:space="preserve"> </w:t>
      </w:r>
      <w:r>
        <w:t xml:space="preserve">(Repp, 1982, p. 40)</w:t>
      </w:r>
      <w:r>
        <w:t xml:space="preserve">, perceptual weighting of acoustic cues (p. 174), and phoneme restoration</w:t>
      </w:r>
      <w:r>
        <w:t xml:space="preserve"> </w:t>
      </w:r>
      <w:r>
        <w:t xml:space="preserve">(Ganong, 1980, p. 1)</w:t>
      </w:r>
      <w:r>
        <w:t xml:space="preserve">.</w:t>
      </w:r>
    </w:p>
    <w:p>
      <w:pPr>
        <w:pStyle w:val="BodyText"/>
      </w:pPr>
      <w:r>
        <w:t xml:space="preserve">The other meaning of speech perception in common use describes a higher-level, sometimes implicit, evaluative judgement of talkers and voices</w:t>
      </w:r>
      <w:r>
        <w:t xml:space="preserve"> </w:t>
      </w:r>
      <w:r>
        <w:t xml:space="preserve">(cf. Evans, 2008, pp. ‘type 2’ processing)</w:t>
      </w:r>
      <w:r>
        <w:t xml:space="preserve">. This is the meaning of perception employed in folk linguistics</w:t>
      </w:r>
      <w:r>
        <w:t xml:space="preserve"> </w:t>
      </w:r>
      <w:r>
        <w:t xml:space="preserve">(Niedzielski &amp;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 </w:t>
      </w:r>
      <w:r>
        <w:t xml:space="preserve">(Labov et al., 2011)</w:t>
      </w:r>
      <w:r>
        <w:t xml:space="preserve">. Importantly for the present study, this higher, evaluative level of perception is also the level for which the Matched Guise Technique (MGT) was originally developed.</w:t>
      </w:r>
    </w:p>
    <w:p>
      <w:pPr>
        <w:pStyle w:val="BodyText"/>
      </w:pPr>
      <w:r>
        <w:t xml:space="preserve">One perhaps surprising, but recurring, demonstration of the two distinct levels of perception is that, when both levels are examined in the same study, listeners’ low level perceptions and high level evaluations need not agree.</w:t>
      </w:r>
      <w:r>
        <w:t xml:space="preserve"> </w:t>
      </w:r>
      <w:r>
        <w:t xml:space="preserve">McGowan &amp; Babel (2020)</w:t>
      </w:r>
      <w:r>
        <w:t xml:space="preserve">, for example, found that listeners’ performance on a vowel discrimination task and subsequent commentaries on the voices in that task sometimes agreed but more typically diverged. Furthermore, when they diverged, segmental perception tracked vowel categories established by the listeners’ previous experience with the voice, but evaluations of the talker much more closely tracked language ideologies regarding the social labels provided by the experiment. Indeed, several participants explicitly commented on the differences between the fricatives used by the two guises; speech sounds that had been held identical in the stimuli</w:t>
      </w:r>
      <w:r>
        <w:t xml:space="preserve"> </w:t>
      </w:r>
      <w:r>
        <w:t xml:space="preserve">(Babel, this issue)</w:t>
      </w:r>
      <w:r>
        <w:t xml:space="preserve">. McGowan and Babel attempt to demonstrate that participants</w:t>
      </w:r>
      <w:r>
        <w:t xml:space="preserve"> </w:t>
      </w:r>
      <w:r>
        <w:rPr>
          <w:i/>
          <w:iCs/>
        </w:rPr>
        <w:t xml:space="preserve">believed</w:t>
      </w:r>
      <w:r>
        <w:t xml:space="preserve"> </w:t>
      </w:r>
      <w:r>
        <w:t xml:space="preserve">the guise manipulation, but the stark difference between performances on the vowel discrimination task and evaluative commentary about each guise, leaves open the possibility that listeners became aware of the guise manipulation and were responding out of politeness or a desire to do well in the experiment.</w:t>
      </w:r>
    </w:p>
    <w:p>
      <w:pPr>
        <w:pStyle w:val="BodyText"/>
      </w:pPr>
      <w:r>
        <w:t xml:space="preserve">This recurring disjunction in listeners’ implicit and explicit responses, even within a speaker evaluation paradigm, points to what</w:t>
      </w:r>
      <w:r>
        <w:t xml:space="preserve"> </w:t>
      </w:r>
      <w:r>
        <w:t xml:space="preserve">Kristiansen (2009, p.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w:t>
      </w:r>
      <w:r>
        <w:t xml:space="preserve">The picture that is emerging is one of simultaneous, layered complexity in the interactive process of social meaning making. A listener to even a single spoken word combines multi-modal sensory information, their own experiences with language, social meanings, stereotypes, and anticipated socioindexical vocal properties. Rather than the outcome of perception (broadly construed) being a simple lexical item, a set of speech segments, a single attitude, or a summary evaluative judgement, the listener’s subjective experience appears to be a rich, potentially contradictory, superposition of all of these perceptual outcomes.</w:t>
      </w:r>
    </w:p>
    <w:bookmarkEnd w:id="21"/>
    <w:bookmarkStart w:id="22" w:name="sec-mgt"/>
    <w:p>
      <w:pPr>
        <w:pStyle w:val="Heading2"/>
      </w:pPr>
      <w:r>
        <w:t xml:space="preserve">Matched Guise: Perception, Evaluation, and Awareness</w:t>
      </w:r>
    </w:p>
    <w:p>
      <w:pPr>
        <w:pStyle w:val="FirstParagraph"/>
      </w:pPr>
      <w:r>
        <w:t xml:space="preserve">Originally, the MGT used the same talkers across guises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(Lambert et al., 1960; Laver, 1968)</w:t>
      </w:r>
      <w:r>
        <w:t xml:space="preserve">. Lambert et al. were clearly concerned that the evaluative judgements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p. 44)</w:t>
      </w:r>
      <w:r>
        <w:t xml:space="preserve">.</w:t>
      </w:r>
      <w:r>
        <w:t xml:space="preserve"> </w:t>
      </w:r>
      <w:r>
        <w:t xml:space="preserve">Pharao &amp; Kristiansen (2019, p. 2)</w:t>
      </w:r>
      <w:r>
        <w:t xml:space="preserve"> </w:t>
      </w:r>
      <w:r>
        <w:t xml:space="preserve">note that researchers, across both psychology of language and sociolinguistic traditions, go to great lengths to ensure this lack of awareness.</w:t>
      </w:r>
    </w:p>
    <w:p>
      <w:pPr>
        <w:pStyle w:val="BodyText"/>
      </w:pPr>
      <w:r>
        <w:t xml:space="preserve">Matched Guise studies do not always employ the same talker across guises, but this too appears to be motivated by awareness and control.</w:t>
      </w:r>
      <w:r>
        <w:t xml:space="preserve"> </w:t>
      </w:r>
      <w:r>
        <w:t xml:space="preserve">Milroy &amp;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 in different guises…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Implicit here is the corresponding concern that listeners will be sensitive to inauthentic details in the performance and thus not</w:t>
      </w:r>
      <w:r>
        <w:t xml:space="preserve"> </w:t>
      </w:r>
      <w:r>
        <w:rPr>
          <w:i/>
          <w:iCs/>
        </w:rPr>
        <w:t xml:space="preserve">believe</w:t>
      </w:r>
      <w:r>
        <w:t xml:space="preserve"> </w:t>
      </w:r>
      <w:r>
        <w:t xml:space="preserve">the mimicked accents.</w:t>
      </w:r>
    </w:p>
    <w:p>
      <w:pPr>
        <w:pStyle w:val="BodyText"/>
      </w:pPr>
      <w:r>
        <w:t xml:space="preserve">Listeners in this task provided both subjective evaluations of personal characteristics of each talker and were asked to name the region associated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2025; Clopper &amp; Pisoni, 2004)</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The Matched Guise technique has been deployed in numerous configurations, but, at its core, the technique almost always employs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&amp;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(Chan, 2021; Hadodo, this issue)</w:t>
      </w:r>
      <w:r>
        <w:t xml:space="preserve">.</w:t>
      </w:r>
    </w:p>
    <w:p>
      <w:pPr>
        <w:pStyle w:val="BodyText"/>
      </w:pPr>
      <w:r>
        <w:t xml:space="preserve">In sociophonetic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Hay, Warren, et al., 2006; McGowan, 2015)</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&amp;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Considering these multiple, potentially contradictory, levels of perception separately may help us unravel the apparent paradox noted above. Studies using late, evaluative, measures likely do not provide insight on segmental perception because behavior obtained late in processing potentially involves layers of awareness and control that block access to the initial online percept for listeners and researchers alike</w:t>
      </w:r>
      <w:r>
        <w:t xml:space="preserve"> </w:t>
      </w:r>
      <w:r>
        <w:t xml:space="preserve">(Campbell-Kibler, 2012; McGowan &amp; Babel, 2020)</w:t>
      </w:r>
      <w:r>
        <w:t xml:space="preserve">. By the same token, studies using segmental or lexical measures likely do not provide clear insight into participants’ subjective experience of the social qualities of a voice. To understand how these levels of perception may interact and how awareness of the guise manipulation may influence behavior, the present study uses the inverted MGT to test listeners’ segmental perceptions of an [ʃ]-[s] fricative continuum under both different guise and awareness conditions.</w:t>
      </w:r>
    </w:p>
    <w:bookmarkEnd w:id="22"/>
    <w:bookmarkStart w:id="23" w:name="sec-fricative-gender"/>
    <w:p>
      <w:pPr>
        <w:pStyle w:val="Heading2"/>
      </w:pPr>
      <w:r>
        <w:t xml:space="preserve">Segmental perception: [ʃ]-[s] perception</w:t>
      </w:r>
    </w:p>
    <w:p>
      <w:pPr>
        <w:pStyle w:val="FirstParagraph"/>
      </w:pPr>
      <w:r>
        <w:t xml:space="preserve">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(cf. Johnson, 2005)</w:t>
      </w:r>
      <w:r>
        <w:t xml:space="preserve">. In the following two subsections, we will lay out our understanding of the relationship between this phonetic variation and its social interpretation as a form of interactive social meaning-making.</w:t>
      </w:r>
    </w:p>
    <w:p>
      <w:pPr>
        <w:pStyle w:val="BodyText"/>
      </w:pPr>
      <w:r>
        <w:t xml:space="preserve">Articulatorily, these fricatives mainly differ in constriction width (the extent of apical contact) and place (the distance between the point of lingual articulation and the teeth). The resonance of the resulting space behind the teeth gives these sounds their characteristic sibilance</w:t>
      </w:r>
      <w:r>
        <w:t xml:space="preserve"> </w:t>
      </w:r>
      <w:r>
        <w:t xml:space="preserve">(Fant, 1960; Shadle, 1991)</w:t>
      </w:r>
      <w:r>
        <w:t xml:space="preserve">. English [s] has a short resonating chamber behind the teeth with a narrow constriction. English [ʃ] has a comparatively larger resonating chamber and wider constriction,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(Eckert, 2012; Ohala, 1994)</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although sociophonetic differences and biological differences both contribute to observable patterns of gendered fricative production in English</w:t>
      </w:r>
      <w:r>
        <w:t xml:space="preserve"> </w:t>
      </w:r>
      <w:r>
        <w:t xml:space="preserve">(Fuchs &amp; Toda, 2010)</w:t>
      </w:r>
      <w:r>
        <w:t xml:space="preserve">. This gendered fricative effect is, in practice, entirely separable from between-speaker differences in fundamental frequency (F0) and, like F0, can be used to perform and perceive gender identity.</w:t>
      </w:r>
    </w:p>
    <w:p>
      <w:pPr>
        <w:pStyle w:val="BodyText"/>
      </w:pPr>
      <w:r>
        <w:t xml:space="preserve">Listeners are so acutely sensitive to the alignment of these acoustic facts and cultural associations that perceived gender and fricative category participate in a relationship that is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(Munson, 2011; Strand &amp; Johnson, 1996)</w:t>
      </w:r>
      <w:r>
        <w:t xml:space="preserve">, but a lower fricative consistent with a larger vocal tract is perceived as more masculine</w:t>
      </w:r>
      <w:r>
        <w:t xml:space="preserve"> </w:t>
      </w:r>
      <w:r>
        <w:t xml:space="preserve">(Bouavichith et al., 2019)</w:t>
      </w:r>
      <w:r>
        <w:t xml:space="preserve">, resulting in more looks to a prototypically male face than a prototypically female face when the task is listening to a word and answering</w:t>
      </w:r>
      <w:r>
        <w:t xml:space="preserve"> </w:t>
      </w:r>
      <w:r>
        <w:t xml:space="preserve">“who do you hear?”</w:t>
      </w:r>
      <w:r>
        <w:t xml:space="preserve"> </w:t>
      </w:r>
      <w:r>
        <w:t xml:space="preserve">rather than</w:t>
      </w:r>
      <w:r>
        <w:t xml:space="preserve"> </w:t>
      </w:r>
      <w:r>
        <w:t xml:space="preserve">“what do you hear?”</w:t>
      </w:r>
    </w:p>
    <w:p>
      <w:pPr>
        <w:pStyle w:val="BodyText"/>
      </w:pPr>
      <w:r>
        <w:t xml:space="preserve">Strand &amp; Johnson (1996)</w:t>
      </w:r>
      <w:r>
        <w:t xml:space="preserve"> </w:t>
      </w:r>
      <w:r>
        <w:t xml:space="preserve">conducted a pair of experiments investigating the influence of the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(Mann &amp;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paired with a non-prototypical talker can shift perception of the [ʃ]-[s] continuum such that listeners report hearing a higher proportion of the continuum as [ʃ] when watching a female talker and a higher proportion of the same continuum as [s] when watching a male talker.</w:t>
      </w:r>
    </w:p>
    <w:bookmarkEnd w:id="23"/>
    <w:bookmarkStart w:id="24" w:name="sec-gender"/>
    <w:p>
      <w:pPr>
        <w:pStyle w:val="Heading2"/>
      </w:pPr>
      <w:r>
        <w:t xml:space="preserve">Phonetics, Speech Perception, and the Social-Construction of Gender</w:t>
      </w:r>
    </w:p>
    <w:p>
      <w:pPr>
        <w:pStyle w:val="FirstParagraph"/>
      </w:pPr>
      <w:r>
        <w:t xml:space="preserve">Phonetics has traditionally treated gender as a simple, automatic projection from biological sex onto social identity</w:t>
      </w:r>
      <w:r>
        <w:t xml:space="preserve"> </w:t>
      </w:r>
      <w:r>
        <w:t xml:space="preserve">(Daniel et al., 2007; Sawusch, 2005)</w:t>
      </w:r>
      <w:r>
        <w:t xml:space="preserve"> </w:t>
      </w:r>
      <w:r>
        <w:t xml:space="preserve">that listeners need to normalize away</w:t>
      </w:r>
      <w:r>
        <w:t xml:space="preserve"> </w:t>
      </w:r>
      <w:r>
        <w:t xml:space="preserve">(Johnson, 2005)</w:t>
      </w:r>
      <w:r>
        <w:t xml:space="preserve"> </w:t>
      </w:r>
      <w:r>
        <w:t xml:space="preserve">to facilitate linguistic perception. Even within sociolinguistics where conceptualizations of gender have long been more nuanced, perception research has</w:t>
      </w:r>
      <w:r>
        <w:t xml:space="preserve"> </w:t>
      </w:r>
      <w:r>
        <w:t xml:space="preserve">“retained a basically binary view of gender”</w:t>
      </w:r>
      <w:r>
        <w:t xml:space="preserve"> </w:t>
      </w:r>
      <w:r>
        <w:t xml:space="preserve">(Campbell-Kibler &amp; miles-hercules, 2021, p. 52)</w:t>
      </w:r>
      <w:r>
        <w:t xml:space="preserve">. This may be due to the simple expedient that experimenters need stimuli to</w:t>
      </w:r>
      <w:r>
        <w:t xml:space="preserve"> </w:t>
      </w:r>
      <w:r>
        <w:rPr>
          <w:i/>
          <w:iCs/>
        </w:rPr>
        <w:t xml:space="preserve">work</w:t>
      </w:r>
      <w:r>
        <w:t xml:space="preserve"> </w:t>
      </w:r>
      <w:r>
        <w:t xml:space="preserve">for a large cross-section of listeners despite tremendous individual difference and cultural mismatches in both the range of gender categories and variation within those categories</w:t>
      </w:r>
      <w:r>
        <w:t xml:space="preserve"> </w:t>
      </w:r>
      <w:r>
        <w:t xml:space="preserve">(Eckert &amp; Podesva, 2021)</w:t>
      </w:r>
      <w:r>
        <w:t xml:space="preserve">. Listeners can only make use of phonetic variation if it is indexed for them in experience or ideology</w:t>
      </w:r>
      <w:r>
        <w:t xml:space="preserve"> </w:t>
      </w:r>
      <w:r>
        <w:t xml:space="preserve">(Barrett &amp; Hall, 2024; Drager, 2010)</w:t>
      </w:r>
      <w:r>
        <w:t xml:space="preserve">. The creation and use of stimuli that are controlled by a large group of listeners maximizes the probability that a perception experiment will find an interpretable result.</w:t>
      </w:r>
    </w:p>
    <w:p>
      <w:pPr>
        <w:pStyle w:val="BodyText"/>
      </w:pPr>
      <w:r>
        <w:t xml:space="preserve">However, a binary view of gender is inconsistent with the available evidence: gendered variation in such phonetic cues as fundamental frequency, formants, and fricatives is not purely the result of vocal tract biology but also gestural coordination and performance. Small variations attributable to secondary sex characteristics become available as the semiotic building blocks of gender identity. People who identify as male, female, non-binary, intersex, etc. perform that identity through articulatory gesture. Trans men, even while experiencing the very real physical consequences of hormone treatments, must also adopt masculinizing alternations to their speech gestures if their goal is to produce a masculine-sounding voice</w:t>
      </w:r>
      <w:r>
        <w:t xml:space="preserve"> </w:t>
      </w:r>
      <w:r>
        <w:t xml:space="preserve">(Zimman, 2018)</w:t>
      </w:r>
      <w:r>
        <w:t xml:space="preserve">. Gender is more likely the product of, rather than an explanation for, linguistic variation</w:t>
      </w:r>
      <w:r>
        <w:t xml:space="preserve"> </w:t>
      </w:r>
      <w:r>
        <w:t xml:space="preserve">(Eckert &amp; Podesva, 2021)</w:t>
      </w:r>
      <w:r>
        <w:t xml:space="preserve">.</w:t>
      </w:r>
    </w:p>
    <w:p>
      <w:pPr>
        <w:pStyle w:val="BodyText"/>
      </w:pPr>
      <w:r>
        <w:t xml:space="preserve">Vowels, for example, in both their linguistic and social aspects, are the acoustic consequence of gestural control.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(Alpert, 2014; Käng, 2013)</w:t>
      </w:r>
      <w:r>
        <w:t xml:space="preserve">. Pre-pubescent children perform adult-like vowel formant patterns because they are socialized to use the cultural and linguistic resources available to communicate their assigned gender to others just as adults do. Humans are meaning-making agents, not deterministically resonating meat tubes.</w:t>
      </w:r>
    </w:p>
    <w:bookmarkEnd w:id="24"/>
    <w:bookmarkStart w:id="25" w:name="the-present-study"/>
    <w:p>
      <w:pPr>
        <w:pStyle w:val="Heading2"/>
      </w:pPr>
      <w:r>
        <w:t xml:space="preserve">The present study</w:t>
      </w:r>
    </w:p>
    <w:p>
      <w:pPr>
        <w:pStyle w:val="FirstParagraph"/>
      </w:pPr>
      <w:r>
        <w:t xml:space="preserve">Here we take advantage of the sociophonetic trading relation between listeners’ gender and fricative categories to explore the role of awareness and control in socioindexical speech perception. We report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&amp;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(Stecker &amp; D’Onofrio, 2025; Tripp &amp; Munson, 2022)</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w:t>
      </w:r>
    </w:p>
    <w:p>
      <w:pPr>
        <w:pStyle w:val="BodyText"/>
      </w:pPr>
      <w:r>
        <w:t xml:space="preserve">Unusually, participants in the present study’s</w:t>
      </w:r>
      <w:r>
        <w:t xml:space="preserve"> </w:t>
      </w:r>
      <w:r>
        <w:t xml:space="preserve">‘unhidden’</w:t>
      </w:r>
      <w:r>
        <w:t xml:space="preserve"> </w:t>
      </w:r>
      <w:r>
        <w:t xml:space="preserve">condition were briefed in the instructions about the guise manipulation. They were instructed that the man or woman in the photo was not associated with the voice they would hear.</w:t>
      </w:r>
      <w:r>
        <w:t xml:space="preserve"> </w:t>
      </w:r>
      <w:r>
        <w:t xml:space="preserve">Campbell-Kibler (2021)</w:t>
      </w:r>
      <w:r>
        <w:t xml:space="preserve">, using a similar manipulation, finds that listeners have some ability to disregard social information when making accentedness or attractiveness judgements but that influence of available social information, particularly from the voice, is difficult to disregard completely.</w:t>
      </w:r>
      <w:r>
        <w:t xml:space="preserve"> </w:t>
      </w:r>
    </w:p>
    <w:bookmarkEnd w:id="25"/>
    <w:bookmarkEnd w:id="26"/>
    <w:bookmarkStart w:id="42" w:name="sec-method"/>
    <w:p>
      <w:pPr>
        <w:pStyle w:val="Heading1"/>
      </w:pPr>
      <w:r>
        <w:t xml:space="preserve">Method</w:t>
      </w:r>
    </w:p>
    <w:bookmarkStart w:id="27"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provided language history and demographic data as part of Prolific’s general pre-screening questionnaire. Participation was restricted to a standard sample of desktop computer users located in the USA, who spent their childhoods in the US, spoke English as their first and primary language, and having no known language or hearing difficulties. Additionally, due to an audio playback restriction imposed by Apple Computer, the Safari browser could not be used. Participants were urged only to accept the task if they could do so in a quiet, distraction-free space, and wearing headphones for the 6 to 10 minute duration of the experiment (average time: 6:51). Headphone usage was not verified within the instrument.</w:t>
      </w:r>
    </w:p>
    <w:p>
      <w:pPr>
        <w:pStyle w:val="BodyText"/>
      </w:pPr>
      <w:r>
        <w:t xml:space="preserve">Participants were paid $3 for their time, prorated from a projected rate of $20/hour (actual rate: $26.29/hour). This same instrument was piloted in the Speech Perception lab of The Ohio State University. While reaction times online were generally slower than in-person, results from the online administration were generally consistent with pilot results collected under laboratory conditions. Four participants were excluded for low accuracy rates (below 85%).</w:t>
      </w:r>
    </w:p>
    <w:bookmarkEnd w:id="27"/>
    <w:bookmarkStart w:id="33" w:name="sec-stimuli"/>
    <w:p>
      <w:pPr>
        <w:pStyle w:val="Heading2"/>
      </w:pPr>
      <w:r>
        <w:t xml:space="preserve">Stimulus Materials</w:t>
      </w:r>
    </w:p>
    <w:bookmarkStart w:id="32"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generously shared with us, contain two parts, both of which are drawn from synthetic continua: a fricative onset and a VC rime. The fricative onsets comprise a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by</w:t>
      </w:r>
      <w:r>
        <w:t xml:space="preserve"> </w:t>
      </w:r>
      <w:r>
        <w:t xml:space="preserve">Strand &amp; Johnson (1996)</w:t>
      </w:r>
      <w:r>
        <w:t xml:space="preserve">). Centers of Gravity ranged from a low of 3.2 kHz (/ʃ/-like) to a high of 7 kHz (/s/-like). This continuum is essential to the design as it allowed us to observe any influence of purported gender on listeners’ behavioral responses.</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w:t>
      </w:r>
      <w:r>
        <w:t xml:space="preserve">These five-step rime continua were created by evenly spacing mean F0 across consecutive steps such that the male-spoken /æk/ continuum increased F0 frequency and formant spacing from unmodified values in a feminizing direction. Conversely, the female talker’s /æk/ continuum decreased both parameters from unmodified productions to create a continuum in a masculinizing direction. These continua allow us to combine the designs of Strand &amp; Johnson’s experiment 1 and experiment 2 in a single task. Listeners were presented with a wide range of phonetic information from the unmodified, gender-prototypical, starting points through a range of increasingly non-prototypical continuum steps.</w:t>
      </w:r>
    </w:p>
    <w:p>
      <w:pPr>
        <w:pStyle w:val="BodyText"/>
      </w:pPr>
      <w:r>
        <w:t xml:space="preserve">Following the separate creations of these continua, each synthesized fricative token was concatenated with each CV rime of /æk/, resulting in a total of 60 unique auditory stimuli. Each fricative step + rime step stimulus item was played independently as an auditory stimulus in the perception experiment. 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 were advanced doctoral students in a linguistics program, some of the elements of such identities are likely available to conscious reflection, but many indexical features (e.g. VOT duration, F2:F3 formant ratio, etc.) are likely implicit and unavailable for conscious control.</w:t>
      </w:r>
    </w:p>
    <w:tbl>
      <w:tblPr>
        <w:tblStyle w:val="Table"/>
        <w:tblW w:type="pct" w:w="5000"/>
        <w:tblLayout w:type="fixed"/>
        <w:tblLook w:firstRow="0" w:lastRow="0" w:firstColumn="0" w:lastColumn="0" w:noHBand="0" w:noVBand="0" w:val="0000"/>
      </w:tblPr>
      <w:tblGrid>
        <w:gridCol w:w="7920"/>
      </w:tblGrid>
      <w:tr>
        <w:tc>
          <w:tcPr/>
          <w:bookmarkStart w:id="31" w:name="fig-stimuli"/>
          <w:p>
            <w:pPr>
              <w:pStyle w:val="Compact"/>
              <w:jc w:val="center"/>
            </w:pPr>
            <w:r>
              <w:drawing>
                <wp:inline>
                  <wp:extent cx="4754880" cy="3511736"/>
                  <wp:effectExtent b="0" l="0" r="0" t="0"/>
                  <wp:docPr descr="" title="" id="29" name="Picture"/>
                  <a:graphic>
                    <a:graphicData uri="http://schemas.openxmlformats.org/drawingml/2006/picture">
                      <pic:pic>
                        <pic:nvPicPr>
                          <pic:cNvPr descr="images/figure1.png" id="30" name="Picture"/>
                          <pic:cNvPicPr>
                            <a:picLocks noChangeArrowheads="1" noChangeAspect="1"/>
                          </pic:cNvPicPr>
                        </pic:nvPicPr>
                        <pic:blipFill>
                          <a:blip r:embed="rId28"/>
                          <a:stretch>
                            <a:fillRect/>
                          </a:stretch>
                        </pic:blipFill>
                        <pic:spPr bwMode="auto">
                          <a:xfrm>
                            <a:off x="0" y="0"/>
                            <a:ext cx="4754880" cy="35117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S1-S6 represent six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 across five coda steps.</w:t>
            </w:r>
          </w:p>
          <w:bookmarkEnd w:id="31"/>
        </w:tc>
      </w:tr>
    </w:tbl>
    <w:bookmarkEnd w:id="32"/>
    <w:bookmarkEnd w:id="33"/>
    <w:bookmarkStart w:id="39" w:name="sec-stim-evals"/>
    <w:p>
      <w:pPr>
        <w:pStyle w:val="Heading2"/>
      </w:pPr>
      <w:r>
        <w:t xml:space="preserve">Explicit Evaluations of Auditory Stimuli</w:t>
      </w:r>
    </w:p>
    <w:p>
      <w:pPr>
        <w:pStyle w:val="FirstParagraph"/>
      </w:pPr>
      <w:r>
        <w:t xml:space="preserve">To better understand how the auditory stimuli might influence participants’ perceptions of the two talkers, we elicited social ratings for each voice. 40 undergraduate students at the Ohio State University (25 female, 15 male, ages 18-26) who participated in an in-person pilot version of the experiment were asked to make judgements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selected from a fixed set of responses; no free form responses were elicited.</w:t>
      </w:r>
    </w:p>
    <w:p>
      <w:pPr>
        <w:pStyle w:val="BodyText"/>
      </w:pPr>
      <w:r>
        <w:t xml:space="preserve">Participants’ judgements of the female voice indicate general agreement about this speaker’s gender identity. Most participants (93%) indicated the speaker’s gender to be female (2 participants specified</w:t>
      </w:r>
      <w:r>
        <w:t xml:space="preserve"> </w:t>
      </w:r>
      <w:r>
        <w:t xml:space="preserve">‘trans-female’</w:t>
      </w:r>
      <w:r>
        <w:t xml:space="preserve">), and 3 were unsure or otherwise unable to determine.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specified</w:t>
      </w:r>
      <w:r>
        <w:t xml:space="preserve"> </w:t>
      </w:r>
      <w:r>
        <w:t xml:space="preserve">‘trans female’</w:t>
      </w:r>
      <w:r>
        <w:t xml:space="preserve">. Judgements of the voice’s sexuality were more variable, with 54% indicating they were unsure, 40% indicating most likely heterosexual, and 1 participant each indicating most likely bisexual or another sexuality.</w:t>
      </w:r>
    </w:p>
    <w:p>
      <w:pPr>
        <w:pStyle w:val="BodyText"/>
      </w:pPr>
      <w:r>
        <w:t xml:space="preserve">Participants’ judgements of the male voice suggest similar agreement. 80% of participants indicated the speaker’s gender to be</w:t>
      </w:r>
      <w:r>
        <w:t xml:space="preserve"> </w:t>
      </w:r>
      <w:r>
        <w:t xml:space="preserve">male (1 specified</w:t>
      </w:r>
      <w:r>
        <w:t xml:space="preserve"> </w:t>
      </w:r>
      <w:r>
        <w:t xml:space="preserve">‘trans-male’</w:t>
      </w:r>
      <w:r>
        <w:t xml:space="preserve">), and 20% were unsure.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judgements of the voice’s sexuality were more variable. 65% indicated they were unsure, 14% indicated most likely heterosexual, and 16% indicated homosexual, and, again, 1 each indicating most likely bisexual or another sexuality not listed. Importantly,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8"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et al.,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w:t>
      </w:r>
    </w:p>
    <w:p>
      <w:pPr>
        <w:pStyle w:val="BodyText"/>
      </w:pPr>
      <w:r>
        <w:t xml:space="preserve">Additionally, two greyscale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7" w:name="fig-visual"/>
          <w:p>
            <w:pPr>
              <w:pStyle w:val="Compact"/>
              <w:jc w:val="center"/>
            </w:pPr>
            <w:r>
              <w:drawing>
                <wp:inline>
                  <wp:extent cx="4754880" cy="4754880"/>
                  <wp:effectExtent b="0" l="0" r="0" t="0"/>
                  <wp:docPr descr="" title="" id="35" name="Picture"/>
                  <a:graphic>
                    <a:graphicData uri="http://schemas.openxmlformats.org/drawingml/2006/picture">
                      <pic:pic>
                        <pic:nvPicPr>
                          <pic:cNvPr descr="images/facesanddrawings.jpg" id="36" name="Picture"/>
                          <pic:cNvPicPr>
                            <a:picLocks noChangeArrowheads="1" noChangeAspect="1"/>
                          </pic:cNvPicPr>
                        </pic:nvPicPr>
                        <pic:blipFill>
                          <a:blip r:embed="rId34"/>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gender-protypical</w:t>
            </w:r>
            <w:r>
              <w:t xml:space="preserve"> </w:t>
            </w:r>
            <w:r>
              <w:t xml:space="preserve">‘male’</w:t>
            </w:r>
            <w:r>
              <w:t xml:space="preserve"> </w:t>
            </w:r>
            <w:r>
              <w:t xml:space="preserve">and</w:t>
            </w:r>
            <w:r>
              <w:t xml:space="preserve"> </w:t>
            </w:r>
            <w:r>
              <w:t xml:space="preserve">‘female’</w:t>
            </w:r>
            <w:r>
              <w:t xml:space="preserve"> </w:t>
            </w:r>
            <w:r>
              <w:t xml:space="preserve">faces (bottom)</w:t>
            </w:r>
          </w:p>
          <w:bookmarkEnd w:id="37"/>
        </w:tc>
      </w:tr>
    </w:tbl>
    <w:bookmarkEnd w:id="38"/>
    <w:bookmarkEnd w:id="39"/>
    <w:bookmarkStart w:id="41" w:name="sec-procedure"/>
    <w:p>
      <w:pPr>
        <w:pStyle w:val="Heading2"/>
      </w:pPr>
      <w:r>
        <w:t xml:space="preserve">Procedure</w:t>
      </w:r>
    </w:p>
    <w:p>
      <w:pPr>
        <w:pStyle w:val="FirstParagraph"/>
      </w:pPr>
      <w:r>
        <w:t xml:space="preserve">The experiment was created in OpenSesame v3.3</w:t>
      </w:r>
      <w:r>
        <w:t xml:space="preserve"> </w:t>
      </w:r>
      <w:r>
        <w:t xml:space="preserve">(Mathôt et al.,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This experiment was hosted on a</w:t>
      </w:r>
      <w:r>
        <w:t xml:space="preserve"> </w:t>
      </w:r>
      <w:r>
        <w:t xml:space="preserve">JATOS</w:t>
      </w:r>
      <w:r>
        <w:t xml:space="preserve"> </w:t>
      </w:r>
      <w:r>
        <w:t xml:space="preserve">(Lange et al., 2015)</w:t>
      </w:r>
      <w:r>
        <w:t xml:space="preserve"> </w:t>
      </w:r>
      <w:r>
        <w:t xml:space="preserve">instance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Participants were randomly assigned to one of two between-subjects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but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for experimental use, and that the auditory and visual stimuli were in no way related to each other. Participants were divided equally among these two conditions. Neither awareness condition was informed about the synthetic nature of the auditory stimuli.</w:t>
      </w:r>
    </w:p>
    <w:p>
      <w:pPr>
        <w:pStyle w:val="BodyText"/>
      </w:pPr>
      <w:r>
        <w:t xml:space="preserve">Participants were also assigned to one of two gender congruity</w:t>
      </w:r>
      <w:r>
        <w:t xml:space="preserve"> </w:t>
      </w:r>
      <w:r>
        <w:t xml:space="preserve">conditions. Although the manipulated rimes sounded gender ambiguous to</w:t>
      </w:r>
      <w:r>
        <w:t xml:space="preserve"> </w:t>
      </w:r>
      <w:r>
        <w:t xml:space="preserve">us and had been rated as ambiguous by pilot participants in</w:t>
      </w:r>
      <w:r>
        <w:t xml:space="preserve"> </w:t>
      </w:r>
      <w:r>
        <w:t xml:space="preserve">Bouavichith et al. (2019)</w:t>
      </w:r>
      <w:r>
        <w:t xml:space="preserve">, the possibility remained that the voices, particularly at</w:t>
      </w:r>
      <w:r>
        <w:t xml:space="preserve"> </w:t>
      </w:r>
      <w:r>
        <w:t xml:space="preserve">the endpoints, might be perceived incongruously with the faces</w:t>
      </w:r>
      <w:r>
        <w:t xml:space="preserve"> </w:t>
      </w:r>
      <w:r>
        <w:t xml:space="preserve">(McGowan, 2015)</w:t>
      </w:r>
      <w:r>
        <w:rPr>
          <w:rStyle w:val="FootnoteReference"/>
        </w:rPr>
        <w:footnoteReference w:id="40"/>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 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41"/>
    <w:bookmarkEnd w:id="42"/>
    <w:bookmarkStart w:id="46" w:name="sec-predictions"/>
    <w:p>
      <w:pPr>
        <w:pStyle w:val="Heading1"/>
      </w:pPr>
      <w:r>
        <w:t xml:space="preserve">Predicted Results</w:t>
      </w:r>
    </w:p>
    <w:bookmarkStart w:id="43" w:name="sec-pred-face"/>
    <w:p>
      <w:pPr>
        <w:pStyle w:val="Heading2"/>
      </w:pPr>
      <w:r>
        <w:t xml:space="preserve">Face: male or female</w:t>
      </w:r>
    </w:p>
    <w:p>
      <w:pPr>
        <w:pStyle w:val="FirstParagraph"/>
      </w:pPr>
      <w:r>
        <w:t xml:space="preserve">Consistent with previous results, when face and voice provide congruent social information, we anticipate that more of the [ʃ]-[s] continuum will be heard as [ʃ] when participants are shown the female face and more to be heard as [s] when participants are shown the male face.</w:t>
      </w:r>
    </w:p>
    <w:bookmarkEnd w:id="43"/>
    <w:bookmarkStart w:id="44" w:name="sec-pred-congruence"/>
    <w:p>
      <w:pPr>
        <w:pStyle w:val="Heading2"/>
      </w:pPr>
      <w:r>
        <w:t xml:space="preserve">Congruence: pairing of face and voice</w:t>
      </w:r>
    </w:p>
    <w:p>
      <w:pPr>
        <w:pStyle w:val="FirstParagraph"/>
      </w:pPr>
      <w:r>
        <w:t xml:space="preserve">However, when face and voice provide incongruent social information, we do not expect to replicate this shift in fricative category boundary. To our knowledge, the influence of incongruence has not been directly investigated for listeners’ joint perception of gender and fricative place.</w:t>
      </w:r>
      <w:r>
        <w:t xml:space="preserve"> </w:t>
      </w:r>
      <w:r>
        <w:t xml:space="preserve">Johnson et al. (1999)</w:t>
      </w:r>
      <w:r>
        <w:t xml:space="preserve"> </w:t>
      </w:r>
      <w:r>
        <w:t xml:space="preserve">tests AV integration of Male and Female faces with prototypical and non-prototypical gendered voices in a vowel quality perception task. They find what may be an incongruence effect with the prototypical male voice; listeners reported no difference in perceived vowel quality with this voice in either Face condition</w:t>
      </w:r>
      <w:r>
        <w:t xml:space="preserve"> </w:t>
      </w:r>
      <w:r>
        <w:t xml:space="preserve">(Johnson et al., 1999, p. 376)</w:t>
      </w:r>
      <w:r>
        <w:t xml:space="preserve">. We expect incongruity to influence perception for both voices, but the effect may be stronger with a prototypically male voice</w:t>
      </w:r>
      <w:r>
        <w:t xml:space="preserve"> </w:t>
      </w:r>
      <w:r>
        <w:t xml:space="preserve">(King, 2021)</w:t>
      </w:r>
      <w:r>
        <w:t xml:space="preserve">.</w:t>
      </w:r>
    </w:p>
    <w:p>
      <w:pPr>
        <w:pStyle w:val="BodyText"/>
      </w:pPr>
      <w:r>
        <w:t xml:space="preserve">We make a similar prediction for reaction times.</w:t>
      </w:r>
      <w:r>
        <w:t xml:space="preserve"> </w:t>
      </w:r>
      <w:r>
        <w:t xml:space="preserve">Johnson et al. (1999)</w:t>
      </w:r>
      <w:r>
        <w:t xml:space="preserve"> </w:t>
      </w:r>
      <w:r>
        <w:t xml:space="preserve">did not collect reaction time data, and</w:t>
      </w:r>
      <w:r>
        <w:t xml:space="preserve"> </w:t>
      </w:r>
      <w:r>
        <w:t xml:space="preserve">McGowan (2011)</w:t>
      </w:r>
      <w:r>
        <w:t xml:space="preserve"> </w:t>
      </w:r>
      <w:r>
        <w:t xml:space="preserve">reports inconsistent reaction times for incongruous trials across different tasks. However,</w:t>
      </w:r>
      <w:r>
        <w:t xml:space="preserve"> </w:t>
      </w:r>
      <w:r>
        <w:t xml:space="preserve">Whalen (1984)</w:t>
      </w:r>
      <w:r>
        <w:t xml:space="preserve"> </w:t>
      </w:r>
      <w:r>
        <w:t xml:space="preserve">finds that listeners judgements are slowed by coarticulatory mismatches. If coarticulatory and social variation are processed similarly, this should hold for listeners’ identification of fricatives on a [ʃ]-[s] continuum. Therefore, we predict longer reaction times for Incongruous conditions. Furthermore, when gender information is most clear, at gender continuum steps 1 and 2 for the Male talker and at gender steps 4 &amp; 5 for the Female talker, and in conflict with the presented Face, listeners’ response times should be</w:t>
      </w:r>
      <w:r>
        <w:t xml:space="preserve"> </w:t>
      </w:r>
      <w:r>
        <w:t xml:space="preserve">slowest.</w:t>
      </w:r>
    </w:p>
    <w:p>
      <w:pPr>
        <w:pStyle w:val="BodyText"/>
      </w:pPr>
      <w:r>
        <w:t xml:space="preserve">Since strong phonetic correlates of gender, pitch and formant spacing, have been</w:t>
      </w:r>
      <w:r>
        <w:t xml:space="preserve"> </w:t>
      </w:r>
      <w:r>
        <w:t xml:space="preserve">manipulated over the course of the VC rime continua in our auditory stimuli, we anticipate that the nullifying effect of incongruous face and voice on fricative perception should be strongest for the natural end points of the continua where the difference is most salient and should weaken as phonetically-cued gender information becomes more ambiguous. These stimuli have been independently normed for ambiguity</w:t>
      </w:r>
      <w:r>
        <w:t xml:space="preserve"> </w:t>
      </w:r>
      <w:r>
        <w:t xml:space="preserve">(Bouavichith et al., 2019, p. 1040)</w:t>
      </w:r>
      <w:r>
        <w:t xml:space="preserve"> </w:t>
      </w:r>
      <w:r>
        <w:t xml:space="preserve">in the 2nd and 3rd levels of the rime continua. This means we anticipate an interaction between Face and Rime step but only in the incongruous trials and only at the extremes of the rime continuum.</w:t>
      </w:r>
    </w:p>
    <w:bookmarkEnd w:id="44"/>
    <w:bookmarkStart w:id="45" w:name="sec-pred-guise"/>
    <w:p>
      <w:pPr>
        <w:pStyle w:val="Heading2"/>
      </w:pPr>
      <w:r>
        <w:t xml:space="preserve">Guise: Hidden or Unhidden</w:t>
      </w:r>
    </w:p>
    <w:p>
      <w:pPr>
        <w:pStyle w:val="FirstParagraph"/>
      </w:pPr>
      <w:r>
        <w:t xml:space="preserve">The care researchers take to ensure that the guise manipulation is hidden from participants suggests a kind of imagined fragility of 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on fricative perception is not available to introspection or deliberative control, we should see no change between the hidden and unhidden conditions.</w:t>
      </w:r>
    </w:p>
    <w:p>
      <w:pPr>
        <w:pStyle w:val="BodyText"/>
      </w:pPr>
      <w:r>
        <w:t xml:space="preserve">Additionally, we speculate that there may be a response time difference between the Hidden and Unhidden guises even if there is no apparent difference in percept between the conditions. It may be the case that participants will arrive at the same behavioral responses via different cognitive processing paths, perhaps drawing on different levels of knowledge and awareness, and that these differences may be detectable in response times between the Instruction conditions.</w:t>
      </w:r>
    </w:p>
    <w:bookmarkEnd w:id="45"/>
    <w:bookmarkEnd w:id="46"/>
    <w:bookmarkStart w:id="66"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 ms (N=50) were excluded. The 5000 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 ms. To increase normality of the distribution of response times across participants, the remaining response times were log-transformed.</w:t>
      </w:r>
    </w:p>
    <w:bookmarkStart w:id="55"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50" w:name="fig-scurve"/>
          <w:p>
            <w:pPr>
              <w:pStyle w:val="Compact"/>
              <w:jc w:val="center"/>
            </w:pPr>
            <w:r>
              <w:drawing>
                <wp:inline>
                  <wp:extent cx="4754880" cy="2937285"/>
                  <wp:effectExtent b="0" l="0" r="0" t="0"/>
                  <wp:docPr descr="" title="" id="48" name="Picture"/>
                  <a:graphic>
                    <a:graphicData uri="http://schemas.openxmlformats.org/drawingml/2006/picture">
                      <pic:pic>
                        <pic:nvPicPr>
                          <pic:cNvPr descr="images/Scurve.png" id="49" name="Picture"/>
                          <pic:cNvPicPr>
                            <a:picLocks noChangeArrowheads="1" noChangeAspect="1"/>
                          </pic:cNvPicPr>
                        </pic:nvPicPr>
                        <pic:blipFill>
                          <a:blip r:embed="rId47"/>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onset continuum steps and purported gender of the face.</w:t>
            </w:r>
          </w:p>
          <w:bookmarkEnd w:id="50"/>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4" w:name="fig-rimes"/>
          <w:p>
            <w:pPr>
              <w:pStyle w:val="Compact"/>
              <w:jc w:val="center"/>
            </w:pPr>
            <w:r>
              <w:drawing>
                <wp:inline>
                  <wp:extent cx="4754880" cy="2937285"/>
                  <wp:effectExtent b="0" l="0" r="0" t="0"/>
                  <wp:docPr descr="" title="" id="52" name="Picture"/>
                  <a:graphic>
                    <a:graphicData uri="http://schemas.openxmlformats.org/drawingml/2006/picture">
                      <pic:pic>
                        <pic:nvPicPr>
                          <pic:cNvPr descr="images/ambiguous-by-rime-step.png" id="53" name="Picture"/>
                          <pic:cNvPicPr>
                            <a:picLocks noChangeArrowheads="1" noChangeAspect="1"/>
                          </pic:cNvPicPr>
                        </pic:nvPicPr>
                        <pic:blipFill>
                          <a:blip r:embed="rId51"/>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to ambiguous fricative trials</w:t>
            </w:r>
            <w:r>
              <w:t xml:space="preserve"> </w:t>
            </w:r>
            <w:r>
              <w:t xml:space="preserve">plotted as a function of CV rime continuum steps and gender of</w:t>
            </w:r>
            <w:r>
              <w:t xml:space="preserve"> </w:t>
            </w:r>
            <w:r>
              <w:t xml:space="preserve">stimulus talker.</w:t>
            </w:r>
          </w:p>
          <w:bookmarkEnd w:id="54"/>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are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The main objective of this experiment was to explore the role</w:t>
      </w:r>
      <w:r>
        <w:t xml:space="preserve"> </w:t>
      </w:r>
      <w:r>
        <w:t xml:space="preserve">of listener awareness in the matched guise technique. Here again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5"/>
    <w:bookmarkStart w:id="60"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inspection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et al.,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9" w:name="fig-coefs"/>
          <w:p>
            <w:pPr>
              <w:pStyle w:val="Compact"/>
              <w:jc w:val="center"/>
            </w:pPr>
            <w:r>
              <w:drawing>
                <wp:inline>
                  <wp:extent cx="4754880" cy="3169919"/>
                  <wp:effectExtent b="0" l="0" r="0" t="0"/>
                  <wp:docPr descr="" title="" id="57" name="Picture"/>
                  <a:graphic>
                    <a:graphicData uri="http://schemas.openxmlformats.org/drawingml/2006/picture">
                      <pic:pic>
                        <pic:nvPicPr>
                          <pic:cNvPr descr="images/coefs_instruction.png" id="58" name="Picture"/>
                          <pic:cNvPicPr>
                            <a:picLocks noChangeArrowheads="1" noChangeAspect="1"/>
                          </pic:cNvPicPr>
                        </pic:nvPicPr>
                        <pic:blipFill>
                          <a:blip r:embed="rId56"/>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responses in the</w:t>
            </w:r>
            <w:r>
              <w:t xml:space="preserve"> </w:t>
            </w:r>
            <w:r>
              <w:t xml:space="preserve">Congruous (black) and Incongruous (gray) logistic regression models</w:t>
            </w:r>
            <w:r>
              <w:t xml:space="preserve"> </w:t>
            </w:r>
            <w:r>
              <w:t xml:space="preserve">plotted with 95% confidence intervals.</w:t>
            </w:r>
          </w:p>
          <w:bookmarkEnd w:id="59"/>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We can confirm that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60"/>
    <w:bookmarkStart w:id="65" w:name="sec-results-rt"/>
    <w:p>
      <w:pPr>
        <w:pStyle w:val="Heading2"/>
      </w:pPr>
      <w:r>
        <w:t xml:space="preserve">Response Times</w:t>
      </w:r>
    </w:p>
    <w:p>
      <w:pPr>
        <w:pStyle w:val="FirstParagraph"/>
      </w:pPr>
      <w:r>
        <w:t xml:space="preserve">We again opted to separate Congruence into a pair of 3-way models for linear mixed model analysis of our log-transformed response time data. Using</w:t>
      </w:r>
      <w:r>
        <w:t xml:space="preserve"> </w:t>
      </w:r>
      <w:r>
        <w:rPr>
          <w:rStyle w:val="VerbatimChar"/>
        </w:rPr>
        <w:t xml:space="preserve">lmer()</w:t>
      </w:r>
      <w:r>
        <w:t xml:space="preserve"> </w:t>
      </w:r>
      <w:r>
        <w:t xml:space="preserve">(Bates et al., 2011)</w:t>
      </w:r>
      <w:r>
        <w:t xml:space="preserve">, we reused the congruous and incongruous subsets created for the logistic regression models and fitted a linear mixed model (estimated using REML and nloptwrap optimizer) to predict logRT with Guise, Onset, Face and Rime (</w:t>
      </w:r>
      <w:r>
        <w:rPr>
          <w:rStyle w:val="VerbatimChar"/>
        </w:rPr>
        <w:t xml:space="preserve">logRT ~ Instruction * Onset * Face + Rime</w:t>
      </w:r>
      <w:r>
        <w:t xml:space="preserve">). The models included random intercepts for subject. All categorical predictors were coded using contrast coding. Beta coefficients for both models are plotted in</w:t>
      </w:r>
      <w:r>
        <w:t xml:space="preserve"> </w:t>
      </w:r>
      <w:hyperlink w:anchor="fig-coefs-logRT">
        <w:r>
          <w:rPr>
            <w:rStyle w:val="Hyperlink"/>
          </w:rPr>
          <w:t xml:space="preserve">Figure 6</w:t>
        </w:r>
      </w:hyperlink>
      <w:r>
        <w:t xml:space="preserve">. Terms plotted to the left of the zero line are associated with a decrease in log response time while terms plotted to the right of the zero line are associated with an increase in log response time. Notably, the longest response times are associated with the most ambiguous steps of the [ʃ]-[s] onset continuum. Onset step 3 is positively associated with response time and significant in both 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 ($β=0.0$7,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 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 1, 2, and 5 are all negatively associated with response time and also 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4" w:name="fig-coefs-logRT"/>
          <w:p>
            <w:pPr>
              <w:pStyle w:val="Compact"/>
              <w:jc w:val="center"/>
            </w:pPr>
            <w:r>
              <w:drawing>
                <wp:inline>
                  <wp:extent cx="4754880" cy="3169919"/>
                  <wp:effectExtent b="0" l="0" r="0" t="0"/>
                  <wp:docPr descr="" title="" id="62" name="Picture"/>
                  <a:graphic>
                    <a:graphicData uri="http://schemas.openxmlformats.org/drawingml/2006/picture">
                      <pic:pic>
                        <pic:nvPicPr>
                          <pic:cNvPr descr="images/coefs-logRT_instructions.png" id="63" name="Picture"/>
                          <pic:cNvPicPr>
                            <a:picLocks noChangeArrowheads="1" noChangeAspect="1"/>
                          </pic:cNvPicPr>
                        </pic:nvPicPr>
                        <pic:blipFill>
                          <a:blip r:embed="rId61"/>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Congruous (black) and Incongruous (gray) linear regression</w:t>
            </w:r>
            <w:r>
              <w:t xml:space="preserve"> </w:t>
            </w:r>
            <w:r>
              <w:t xml:space="preserve">models plotted with 95% confidence intervals.</w:t>
            </w:r>
          </w:p>
          <w:bookmarkEnd w:id="64"/>
        </w:tc>
      </w:tr>
    </w:tbl>
    <w:p>
      <w:pPr>
        <w:pStyle w:val="BodyText"/>
      </w:pPr>
      <w:r>
        <w:t xml:space="preserve">We predicted overall slower response times in the Incongruous than</w:t>
      </w:r>
      <w:r>
        <w:t xml:space="preserve"> </w:t>
      </w:r>
      <w:r>
        <w:t xml:space="preserve">Congruous conditions, but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is</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5"/>
    <w:bookmarkEnd w:id="66"/>
    <w:bookmarkStart w:id="67" w:name="discussion"/>
    <w:p>
      <w:pPr>
        <w:pStyle w:val="Heading1"/>
      </w:pPr>
      <w:r>
        <w:t xml:space="preserve">Discussion</w:t>
      </w:r>
    </w:p>
    <w:p>
      <w:pPr>
        <w:pStyle w:val="FirstParagraph"/>
      </w:pPr>
      <w:r>
        <w:t xml:space="preserve">This study was motivated by a desire to understand the role of listener awareness and control in the matched guise technique. How important is it, for example, that listeners believe the guise manipulation</w:t>
      </w:r>
      <w:r>
        <w:t xml:space="preserve"> </w:t>
      </w:r>
      <w:r>
        <w:t xml:space="preserve">(e.g. McGowan &amp; Babel, 2020)</w:t>
      </w:r>
      <w:r>
        <w:t xml:space="preserve">? The careful steps researchers typically take to obscure the guise manipulation reflects long-held assumptions in the sociolinguistics literature that social knowledge is high-level knowledge, available to introspective control</w:t>
      </w:r>
      <w:r>
        <w:t xml:space="preserve"> </w:t>
      </w:r>
      <w:r>
        <w:t xml:space="preserve">(Campbell-Kibler, 2016)</w:t>
      </w:r>
      <w:r>
        <w:t xml:space="preserve"> </w:t>
      </w:r>
      <w:r>
        <w:t xml:space="preserve">and that awareness of the manipulation might therefore alter or allow listeners to control perceptual responses. The results of the present study are inconsistent with this imagined fragility of the influence of social knowledge. Revealing the nature of the guise manipulation did not significantly influence listener responses in either congruous or incongruous conditions. Nor did this revelation have a significant influence on response times in either condition.</w:t>
      </w:r>
    </w:p>
    <w:p>
      <w:pPr>
        <w:pStyle w:val="BodyText"/>
      </w:pPr>
      <w:r>
        <w:t xml:space="preserve">The finding that guises affect perception even when revealed to participants is inconsistent with a model of processing in which social knowledge acts as a top-down filter on linguistic knowledge. Social knowledge can influence perception even when listeners are aware that it is likely false. This result</w:t>
      </w:r>
      <w:r>
        <w:t xml:space="preserve"> </w:t>
      </w:r>
      <w:r>
        <w:t xml:space="preserve">parallels previous results for accentedness and attractiveness judgements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&amp;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 that such belief may be irrelevant, lending support to</w:t>
      </w:r>
      <w:r>
        <w:t xml:space="preserve"> </w:t>
      </w:r>
      <w:r>
        <w:t xml:space="preserve">Drager &amp; Kirtley (2016b)</w:t>
      </w:r>
      <w:r>
        <w:t xml:space="preserve"> </w:t>
      </w:r>
      <w:r>
        <w:t xml:space="preserve">(p. 9) proposal that</w:t>
      </w:r>
      <w:r>
        <w:t xml:space="preserve"> </w:t>
      </w:r>
      <w:r>
        <w:t xml:space="preserve">“individuals do not</w:t>
      </w:r>
      <w:r>
        <w:t xml:space="preserve"> </w:t>
      </w:r>
      <w:r>
        <w:t xml:space="preserve">need to be aware of variation in order for that variation to be socially</w:t>
      </w:r>
      <w:r>
        <w:t xml:space="preserve"> </w:t>
      </w:r>
      <w:r>
        <w:t xml:space="preserve">meaningful.”</w:t>
      </w:r>
      <w:r>
        <w:t xml:space="preserve"> </w:t>
      </w:r>
      <w:r>
        <w:t xml:space="preserve">The present result</w:t>
      </w:r>
      <w:r>
        <w:t xml:space="preserve"> </w:t>
      </w:r>
      <w:r>
        <w:t xml:space="preserve">also gives additional context to studies demonstrating influence of</w:t>
      </w:r>
      <w:r>
        <w:t xml:space="preserve"> </w:t>
      </w:r>
      <w:r>
        <w:t xml:space="preserve">social knowledge even when listeners have no reason to expect a guise</w:t>
      </w:r>
      <w:r>
        <w:t xml:space="preserve"> </w:t>
      </w:r>
      <w:r>
        <w:t xml:space="preserve">manipulation</w:t>
      </w:r>
      <w:r>
        <w:t xml:space="preserve"> </w:t>
      </w:r>
      <w:r>
        <w:t xml:space="preserve">(Hay, Nolan, et al., 2006; Hay &amp; Drager, 2010; Niedzielski, 1999)</w:t>
      </w:r>
      <w:r>
        <w:t xml:space="preserve">. It</w:t>
      </w:r>
      <w:r>
        <w:t xml:space="preserve"> </w:t>
      </w:r>
      <w:r>
        <w:t xml:space="preserve">is unclear whether social knowledge may prove to be as resilient to</w:t>
      </w:r>
      <w:r>
        <w:t xml:space="preserve"> </w:t>
      </w:r>
      <w:r>
        <w:t xml:space="preserve">awareness as the McGurk effect</w:t>
      </w:r>
      <w:r>
        <w:t xml:space="preserve"> </w:t>
      </w:r>
      <w:r>
        <w:t xml:space="preserve">(McGurk &amp; MacDonald, 1976)</w:t>
      </w:r>
      <w:r>
        <w:t xml:space="preserve">, which is obligatory and 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Gender of the voice and face combine to make the Strand effect even stronger in the congruous condition;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even along the synthetic gender continuum, rather than the purported gender of the Face. This pattern was strongest in the least-ambiguous portions of the fricative continuum and</w:t>
      </w:r>
      <w:r>
        <w:t xml:space="preserve"> </w:t>
      </w:r>
      <w:r>
        <w:t xml:space="preserve">weakest in the most-ambiguous. In a sense, through separating trials by</w:t>
      </w:r>
      <w:r>
        <w:t xml:space="preserve"> </w:t>
      </w:r>
      <w:r>
        <w:t xml:space="preserve">congruity of face and voice, we have replicated both experiments from</w:t>
      </w:r>
      <w:r>
        <w:t xml:space="preserve"> </w:t>
      </w:r>
      <w:r>
        <w:t xml:space="preserve">Strand &amp; Johnson (1996)</w:t>
      </w:r>
      <w:r>
        <w:t xml:space="preserve"> </w:t>
      </w:r>
      <w:r>
        <w:t xml:space="preserve">simultaneously. Looking back at their experiment 2,</w:t>
      </w:r>
      <w:r>
        <w:t xml:space="preserve"> </w:t>
      </w:r>
      <w:r>
        <w:t xml:space="preserve">it is possible that this classic result was</w:t>
      </w:r>
      <w:r>
        <w:t xml:space="preserve"> </w:t>
      </w:r>
      <w:r>
        <w:rPr>
          <w:i/>
          <w:iCs/>
        </w:rPr>
        <w:t xml:space="preserve">also</w:t>
      </w:r>
      <w:r>
        <w:t xml:space="preserve"> </w:t>
      </w:r>
      <w:r>
        <w:t xml:space="preserve">a congruous condition in which listeners had sufficient gender information from the</w:t>
      </w:r>
      <w:r>
        <w:t xml:space="preserve"> </w:t>
      </w:r>
      <w:r>
        <w:t xml:space="preserve">‘non-protypical’</w:t>
      </w:r>
      <w:r>
        <w:t xml:space="preserve"> </w:t>
      </w:r>
      <w:r>
        <w:t xml:space="preserve">voice to supplement the purported information from the Face. The non-prototypical male and female voices used in Strand &amp; Johnson’s experiment 1 were still perceived as male and female. This congruity finding may provide some insight into recent failures to replicate the original Strand effect</w:t>
      </w:r>
      <w:r>
        <w:t xml:space="preserve"> </w:t>
      </w:r>
      <w:r>
        <w:t xml:space="preserve">(Schellinger et al., 2017; Wilbanks, 2022)</w:t>
      </w:r>
      <w:r>
        <w:t xml:space="preserve">.</w:t>
      </w:r>
    </w:p>
    <w:p>
      <w:pPr>
        <w:pStyle w:val="BodyText"/>
      </w:pPr>
      <w:r>
        <w:t xml:space="preserve">The phonetic correlates of gender manipulated in VC rimes for this</w:t>
      </w:r>
      <w:r>
        <w:t xml:space="preserve"> </w:t>
      </w:r>
      <w:r>
        <w:t xml:space="preserve">study are F0 and formant spacing. However, these are not the only cues</w:t>
      </w:r>
      <w:r>
        <w:t xml:space="preserve"> </w:t>
      </w:r>
      <w:r>
        <w:t xml:space="preserve">listeners draw upon with their knowledge of US English. Surely,</w:t>
      </w:r>
      <w:r>
        <w:t xml:space="preserve"> </w:t>
      </w:r>
      <w:r>
        <w:t xml:space="preserve">F0 and formant spacing</w:t>
      </w:r>
      <w:r>
        <w:t xml:space="preserve"> </w:t>
      </w:r>
      <w:r>
        <w:rPr>
          <w:i/>
          <w:iCs/>
        </w:rPr>
        <w:t xml:space="preserve">can be</w:t>
      </w:r>
      <w:r>
        <w:t xml:space="preserve"> </w:t>
      </w:r>
      <w:r>
        <w:t xml:space="preserve">important to listeners, just as</w:t>
      </w:r>
      <w:r>
        <w:t xml:space="preserve"> </w:t>
      </w:r>
      <w:r>
        <w:t xml:space="preserve">voice onset time and modal voicing can be important cues to the</w:t>
      </w:r>
      <w:r>
        <w:t xml:space="preserve"> </w:t>
      </w:r>
      <w:r>
        <w:t xml:space="preserve">voicing of /t/ and /d/. But as</w:t>
      </w:r>
      <w:r>
        <w:t xml:space="preserve"> </w:t>
      </w:r>
      <w:r>
        <w:t xml:space="preserve">Lisker (1986)</w:t>
      </w:r>
      <w:r>
        <w:t xml:space="preserve"> </w:t>
      </w:r>
      <w:r>
        <w:t xml:space="preserve">reported for those stops, there are 16 cues to this apparently simple feature in English, any of which might be</w:t>
      </w:r>
      <w:r>
        <w:t xml:space="preserve"> </w:t>
      </w:r>
      <w:r>
        <w:t xml:space="preserve">sufficient to communicate voicing, but none of which are required. In</w:t>
      </w:r>
      <w:r>
        <w:t xml:space="preserve"> </w:t>
      </w:r>
      <w:r>
        <w:t xml:space="preserve">the present study, we used manipulated stimuli that obscure, over the</w:t>
      </w:r>
      <w:r>
        <w:t xml:space="preserve"> </w:t>
      </w:r>
      <w:r>
        <w:t xml:space="preserve">course of two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 the stimuli in</w:t>
      </w:r>
      <w:r>
        <w:t xml:space="preserve"> </w:t>
      </w:r>
      <w:r>
        <w:t xml:space="preserve">Whalen (1984)</w:t>
      </w:r>
      <w:r>
        <w:t xml:space="preserve"> </w:t>
      </w:r>
      <w:r>
        <w:t xml:space="preserve">did not sound obviously mismatched. But our</w:t>
      </w:r>
      <w:r>
        <w:t xml:space="preserve"> </w:t>
      </w:r>
      <w:r>
        <w:t xml:space="preserve">perception results suggest that listeners remain aware, albeit</w:t>
      </w:r>
      <w:r>
        <w:t xml:space="preserve"> </w:t>
      </w:r>
      <w:r>
        <w:t xml:space="preserve">implicitly, of the gender identity we attempted to obscure by</w:t>
      </w:r>
      <w:r>
        <w:t xml:space="preserve"> </w:t>
      </w:r>
      <w:r>
        <w:t xml:space="preserve">altering these phonetic correlates.</w:t>
      </w:r>
    </w:p>
    <w:bookmarkEnd w:id="67"/>
    <w:bookmarkStart w:id="68" w:name="conclusion"/>
    <w:p>
      <w:pPr>
        <w:pStyle w:val="Heading1"/>
      </w:pPr>
      <w:r>
        <w:t xml:space="preserve">Conclusion</w:t>
      </w:r>
    </w:p>
    <w:p>
      <w:pPr>
        <w:pStyle w:val="FirstParagraph"/>
      </w:pPr>
      <w:r>
        <w:t xml:space="preserve">Decades of research since the original findings of</w:t>
      </w:r>
      <w:r>
        <w:t xml:space="preserve"> </w:t>
      </w:r>
      <w:r>
        <w:t xml:space="preserve">Strand &amp; Johnson (1996)</w:t>
      </w:r>
      <w:r>
        <w:t xml:space="preserve"> </w:t>
      </w:r>
      <w:r>
        <w:t xml:space="preserve">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experiments 1 and 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However, listeners’ behavior in our Congruous</w:t>
      </w:r>
      <w:r>
        <w:t xml:space="preserve"> </w:t>
      </w:r>
      <w:r>
        <w:t xml:space="preserve">and Incongruous conditions is inconsistent with such a model;</w:t>
      </w:r>
      <w:r>
        <w:t xml:space="preserve"> </w:t>
      </w:r>
      <w:r>
        <w:t xml:space="preserve">suggesting, instead, that when visually-cued and phonetically-cued social</w:t>
      </w:r>
      <w:r>
        <w:t xml:space="preserve"> </w:t>
      </w:r>
      <w:r>
        <w:t xml:space="preserve">information are congruent, they can enhance one another. If, on</w:t>
      </w:r>
      <w:r>
        <w:t xml:space="preserve"> </w:t>
      </w:r>
      <w:r>
        <w:t xml:space="preserve">the other hand, these information sources conflict, it is the</w:t>
      </w:r>
      <w:r>
        <w:t xml:space="preserve"> </w:t>
      </w:r>
      <w:r>
        <w:t xml:space="preserve">phonetically-cued social information that will dominate segmental perception</w:t>
      </w:r>
      <w:r>
        <w:t xml:space="preserve"> </w:t>
      </w:r>
      <w:r>
        <w:t xml:space="preserve">(Campbell-Kibler, 2021; McGowan &amp; Babel, 2020)</w:t>
      </w:r>
      <w:r>
        <w:t xml:space="preserve">.</w:t>
      </w:r>
    </w:p>
    <w:p>
      <w:pPr>
        <w:pStyle w:val="BodyText"/>
      </w:pPr>
      <w:r>
        <w:t xml:space="preserve">It is unlikely that fricatives are unique in this respect. For example,</w:t>
      </w:r>
      <w:r>
        <w:t xml:space="preserve"> </w:t>
      </w:r>
      <w:r>
        <w:t xml:space="preserve">the incongruous results in this study are, perhaps, predicted by the</w:t>
      </w:r>
      <w:r>
        <w:t xml:space="preserve"> </w:t>
      </w:r>
      <w:r>
        <w:t xml:space="preserve">lack of Face effect in</w:t>
      </w:r>
      <w:r>
        <w:t xml:space="preserve"> </w:t>
      </w:r>
      <w:r>
        <w:t xml:space="preserve">Johnson et al. (1999)</w:t>
      </w:r>
      <w:r>
        <w:t xml:space="preserve"> </w:t>
      </w:r>
      <w:r>
        <w:t xml:space="preserve">exp2 vowel perception results,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expectations of the social world and visual and other sensory information to arrive at a percept</w:t>
      </w:r>
      <w:r>
        <w:t xml:space="preserve"> </w:t>
      </w:r>
      <w:r>
        <w:t xml:space="preserve">(Babel, this issue)</w:t>
      </w:r>
      <w:r>
        <w:t xml:space="preserve">.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perceptual processing.</w:t>
      </w:r>
    </w:p>
    <w:p>
      <w:pPr>
        <w:pStyle w:val="BodyText"/>
      </w:pPr>
      <w:r>
        <w:t xml:space="preserve">However, our prediction that incongruity between face and voice would slow listener judgements was not supported. Given that coarticulatory mismatches</w:t>
      </w:r>
      <w:r>
        <w:t xml:space="preserve"> </w:t>
      </w:r>
      <w:r>
        <w:rPr>
          <w:i/>
          <w:iCs/>
        </w:rPr>
        <w:t xml:space="preserve">do</w:t>
      </w:r>
      <w:r>
        <w:t xml:space="preserve"> </w:t>
      </w:r>
      <w:r>
        <w:t xml:space="preserve">slow listener judgements, this finding is inconsistent with a model of perception in which socioindexical variation and coarticulatory information are processed identically. It is possible that these sources of information are processed via different systems or, alternatively, that this difference merely reflects the diversity of gender conforming and non-conforming voices in our listeners’ experience.</w:t>
      </w:r>
      <w:r>
        <w:t xml:space="preserve"> </w:t>
      </w:r>
      <w:r>
        <w:t xml:space="preserve">Barrett (2014, p. 205)</w:t>
      </w:r>
      <w:r>
        <w:t xml:space="preserve"> </w:t>
      </w:r>
      <w:r>
        <w:t xml:space="preserve">writes,</w:t>
      </w:r>
      <w:r>
        <w:t xml:space="preserve"> </w:t>
      </w:r>
      <w:r>
        <w:t xml:space="preserve">“any assumption of essentialism will ultimately marginalize those individuals who do not fit the essentialist understandings of human behavior.”</w:t>
      </w:r>
      <w:r>
        <w:t xml:space="preserve"> </w:t>
      </w:r>
      <w:r>
        <w:t xml:space="preserve">It may not feel reductive to read the findings of</w:t>
      </w:r>
      <w:r>
        <w:t xml:space="preserve"> </w:t>
      </w:r>
      <w:r>
        <w:t xml:space="preserve">May (1976)</w:t>
      </w:r>
      <w:r>
        <w:t xml:space="preserve"> </w:t>
      </w:r>
      <w:r>
        <w:t xml:space="preserve">about large and small vocal tracts as if they refer to male and female vocal tracts respectively, but it does necessarily imply that tall, long-necked women and short, squat-necked men need to find some other way of labeling themselves. The idea that male voices come from large bodies and female voices come from small bodies need not be literally true for the phonetic and perceptual correlates of size to become enregistered alongside other features in the creation of gendered personae</w:t>
      </w:r>
      <w:r>
        <w:t xml:space="preserve"> </w:t>
      </w:r>
      <w:r>
        <w:t xml:space="preserve">(D’Onofrio, 2020)</w:t>
      </w:r>
      <w:r>
        <w:t xml:space="preserve">. Unlike coarticulation, which is lawful and systematic</w:t>
      </w:r>
      <w:r>
        <w:t xml:space="preserve"> </w:t>
      </w:r>
      <w:r>
        <w:t xml:space="preserve">(Beddor, 2009)</w:t>
      </w:r>
      <w:r>
        <w:t xml:space="preserve">, incongruence in gender cues is a normal part of the social construction of gender</w:t>
      </w:r>
      <w:r>
        <w:t xml:space="preserve"> </w:t>
      </w:r>
      <w:r>
        <w:t xml:space="preserve">(Barrett, 2017)</w:t>
      </w:r>
      <w:r>
        <w:t xml:space="preserve">.</w:t>
      </w:r>
    </w:p>
    <w:bookmarkEnd w:id="68"/>
    <w:bookmarkStart w:id="192" w:name="sec-references"/>
    <w:p>
      <w:pPr>
        <w:pStyle w:val="Heading1"/>
      </w:pPr>
      <w:r>
        <w:t xml:space="preserve">References</w:t>
      </w:r>
    </w:p>
    <w:bookmarkStart w:id="191" w:name="refs"/>
    <w:bookmarkStart w:id="69" w:name="ref-alpert2014"/>
    <w:p>
      <w:pPr>
        <w:pStyle w:val="Bibliography"/>
      </w:pPr>
      <w:r>
        <w:t xml:space="preserve">Alpert, E. R. (2014).</w:t>
      </w:r>
      <w:r>
        <w:t xml:space="preserve"> </w:t>
      </w:r>
      <w:r>
        <w:rPr>
          <w:i/>
          <w:iCs/>
        </w:rPr>
        <w:t xml:space="preserve">Language, gender, and ideology in japanese professional matchmaking.</w:t>
      </w:r>
      <w:r>
        <w:t xml:space="preserve"> </w:t>
      </w:r>
      <w:r>
        <w:t xml:space="preserve">[PhD thesis]. University of Michigan, Department of Anthropology.</w:t>
      </w:r>
    </w:p>
    <w:bookmarkEnd w:id="69"/>
    <w:bookmarkStart w:id="70" w:name="ref-BabelIssue"/>
    <w:p>
      <w:pPr>
        <w:pStyle w:val="Bibliography"/>
      </w:pPr>
      <w:r>
        <w:t xml:space="preserve">Babel, A. M. (this issue). A semiotic approach to awareness and control.</w:t>
      </w:r>
      <w:r>
        <w:t xml:space="preserve"> </w:t>
      </w:r>
      <w:r>
        <w:rPr>
          <w:i/>
          <w:iCs/>
        </w:rPr>
        <w:t xml:space="preserve">Journal of Sociolinguistics</w:t>
      </w:r>
      <w:r>
        <w:t xml:space="preserve">,</w:t>
      </w:r>
      <w:r>
        <w:t xml:space="preserve"> </w:t>
      </w:r>
      <w:r>
        <w:rPr>
          <w:i/>
          <w:iCs/>
        </w:rPr>
        <w:t xml:space="preserve">42</w:t>
      </w:r>
      <w:r>
        <w:t xml:space="preserve">(1).</w:t>
      </w:r>
    </w:p>
    <w:bookmarkEnd w:id="70"/>
    <w:bookmarkStart w:id="71" w:name="ref-bakhtin1981"/>
    <w:p>
      <w:pPr>
        <w:pStyle w:val="Bibliography"/>
      </w:pPr>
      <w:r>
        <w:t xml:space="preserve">Bakhtin, M. M. (1981).</w:t>
      </w:r>
      <w:r>
        <w:t xml:space="preserve"> </w:t>
      </w:r>
      <w:r>
        <w:rPr>
          <w:i/>
          <w:iCs/>
        </w:rPr>
        <w:t xml:space="preserve">The dialogic imagination: Four essays</w:t>
      </w:r>
      <w:r>
        <w:t xml:space="preserve">. University of texas Press.</w:t>
      </w:r>
    </w:p>
    <w:bookmarkEnd w:id="71"/>
    <w:bookmarkStart w:id="72" w:name="ref-barrett2014"/>
    <w:p>
      <w:pPr>
        <w:pStyle w:val="Bibliography"/>
      </w:pPr>
      <w:r>
        <w:t xml:space="preserve">Barrett, R. (2014). The emergence of the unmarked. In L. Zimman, J. Davis, &amp; J. Raclaw (Eds.),</w:t>
      </w:r>
      <w:r>
        <w:t xml:space="preserve"> </w:t>
      </w:r>
      <w:r>
        <w:rPr>
          <w:i/>
          <w:iCs/>
        </w:rPr>
        <w:t xml:space="preserve">Queer excursions: Retheorizing binaries in language, gender, and sexuality</w:t>
      </w:r>
      <w:r>
        <w:t xml:space="preserve"> </w:t>
      </w:r>
      <w:r>
        <w:t xml:space="preserve">(pp. 195–223). Oxford University Press.</w:t>
      </w:r>
    </w:p>
    <w:bookmarkEnd w:id="72"/>
    <w:bookmarkStart w:id="73" w:name="ref-barrett2017"/>
    <w:p>
      <w:pPr>
        <w:pStyle w:val="Bibliography"/>
      </w:pPr>
      <w:r>
        <w:t xml:space="preserve">Barrett, R. (2017).</w:t>
      </w:r>
      <w:r>
        <w:t xml:space="preserve"> </w:t>
      </w:r>
      <w:r>
        <w:rPr>
          <w:i/>
          <w:iCs/>
        </w:rPr>
        <w:t xml:space="preserve">From drag queens to leathermen: Language, gender, and gay male subcultures</w:t>
      </w:r>
      <w:r>
        <w:t xml:space="preserve">. Oxford University Press.</w:t>
      </w:r>
    </w:p>
    <w:bookmarkEnd w:id="73"/>
    <w:bookmarkStart w:id="74" w:name="ref-barrettHall2024"/>
    <w:p>
      <w:pPr>
        <w:pStyle w:val="Bibliography"/>
      </w:pPr>
      <w:r>
        <w:t xml:space="preserve">Barrett, R., &amp; Hall, K. (2024). Sexuality discourses: Indexical misrecognition and the politics of sex.</w:t>
      </w:r>
      <w:r>
        <w:t xml:space="preserve"> </w:t>
      </w:r>
      <w:r>
        <w:rPr>
          <w:i/>
          <w:iCs/>
        </w:rPr>
        <w:t xml:space="preserve">Annual Review of Anthropology</w:t>
      </w:r>
      <w:r>
        <w:t xml:space="preserve">,</w:t>
      </w:r>
      <w:r>
        <w:t xml:space="preserve"> </w:t>
      </w:r>
      <w:r>
        <w:rPr>
          <w:i/>
          <w:iCs/>
        </w:rPr>
        <w:t xml:space="preserve">53</w:t>
      </w:r>
      <w:r>
        <w:t xml:space="preserve">.</w:t>
      </w:r>
    </w:p>
    <w:bookmarkEnd w:id="74"/>
    <w:bookmarkStart w:id="76" w:name="ref-lme4"/>
    <w:p>
      <w:pPr>
        <w:pStyle w:val="Bibliography"/>
      </w:pPr>
      <w:r>
        <w:t xml:space="preserve">Bates, D., Maechler, M., &amp; Bolker, B. (2011).</w:t>
      </w:r>
      <w:r>
        <w:t xml:space="preserve"> </w:t>
      </w:r>
      <w:r>
        <w:rPr>
          <w:i/>
          <w:iCs/>
        </w:rPr>
        <w:t xml:space="preserve">lme4: Linear mixed-effects models using S4 classes</w:t>
      </w:r>
      <w:r>
        <w:t xml:space="preserve">.</w:t>
      </w:r>
      <w:r>
        <w:t xml:space="preserve"> </w:t>
      </w:r>
      <w:hyperlink r:id="rId75">
        <w:r>
          <w:rPr>
            <w:rStyle w:val="Hyperlink"/>
          </w:rPr>
          <w:t xml:space="preserve">http://CRAN.R-project.org/package=lme4</w:t>
        </w:r>
      </w:hyperlink>
    </w:p>
    <w:bookmarkEnd w:id="76"/>
    <w:bookmarkStart w:id="77" w:name="ref-Beddor2009"/>
    <w:p>
      <w:pPr>
        <w:pStyle w:val="Bibliography"/>
      </w:pPr>
      <w:r>
        <w:t xml:space="preserve">Beddor, P. S. (2009). A coarticulatory path to sound change.</w:t>
      </w:r>
      <w:r>
        <w:t xml:space="preserve"> </w:t>
      </w:r>
      <w:r>
        <w:rPr>
          <w:i/>
          <w:iCs/>
        </w:rPr>
        <w:t xml:space="preserve">Language</w:t>
      </w:r>
      <w:r>
        <w:t xml:space="preserve">,</w:t>
      </w:r>
      <w:r>
        <w:t xml:space="preserve"> </w:t>
      </w:r>
      <w:r>
        <w:rPr>
          <w:i/>
          <w:iCs/>
        </w:rPr>
        <w:t xml:space="preserve">85</w:t>
      </w:r>
      <w:r>
        <w:t xml:space="preserve">(4), 785–821.</w:t>
      </w:r>
    </w:p>
    <w:bookmarkEnd w:id="77"/>
    <w:bookmarkStart w:id="78" w:name="ref-Bender2005"/>
    <w:p>
      <w:pPr>
        <w:pStyle w:val="Bibliography"/>
      </w:pPr>
      <w:r>
        <w:t xml:space="preserve">Bender, E. M. (2005). On the boundaries of linguistic competence: Matched-guise experiments as evidence of knowledge of grammar.</w:t>
      </w:r>
      <w:r>
        <w:t xml:space="preserve"> </w:t>
      </w:r>
      <w:r>
        <w:rPr>
          <w:i/>
          <w:iCs/>
        </w:rPr>
        <w:t xml:space="preserve">Lingua</w:t>
      </w:r>
      <w:r>
        <w:t xml:space="preserve">,</w:t>
      </w:r>
      <w:r>
        <w:t xml:space="preserve"> </w:t>
      </w:r>
      <w:r>
        <w:rPr>
          <w:i/>
          <w:iCs/>
        </w:rPr>
        <w:t xml:space="preserve">115</w:t>
      </w:r>
      <w:r>
        <w:t xml:space="preserve">(11), 1579–1598.</w:t>
      </w:r>
    </w:p>
    <w:bookmarkEnd w:id="78"/>
    <w:bookmarkStart w:id="79" w:name="ref-praat2001"/>
    <w:p>
      <w:pPr>
        <w:pStyle w:val="Bibliography"/>
      </w:pPr>
      <w:r>
        <w:t xml:space="preserve">Boersma, P. (2001). 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341–345.</w:t>
      </w:r>
    </w:p>
    <w:bookmarkEnd w:id="79"/>
    <w:bookmarkStart w:id="81" w:name="ref-bouavichithEtAl2019"/>
    <w:p>
      <w:pPr>
        <w:pStyle w:val="Bibliography"/>
      </w:pPr>
      <w:r>
        <w:t xml:space="preserve">Bouavichith, D. A., Calloway, I. C., Craft, J. T., Hildebrandt, T., Tobin, S. J., &amp; Beddor, P. S. (2019). Bidirectional effects of priming in speech perception: Social-to-lexical and lexical-to-social.</w:t>
      </w:r>
      <w:r>
        <w:t xml:space="preserve"> </w:t>
      </w:r>
      <w:r>
        <w:rPr>
          <w:i/>
          <w:iCs/>
        </w:rPr>
        <w:t xml:space="preserve">The Journal of the Acoustical Society of America</w:t>
      </w:r>
      <w:r>
        <w:t xml:space="preserve">,</w:t>
      </w:r>
      <w:r>
        <w:t xml:space="preserve"> </w:t>
      </w:r>
      <w:r>
        <w:rPr>
          <w:i/>
          <w:iCs/>
        </w:rPr>
        <w:t xml:space="preserve">145</w:t>
      </w:r>
      <w:r>
        <w:t xml:space="preserve">.</w:t>
      </w:r>
      <w:r>
        <w:t xml:space="preserve"> </w:t>
      </w:r>
      <w:hyperlink r:id="rId80">
        <w:r>
          <w:rPr>
            <w:rStyle w:val="Hyperlink"/>
          </w:rPr>
          <w:t xml:space="preserve">https://doi.org/10.1121/1.5101933</w:t>
        </w:r>
      </w:hyperlink>
    </w:p>
    <w:bookmarkEnd w:id="81"/>
    <w:bookmarkStart w:id="82" w:name="ref-bucholtz2002"/>
    <w:p>
      <w:pPr>
        <w:pStyle w:val="Bibliography"/>
      </w:pPr>
      <w:r>
        <w:t xml:space="preserve">Bucholtz, M. (2002). 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w:t>
      </w:r>
      <w:r>
        <w:t xml:space="preserve"> </w:t>
      </w:r>
      <w:r>
        <w:rPr>
          <w:i/>
          <w:iCs/>
        </w:rPr>
        <w:t xml:space="preserve">8</w:t>
      </w:r>
      <w:r>
        <w:t xml:space="preserve">(3), 33–45.</w:t>
      </w:r>
    </w:p>
    <w:bookmarkEnd w:id="82"/>
    <w:bookmarkStart w:id="83" w:name="ref-bucholtzHall2016"/>
    <w:p>
      <w:pPr>
        <w:pStyle w:val="Bibliography"/>
      </w:pPr>
      <w:r>
        <w:t xml:space="preserve">Bucholtz, M., &amp; Hall, K. (2016). Embodied sociolinguistics.</w:t>
      </w:r>
      <w:r>
        <w:t xml:space="preserve"> </w:t>
      </w:r>
      <w:r>
        <w:rPr>
          <w:i/>
          <w:iCs/>
        </w:rPr>
        <w:t xml:space="preserve">Sociolinguistics: Theoretical Debates</w:t>
      </w:r>
      <w:r>
        <w:t xml:space="preserve">,</w:t>
      </w:r>
      <w:r>
        <w:t xml:space="preserve"> </w:t>
      </w:r>
      <w:r>
        <w:rPr>
          <w:i/>
          <w:iCs/>
        </w:rPr>
        <w:t xml:space="preserve">1</w:t>
      </w:r>
      <w:r>
        <w:t xml:space="preserve">(1), 173–200.</w:t>
      </w:r>
    </w:p>
    <w:bookmarkEnd w:id="83"/>
    <w:bookmarkStart w:id="84" w:name="ref-calder2018"/>
    <w:p>
      <w:pPr>
        <w:pStyle w:val="Bibliography"/>
      </w:pPr>
      <w:r>
        <w:t xml:space="preserve">Calder, J. (2018). From</w:t>
      </w:r>
      <w:r>
        <w:t xml:space="preserve"> </w:t>
      </w:r>
      <w:r>
        <w:t xml:space="preserve">“gay lisp”</w:t>
      </w:r>
      <w:r>
        <w:t xml:space="preserve"> </w:t>
      </w:r>
      <w:r>
        <w:t xml:space="preserve">to</w:t>
      </w:r>
      <w:r>
        <w:t xml:space="preserve"> </w:t>
      </w:r>
      <w:r>
        <w:t xml:space="preserve">“fierce queen”</w:t>
      </w:r>
      <w:r>
        <w:t xml:space="preserve">: The sociophonetics of sexuality’s most iconic variable. In K. Hall &amp; R. Barrett (Eds.),</w:t>
      </w:r>
      <w:r>
        <w:t xml:space="preserve"> </w:t>
      </w:r>
      <w:r>
        <w:rPr>
          <w:i/>
          <w:iCs/>
        </w:rPr>
        <w:t xml:space="preserve">The oxford handbook of language and sexuality</w:t>
      </w:r>
      <w:r>
        <w:t xml:space="preserve"> </w:t>
      </w:r>
      <w:r>
        <w:t xml:space="preserve">(pp. 1–23).</w:t>
      </w:r>
    </w:p>
    <w:bookmarkEnd w:id="84"/>
    <w:bookmarkStart w:id="85" w:name="ref-campbell-kibler2005"/>
    <w:p>
      <w:pPr>
        <w:pStyle w:val="Bibliography"/>
      </w:pPr>
      <w:r>
        <w:t xml:space="preserve">Campbell-Kibler, K. (2005).</w:t>
      </w:r>
      <w:r>
        <w:t xml:space="preserve"> </w:t>
      </w:r>
      <w:r>
        <w:rPr>
          <w:i/>
          <w:iCs/>
        </w:rPr>
        <w:t xml:space="preserve">Listener perceptions of sociolinguistic variables: The case of (ING)</w:t>
      </w:r>
      <w:r>
        <w:t xml:space="preserve"> </w:t>
      </w:r>
      <w:r>
        <w:t xml:space="preserve">[PhD thesis]. Stanford University.</w:t>
      </w:r>
    </w:p>
    <w:bookmarkEnd w:id="85"/>
    <w:bookmarkStart w:id="86" w:name="ref-campbell-kibler2007"/>
    <w:p>
      <w:pPr>
        <w:pStyle w:val="Bibliography"/>
      </w:pPr>
      <w:r>
        <w:t xml:space="preserve">Campbell-Kibler, K. (2007). Accent,(ING), and the social logic of listener perceptions.</w:t>
      </w:r>
      <w:r>
        <w:t xml:space="preserve"> </w:t>
      </w:r>
      <w:r>
        <w:rPr>
          <w:i/>
          <w:iCs/>
        </w:rPr>
        <w:t xml:space="preserve">American Speech</w:t>
      </w:r>
      <w:r>
        <w:t xml:space="preserve">,</w:t>
      </w:r>
      <w:r>
        <w:t xml:space="preserve"> </w:t>
      </w:r>
      <w:r>
        <w:rPr>
          <w:i/>
          <w:iCs/>
        </w:rPr>
        <w:t xml:space="preserve">82</w:t>
      </w:r>
      <w:r>
        <w:t xml:space="preserve">(1), 32–64.</w:t>
      </w:r>
    </w:p>
    <w:bookmarkEnd w:id="86"/>
    <w:bookmarkStart w:id="87" w:name="ref-campbell-kibler2012"/>
    <w:p>
      <w:pPr>
        <w:pStyle w:val="Bibliography"/>
      </w:pPr>
      <w:r>
        <w:t xml:space="preserve">Campbell-Kibler, K. (2012). The implicit association test and sociolinguistic meaning.</w:t>
      </w:r>
      <w:r>
        <w:t xml:space="preserve"> </w:t>
      </w:r>
      <w:r>
        <w:rPr>
          <w:i/>
          <w:iCs/>
        </w:rPr>
        <w:t xml:space="preserve">Lingua</w:t>
      </w:r>
      <w:r>
        <w:t xml:space="preserve">,</w:t>
      </w:r>
      <w:r>
        <w:t xml:space="preserve"> </w:t>
      </w:r>
      <w:r>
        <w:rPr>
          <w:i/>
          <w:iCs/>
        </w:rPr>
        <w:t xml:space="preserve">122</w:t>
      </w:r>
      <w:r>
        <w:t xml:space="preserve">(7), 753–763.</w:t>
      </w:r>
    </w:p>
    <w:bookmarkEnd w:id="87"/>
    <w:bookmarkStart w:id="88" w:name="ref-campbell-kibler2016"/>
    <w:p>
      <w:pPr>
        <w:pStyle w:val="Bibliography"/>
      </w:pPr>
      <w:r>
        <w:t xml:space="preserve">Campbell-Kibler, K. (2016). Toward a cognitively realistic model of meaningful sociolinguistic variation. In A. M. Babel (Ed.),</w:t>
      </w:r>
      <w:r>
        <w:t xml:space="preserve"> </w:t>
      </w:r>
      <w:r>
        <w:rPr>
          <w:i/>
          <w:iCs/>
        </w:rPr>
        <w:t xml:space="preserve">Awareness and control in sociolinguistic research</w:t>
      </w:r>
      <w:r>
        <w:t xml:space="preserve"> </w:t>
      </w:r>
      <w:r>
        <w:t xml:space="preserve">(pp. 123–151). Cambridge University Press Cambridge.</w:t>
      </w:r>
    </w:p>
    <w:bookmarkEnd w:id="88"/>
    <w:bookmarkStart w:id="89" w:name="ref-campbell-kibler2020"/>
    <w:p>
      <w:pPr>
        <w:pStyle w:val="Bibliography"/>
      </w:pPr>
      <w:r>
        <w:t xml:space="preserve">Campbell-Kibler, K. (2021). Deliberative control in audiovisual sociolinguistic perception.</w:t>
      </w:r>
      <w:r>
        <w:t xml:space="preserve"> </w:t>
      </w:r>
      <w:r>
        <w:rPr>
          <w:i/>
          <w:iCs/>
        </w:rPr>
        <w:t xml:space="preserve">Journal of Sociolinguistics</w:t>
      </w:r>
      <w:r>
        <w:t xml:space="preserve">,</w:t>
      </w:r>
      <w:r>
        <w:t xml:space="preserve"> </w:t>
      </w:r>
      <w:r>
        <w:rPr>
          <w:i/>
          <w:iCs/>
        </w:rPr>
        <w:t xml:space="preserve">25</w:t>
      </w:r>
      <w:r>
        <w:t xml:space="preserve">(2), 253–271.</w:t>
      </w:r>
    </w:p>
    <w:bookmarkEnd w:id="89"/>
    <w:bookmarkStart w:id="90" w:name="ref-campbell-kiblerIssue"/>
    <w:p>
      <w:pPr>
        <w:pStyle w:val="Bibliography"/>
      </w:pPr>
      <w:r>
        <w:t xml:space="preserve">Campbell-Kibler, K. (2025). Accentedness ratings do not predict sensitivity to regional variation in vowel quality.</w:t>
      </w:r>
      <w:r>
        <w:t xml:space="preserve"> </w:t>
      </w:r>
      <w:r>
        <w:rPr>
          <w:i/>
          <w:iCs/>
        </w:rPr>
        <w:t xml:space="preserve">Journal of Sociolinguistics</w:t>
      </w:r>
      <w:r>
        <w:t xml:space="preserve">,</w:t>
      </w:r>
      <w:r>
        <w:t xml:space="preserve"> </w:t>
      </w:r>
      <w:r>
        <w:rPr>
          <w:i/>
          <w:iCs/>
        </w:rPr>
        <w:t xml:space="preserve">29</w:t>
      </w:r>
      <w:r>
        <w:t xml:space="preserve">(1).</w:t>
      </w:r>
    </w:p>
    <w:bookmarkEnd w:id="90"/>
    <w:bookmarkStart w:id="92" w:name="ref-campbell-kibler-miles-hercules2021"/>
    <w:p>
      <w:pPr>
        <w:pStyle w:val="Bibliography"/>
      </w:pPr>
      <w:r>
        <w:t xml:space="preserve">Campbell-Kibler, K., &amp; miles-hercules, deandre. (2021). Perception of gender and sexuality. In J. Angouri &amp; J. Baxter (Eds.),</w:t>
      </w:r>
      <w:r>
        <w:t xml:space="preserve"> </w:t>
      </w:r>
      <w:r>
        <w:rPr>
          <w:i/>
          <w:iCs/>
        </w:rPr>
        <w:t xml:space="preserve">The</w:t>
      </w:r>
      <w:r>
        <w:rPr>
          <w:i/>
          <w:iCs/>
        </w:rPr>
        <w:t xml:space="preserve"> </w:t>
      </w:r>
      <w:r>
        <w:rPr>
          <w:i/>
          <w:iCs/>
        </w:rPr>
        <w:t xml:space="preserve">Routledge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w:t>
      </w:r>
      <w:r>
        <w:t xml:space="preserve">(1st ed., pp. 52–68). Routledge.</w:t>
      </w:r>
      <w:r>
        <w:t xml:space="preserve"> </w:t>
      </w:r>
      <w:hyperlink r:id="rId91">
        <w:r>
          <w:rPr>
            <w:rStyle w:val="Hyperlink"/>
          </w:rPr>
          <w:t xml:space="preserve">https://doi.org/10.4324/9781315514857-5</w:t>
        </w:r>
      </w:hyperlink>
    </w:p>
    <w:bookmarkEnd w:id="92"/>
    <w:bookmarkStart w:id="93" w:name="ref-chan2021"/>
    <w:p>
      <w:pPr>
        <w:pStyle w:val="Bibliography"/>
      </w:pPr>
      <w:r>
        <w:t xml:space="preserve">Chan, K. L. R. (2021). Verbal guise test: Problems and solutions.</w:t>
      </w:r>
      <w:r>
        <w:t xml:space="preserve"> </w:t>
      </w:r>
      <w:r>
        <w:rPr>
          <w:i/>
          <w:iCs/>
        </w:rPr>
        <w:t xml:space="preserve">Academia Letters</w:t>
      </w:r>
      <w:r>
        <w:t xml:space="preserve">.</w:t>
      </w:r>
    </w:p>
    <w:bookmarkEnd w:id="93"/>
    <w:bookmarkStart w:id="94" w:name="ref-clopperPisoni2004"/>
    <w:p>
      <w:pPr>
        <w:pStyle w:val="Bibliography"/>
      </w:pPr>
      <w:r>
        <w:t xml:space="preserve">Clopper, C. G., &amp; Pisoni, D. B. (2004). Effects of talker variability on perceptual learning of dialects.</w:t>
      </w:r>
      <w:r>
        <w:t xml:space="preserve"> </w:t>
      </w:r>
      <w:r>
        <w:rPr>
          <w:i/>
          <w:iCs/>
        </w:rPr>
        <w:t xml:space="preserve">Language and Speech</w:t>
      </w:r>
      <w:r>
        <w:t xml:space="preserve">,</w:t>
      </w:r>
      <w:r>
        <w:t xml:space="preserve"> </w:t>
      </w:r>
      <w:r>
        <w:rPr>
          <w:i/>
          <w:iCs/>
        </w:rPr>
        <w:t xml:space="preserve">47</w:t>
      </w:r>
      <w:r>
        <w:t xml:space="preserve">(3), 207–238.</w:t>
      </w:r>
    </w:p>
    <w:bookmarkEnd w:id="94"/>
    <w:bookmarkStart w:id="96" w:name="ref-craik_recognition_2015"/>
    <w:p>
      <w:pPr>
        <w:pStyle w:val="Bibliography"/>
      </w:pPr>
      <w:r>
        <w:t xml:space="preserve">Craik, F. I. M., Rose, N. S., &amp; Gopie, N. (2015). 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w:t>
      </w:r>
      <w:r>
        <w:t xml:space="preserve"> </w:t>
      </w:r>
      <w:r>
        <w:rPr>
          <w:i/>
          <w:iCs/>
        </w:rPr>
        <w:t xml:space="preserve">41</w:t>
      </w:r>
      <w:r>
        <w:t xml:space="preserve">(5), 1271–1281.</w:t>
      </w:r>
      <w:r>
        <w:t xml:space="preserve"> </w:t>
      </w:r>
      <w:hyperlink r:id="rId95">
        <w:r>
          <w:rPr>
            <w:rStyle w:val="Hyperlink"/>
          </w:rPr>
          <w:t xml:space="preserve">https://doi.org/10.1037/xlm0000137</w:t>
        </w:r>
      </w:hyperlink>
    </w:p>
    <w:bookmarkEnd w:id="96"/>
    <w:bookmarkStart w:id="97" w:name="ref-cramer2021"/>
    <w:p>
      <w:pPr>
        <w:pStyle w:val="Bibliography"/>
      </w:pPr>
      <w:r>
        <w:t xml:space="preserve">Cramer, J. (2021). Mental maps and perceptual dialectology.</w:t>
      </w:r>
      <w:r>
        <w:t xml:space="preserve"> </w:t>
      </w:r>
      <w:r>
        <w:rPr>
          <w:i/>
          <w:iCs/>
        </w:rPr>
        <w:t xml:space="preserve">Language and Linguistics Compass</w:t>
      </w:r>
      <w:r>
        <w:t xml:space="preserve">,</w:t>
      </w:r>
      <w:r>
        <w:t xml:space="preserve"> </w:t>
      </w:r>
      <w:r>
        <w:rPr>
          <w:i/>
          <w:iCs/>
        </w:rPr>
        <w:t xml:space="preserve">15</w:t>
      </w:r>
      <w:r>
        <w:t xml:space="preserve">(2), e12405.</w:t>
      </w:r>
    </w:p>
    <w:bookmarkEnd w:id="97"/>
    <w:bookmarkStart w:id="98" w:name="ref-Donofrio2018"/>
    <w:p>
      <w:pPr>
        <w:pStyle w:val="Bibliography"/>
      </w:pPr>
      <w:r>
        <w:t xml:space="preserve">D’Onofrio, A. (2018). Controlled and automatic perceptions of a sociolinguistic marker.</w:t>
      </w:r>
      <w:r>
        <w:t xml:space="preserve"> </w:t>
      </w:r>
      <w:r>
        <w:rPr>
          <w:i/>
          <w:iCs/>
        </w:rPr>
        <w:t xml:space="preserve">Language Variation and Change</w:t>
      </w:r>
      <w:r>
        <w:t xml:space="preserve">,</w:t>
      </w:r>
      <w:r>
        <w:t xml:space="preserve"> </w:t>
      </w:r>
      <w:r>
        <w:rPr>
          <w:i/>
          <w:iCs/>
        </w:rPr>
        <w:t xml:space="preserve">30</w:t>
      </w:r>
      <w:r>
        <w:t xml:space="preserve">(2), 261–285.</w:t>
      </w:r>
    </w:p>
    <w:bookmarkEnd w:id="98"/>
    <w:bookmarkStart w:id="100" w:name="ref-donofrio2020"/>
    <w:p>
      <w:pPr>
        <w:pStyle w:val="Bibliography"/>
      </w:pPr>
      <w:r>
        <w:t xml:space="preserve">D’Onofrio, A. (2020). Personae in sociolinguistic variation.</w:t>
      </w:r>
      <w:r>
        <w:t xml:space="preserve"> </w:t>
      </w:r>
      <w:r>
        <w:rPr>
          <w:i/>
          <w:iCs/>
        </w:rPr>
        <w:t xml:space="preserve">WIREs Cognitive Science</w:t>
      </w:r>
      <w:r>
        <w:t xml:space="preserve">,</w:t>
      </w:r>
      <w:r>
        <w:t xml:space="preserve"> </w:t>
      </w:r>
      <w:r>
        <w:rPr>
          <w:i/>
          <w:iCs/>
        </w:rPr>
        <w:t xml:space="preserve">11</w:t>
      </w:r>
      <w:r>
        <w:t xml:space="preserve">(6), e1543.</w:t>
      </w:r>
      <w:r>
        <w:t xml:space="preserve"> </w:t>
      </w:r>
      <w:hyperlink r:id="rId99">
        <w:r>
          <w:rPr>
            <w:rStyle w:val="Hyperlink"/>
          </w:rPr>
          <w:t xml:space="preserve">https://doi.org/10.1002/wcs.1543</w:t>
        </w:r>
      </w:hyperlink>
    </w:p>
    <w:bookmarkEnd w:id="100"/>
    <w:bookmarkStart w:id="101" w:name="ref-donofrio2021"/>
    <w:p>
      <w:pPr>
        <w:pStyle w:val="Bibliography"/>
      </w:pPr>
      <w:r>
        <w:t xml:space="preserve">D’Onofrio, A. (2021). Sociolinguistic signs as cognitive representations.</w:t>
      </w:r>
      <w:r>
        <w:t xml:space="preserve"> </w:t>
      </w:r>
      <w:r>
        <w:rPr>
          <w:i/>
          <w:iCs/>
        </w:rPr>
        <w:t xml:space="preserve">Social Meaning in Linguistic Variation: Theorizing the Third Wave</w:t>
      </w:r>
      <w:r>
        <w:t xml:space="preserve">, 153–175.</w:t>
      </w:r>
    </w:p>
    <w:bookmarkEnd w:id="101"/>
    <w:bookmarkStart w:id="102" w:name="ref-daniel2007"/>
    <w:p>
      <w:pPr>
        <w:pStyle w:val="Bibliography"/>
      </w:pPr>
      <w:r>
        <w:t xml:space="preserve">Daniel, M. M., Lorenzi, M. C., Costa Leite, C. da, &amp; Lorenzi-Filho, G. (2007). Pharyngeal dimensions in healthy men and women.</w:t>
      </w:r>
      <w:r>
        <w:t xml:space="preserve"> </w:t>
      </w:r>
      <w:r>
        <w:rPr>
          <w:i/>
          <w:iCs/>
        </w:rPr>
        <w:t xml:space="preserve">Clinics</w:t>
      </w:r>
      <w:r>
        <w:t xml:space="preserve">,</w:t>
      </w:r>
      <w:r>
        <w:t xml:space="preserve"> </w:t>
      </w:r>
      <w:r>
        <w:rPr>
          <w:i/>
          <w:iCs/>
        </w:rPr>
        <w:t xml:space="preserve">62</w:t>
      </w:r>
      <w:r>
        <w:t xml:space="preserve">(1), 5–10.</w:t>
      </w:r>
    </w:p>
    <w:bookmarkEnd w:id="102"/>
    <w:bookmarkStart w:id="104" w:name="ref-dehaene_towards_2001"/>
    <w:p>
      <w:pPr>
        <w:pStyle w:val="Bibliography"/>
      </w:pPr>
      <w:r>
        <w:t xml:space="preserve">Dehaene, S., &amp; Naccache, L. (2001). Towards a cognitive neuroscience of consciousness: Basic evidence and a workspace framework.</w:t>
      </w:r>
      <w:r>
        <w:t xml:space="preserve"> </w:t>
      </w:r>
      <w:r>
        <w:rPr>
          <w:i/>
          <w:iCs/>
        </w:rPr>
        <w:t xml:space="preserve">Cognition</w:t>
      </w:r>
      <w:r>
        <w:t xml:space="preserve">,</w:t>
      </w:r>
      <w:r>
        <w:t xml:space="preserve"> </w:t>
      </w:r>
      <w:r>
        <w:rPr>
          <w:i/>
          <w:iCs/>
        </w:rPr>
        <w:t xml:space="preserve">79</w:t>
      </w:r>
      <w:r>
        <w:t xml:space="preserve">(1-2), 1–37.</w:t>
      </w:r>
      <w:r>
        <w:t xml:space="preserve"> </w:t>
      </w:r>
      <w:hyperlink r:id="rId103">
        <w:r>
          <w:rPr>
            <w:rStyle w:val="Hyperlink"/>
          </w:rPr>
          <w:t xml:space="preserve">https://doi.org/10.1016/s0010-0277(00)00123-2</w:t>
        </w:r>
      </w:hyperlink>
    </w:p>
    <w:bookmarkEnd w:id="104"/>
    <w:bookmarkStart w:id="105" w:name="ref-Drager2010b"/>
    <w:p>
      <w:pPr>
        <w:pStyle w:val="Bibliography"/>
      </w:pPr>
      <w:r>
        <w:t xml:space="preserve">Drager, K. (2010). Sensitivity to grammatical and sociophonetic variability in perception.</w:t>
      </w:r>
      <w:r>
        <w:t xml:space="preserve"> </w:t>
      </w:r>
      <w:r>
        <w:rPr>
          <w:i/>
          <w:iCs/>
        </w:rPr>
        <w:t xml:space="preserve">Laboratory Phonology</w:t>
      </w:r>
      <w:r>
        <w:t xml:space="preserve">,</w:t>
      </w:r>
      <w:r>
        <w:t xml:space="preserve"> </w:t>
      </w:r>
      <w:r>
        <w:rPr>
          <w:i/>
          <w:iCs/>
        </w:rPr>
        <w:t xml:space="preserve">1</w:t>
      </w:r>
      <w:r>
        <w:t xml:space="preserve">(1), 93–120.</w:t>
      </w:r>
    </w:p>
    <w:bookmarkEnd w:id="105"/>
    <w:bookmarkStart w:id="106" w:name="ref-drager2013"/>
    <w:p>
      <w:pPr>
        <w:pStyle w:val="Bibliography"/>
      </w:pPr>
      <w:r>
        <w:t xml:space="preserve">Drager, K. (2013). Experimental methods in sociolinguistics. In J. Holmes &amp; K. Hazen (Eds.),</w:t>
      </w:r>
      <w:r>
        <w:t xml:space="preserve"> </w:t>
      </w:r>
      <w:r>
        <w:rPr>
          <w:i/>
          <w:iCs/>
        </w:rPr>
        <w:t xml:space="preserve">Research methods in sociolinguistics: A practical guide</w:t>
      </w:r>
      <w:r>
        <w:t xml:space="preserve"> </w:t>
      </w:r>
      <w:r>
        <w:t xml:space="preserve">(pp. 58–73). Wiley Blackwell.</w:t>
      </w:r>
    </w:p>
    <w:bookmarkEnd w:id="106"/>
    <w:bookmarkStart w:id="107" w:name="ref-drager2016a"/>
    <w:p>
      <w:pPr>
        <w:pStyle w:val="Bibliography"/>
      </w:pPr>
      <w:r>
        <w:t xml:space="preserve">Drager, K., &amp; Kirtley, J. (2016a). Awareness, salience, and stereotypes in exemplar-based models of speech production and perception. In A. M. Babel (Ed.),</w:t>
      </w:r>
      <w:r>
        <w:t xml:space="preserve"> </w:t>
      </w:r>
      <w:r>
        <w:rPr>
          <w:i/>
          <w:iCs/>
        </w:rPr>
        <w:t xml:space="preserve">Awareness and control in sociolinguistic research</w:t>
      </w:r>
      <w:r>
        <w:t xml:space="preserve">. Cambridge University Press.</w:t>
      </w:r>
    </w:p>
    <w:bookmarkEnd w:id="107"/>
    <w:bookmarkStart w:id="108" w:name="ref-DragerKirtley2016"/>
    <w:p>
      <w:pPr>
        <w:pStyle w:val="Bibliography"/>
      </w:pPr>
      <w:r>
        <w:t xml:space="preserve">Drager, K., &amp; Kirtley, J. (2016b). Awareness, salience, and stereotypes in exemplar-based models of speech production and perception. In A. M. Babel (Ed.),</w:t>
      </w:r>
      <w:r>
        <w:t xml:space="preserve"> </w:t>
      </w:r>
      <w:r>
        <w:rPr>
          <w:i/>
          <w:iCs/>
        </w:rPr>
        <w:t xml:space="preserve">Awareness and control in sociolinguistic research</w:t>
      </w:r>
      <w:r>
        <w:t xml:space="preserve">. Cambridge University Press.</w:t>
      </w:r>
    </w:p>
    <w:bookmarkEnd w:id="108"/>
    <w:bookmarkStart w:id="109" w:name="ref-eckert2012"/>
    <w:p>
      <w:pPr>
        <w:pStyle w:val="Bibliography"/>
      </w:pPr>
      <w:r>
        <w:t xml:space="preserve">Eckert, P. (2012). 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w:t>
      </w:r>
      <w:r>
        <w:t xml:space="preserve"> </w:t>
      </w:r>
      <w:r>
        <w:rPr>
          <w:i/>
          <w:iCs/>
        </w:rPr>
        <w:t xml:space="preserve">41</w:t>
      </w:r>
      <w:r>
        <w:t xml:space="preserve">(1), 87–100.</w:t>
      </w:r>
    </w:p>
    <w:bookmarkEnd w:id="109"/>
    <w:bookmarkStart w:id="110" w:name="ref-eckertPodesva2021"/>
    <w:p>
      <w:pPr>
        <w:pStyle w:val="Bibliography"/>
      </w:pPr>
      <w:r>
        <w:t xml:space="preserve">Eckert, P., &amp; Podesva, R. J. (2021). Non-binary approaches to gender and sexuality.</w:t>
      </w:r>
      <w:r>
        <w:t xml:space="preserve"> </w:t>
      </w:r>
      <w:r>
        <w:rPr>
          <w:i/>
          <w:iCs/>
        </w:rPr>
        <w:t xml:space="preserve">The Routledge Handbook of Language, Gender, and Sexuality</w:t>
      </w:r>
      <w:r>
        <w:t xml:space="preserve">, 25–36.</w:t>
      </w:r>
    </w:p>
    <w:bookmarkEnd w:id="110"/>
    <w:bookmarkStart w:id="111" w:name="ref-evans2008"/>
    <w:p>
      <w:pPr>
        <w:pStyle w:val="Bibliography"/>
      </w:pPr>
      <w:r>
        <w:t xml:space="preserve">Evans, J. S. B. (2008). Dual-processing accounts of reasoning, judgment, and social cognition.</w:t>
      </w:r>
      <w:r>
        <w:t xml:space="preserve"> </w:t>
      </w:r>
      <w:r>
        <w:rPr>
          <w:i/>
          <w:iCs/>
        </w:rPr>
        <w:t xml:space="preserve">Annu. Rev. Psychol.</w:t>
      </w:r>
      <w:r>
        <w:t xml:space="preserve">,</w:t>
      </w:r>
      <w:r>
        <w:t xml:space="preserve"> </w:t>
      </w:r>
      <w:r>
        <w:rPr>
          <w:i/>
          <w:iCs/>
        </w:rPr>
        <w:t xml:space="preserve">59</w:t>
      </w:r>
      <w:r>
        <w:t xml:space="preserve">, 255–278.</w:t>
      </w:r>
    </w:p>
    <w:bookmarkEnd w:id="111"/>
    <w:bookmarkStart w:id="112" w:name="ref-fant1960"/>
    <w:p>
      <w:pPr>
        <w:pStyle w:val="Bibliography"/>
      </w:pPr>
      <w:r>
        <w:t xml:space="preserve">Fant, G. (1960).</w:t>
      </w:r>
      <w:r>
        <w:t xml:space="preserve"> </w:t>
      </w:r>
      <w:r>
        <w:rPr>
          <w:i/>
          <w:iCs/>
        </w:rPr>
        <w:t xml:space="preserve">Acoustic theory of speech production</w:t>
      </w:r>
      <w:r>
        <w:t xml:space="preserve">. Mouton.</w:t>
      </w:r>
    </w:p>
    <w:bookmarkEnd w:id="112"/>
    <w:bookmarkStart w:id="113" w:name="ref-foulkesDocherty2006"/>
    <w:p>
      <w:pPr>
        <w:pStyle w:val="Bibliography"/>
      </w:pPr>
      <w:r>
        <w:t xml:space="preserve">Foulkes, P., &amp; Docherty, G. (2006). The social life of phonetics and phonology.</w:t>
      </w:r>
      <w:r>
        <w:t xml:space="preserve"> </w:t>
      </w:r>
      <w:r>
        <w:rPr>
          <w:i/>
          <w:iCs/>
        </w:rPr>
        <w:t xml:space="preserve">Journal of Phonetics</w:t>
      </w:r>
      <w:r>
        <w:t xml:space="preserve">,</w:t>
      </w:r>
      <w:r>
        <w:t xml:space="preserve"> </w:t>
      </w:r>
      <w:r>
        <w:rPr>
          <w:i/>
          <w:iCs/>
        </w:rPr>
        <w:t xml:space="preserve">34</w:t>
      </w:r>
      <w:r>
        <w:t xml:space="preserve">, 409–438.</w:t>
      </w:r>
    </w:p>
    <w:bookmarkEnd w:id="113"/>
    <w:bookmarkStart w:id="114" w:name="ref-Fowler1986"/>
    <w:p>
      <w:pPr>
        <w:pStyle w:val="Bibliography"/>
      </w:pPr>
      <w:r>
        <w:t xml:space="preserve">Fowler, C. A. (1986). An event approach to the study of speech perception from a direct— realist perspective.</w:t>
      </w:r>
      <w:r>
        <w:t xml:space="preserve"> </w:t>
      </w:r>
      <w:r>
        <w:rPr>
          <w:i/>
          <w:iCs/>
        </w:rPr>
        <w:t xml:space="preserve">Journal of Phonetics</w:t>
      </w:r>
      <w:r>
        <w:t xml:space="preserve">,</w:t>
      </w:r>
      <w:r>
        <w:t xml:space="preserve"> </w:t>
      </w:r>
      <w:r>
        <w:rPr>
          <w:i/>
          <w:iCs/>
        </w:rPr>
        <w:t xml:space="preserve">14</w:t>
      </w:r>
      <w:r>
        <w:t xml:space="preserve">, 3–28.</w:t>
      </w:r>
    </w:p>
    <w:bookmarkEnd w:id="114"/>
    <w:bookmarkStart w:id="115" w:name="ref-fuchsToda2010"/>
    <w:p>
      <w:pPr>
        <w:pStyle w:val="Bibliography"/>
      </w:pPr>
      <w:r>
        <w:t xml:space="preserve">Fuchs, S., &amp; Toda, M. (2010). Do differences in male versus female /s/ reflect biological or sociophonetic factors.</w:t>
      </w:r>
      <w:r>
        <w:t xml:space="preserve"> </w:t>
      </w:r>
      <w:r>
        <w:rPr>
          <w:i/>
          <w:iCs/>
        </w:rPr>
        <w:t xml:space="preserve">Turbulent Sounds: An Interdisciplinary Guide</w:t>
      </w:r>
      <w:r>
        <w:t xml:space="preserve">,</w:t>
      </w:r>
      <w:r>
        <w:t xml:space="preserve"> </w:t>
      </w:r>
      <w:r>
        <w:rPr>
          <w:i/>
          <w:iCs/>
        </w:rPr>
        <w:t xml:space="preserve">21</w:t>
      </w:r>
      <w:r>
        <w:t xml:space="preserve">, 281–302.</w:t>
      </w:r>
    </w:p>
    <w:bookmarkEnd w:id="115"/>
    <w:bookmarkStart w:id="116" w:name="ref-Ganong1980"/>
    <w:p>
      <w:pPr>
        <w:pStyle w:val="Bibliography"/>
      </w:pPr>
      <w:r>
        <w:t xml:space="preserve">Ganong, W. F. (1980). Phonetic categorization in auditory word perception.</w:t>
      </w:r>
      <w:r>
        <w:t xml:space="preserve"> </w:t>
      </w:r>
      <w:r>
        <w:rPr>
          <w:i/>
          <w:iCs/>
        </w:rPr>
        <w:t xml:space="preserve">Journal of Experimental Psychology: Human Perception and Performance</w:t>
      </w:r>
      <w:r>
        <w:t xml:space="preserve">,</w:t>
      </w:r>
      <w:r>
        <w:t xml:space="preserve"> </w:t>
      </w:r>
      <w:r>
        <w:rPr>
          <w:i/>
          <w:iCs/>
        </w:rPr>
        <w:t xml:space="preserve">6</w:t>
      </w:r>
      <w:r>
        <w:t xml:space="preserve">, 110–125.</w:t>
      </w:r>
    </w:p>
    <w:bookmarkEnd w:id="116"/>
    <w:bookmarkStart w:id="117" w:name="ref-gaskell2002representation"/>
    <w:p>
      <w:pPr>
        <w:pStyle w:val="Bibliography"/>
      </w:pPr>
      <w:r>
        <w:t xml:space="preserve">Gaskell, M. G., &amp; Marslen-Wilson, W. D. (2002). Representation and competition in the perception of spoken words.</w:t>
      </w:r>
      <w:r>
        <w:t xml:space="preserve"> </w:t>
      </w:r>
      <w:r>
        <w:rPr>
          <w:i/>
          <w:iCs/>
        </w:rPr>
        <w:t xml:space="preserve">Cognitive Psychology</w:t>
      </w:r>
      <w:r>
        <w:t xml:space="preserve">,</w:t>
      </w:r>
      <w:r>
        <w:t xml:space="preserve"> </w:t>
      </w:r>
      <w:r>
        <w:rPr>
          <w:i/>
          <w:iCs/>
        </w:rPr>
        <w:t xml:space="preserve">45</w:t>
      </w:r>
      <w:r>
        <w:t xml:space="preserve">(2), 220–266.</w:t>
      </w:r>
    </w:p>
    <w:bookmarkEnd w:id="117"/>
    <w:bookmarkStart w:id="118" w:name="ref-giles1970"/>
    <w:p>
      <w:pPr>
        <w:pStyle w:val="Bibliography"/>
      </w:pPr>
      <w:r>
        <w:t xml:space="preserve">Giles, H. (1970). Evaluative reactions to accents.</w:t>
      </w:r>
      <w:r>
        <w:t xml:space="preserve"> </w:t>
      </w:r>
      <w:r>
        <w:rPr>
          <w:i/>
          <w:iCs/>
        </w:rPr>
        <w:t xml:space="preserve">Educational Review</w:t>
      </w:r>
      <w:r>
        <w:t xml:space="preserve">,</w:t>
      </w:r>
      <w:r>
        <w:t xml:space="preserve"> </w:t>
      </w:r>
      <w:r>
        <w:rPr>
          <w:i/>
          <w:iCs/>
        </w:rPr>
        <w:t xml:space="preserve">22</w:t>
      </w:r>
      <w:r>
        <w:t xml:space="preserve">(3), 211–227.</w:t>
      </w:r>
    </w:p>
    <w:bookmarkEnd w:id="118"/>
    <w:bookmarkStart w:id="119" w:name="ref-gnevsheva2017"/>
    <w:p>
      <w:pPr>
        <w:pStyle w:val="Bibliography"/>
      </w:pPr>
      <w:r>
        <w:t xml:space="preserve">Gnevsheva, K. (2017). Within-speaker variation in passing for a native speaker.</w:t>
      </w:r>
      <w:r>
        <w:t xml:space="preserve"> </w:t>
      </w:r>
      <w:r>
        <w:rPr>
          <w:i/>
          <w:iCs/>
        </w:rPr>
        <w:t xml:space="preserve">International Journal of Bilingualism</w:t>
      </w:r>
      <w:r>
        <w:t xml:space="preserve">,</w:t>
      </w:r>
      <w:r>
        <w:t xml:space="preserve"> </w:t>
      </w:r>
      <w:r>
        <w:rPr>
          <w:i/>
          <w:iCs/>
        </w:rPr>
        <w:t xml:space="preserve">21</w:t>
      </w:r>
      <w:r>
        <w:t xml:space="preserve">(2), 213–227.</w:t>
      </w:r>
    </w:p>
    <w:bookmarkEnd w:id="119"/>
    <w:bookmarkStart w:id="120" w:name="ref-Goldinger1998"/>
    <w:p>
      <w:pPr>
        <w:pStyle w:val="Bibliography"/>
      </w:pPr>
      <w:r>
        <w:t xml:space="preserve">Goldinger, S. D. (1998). Echoes of echoes? An episodic theory of lexical access.</w:t>
      </w:r>
      <w:r>
        <w:t xml:space="preserve"> </w:t>
      </w:r>
      <w:r>
        <w:rPr>
          <w:i/>
          <w:iCs/>
        </w:rPr>
        <w:t xml:space="preserve">Psychological Review</w:t>
      </w:r>
      <w:r>
        <w:t xml:space="preserve">,</w:t>
      </w:r>
      <w:r>
        <w:t xml:space="preserve"> </w:t>
      </w:r>
      <w:r>
        <w:rPr>
          <w:i/>
          <w:iCs/>
        </w:rPr>
        <w:t xml:space="preserve">105</w:t>
      </w:r>
      <w:r>
        <w:t xml:space="preserve">(2), 251–279.</w:t>
      </w:r>
    </w:p>
    <w:bookmarkEnd w:id="120"/>
    <w:bookmarkStart w:id="121" w:name="ref-GreenEtAl1991"/>
    <w:p>
      <w:pPr>
        <w:pStyle w:val="Bibliography"/>
      </w:pPr>
      <w:r>
        <w:t xml:space="preserve">Green, K., Kuhl, P., Meltzoff, A., &amp; Stevens, E. (1991). Integrating speech information across talkers, gender, and sensory modality: Female faces and male voices in the McGurk effect.</w:t>
      </w:r>
      <w:r>
        <w:t xml:space="preserve"> </w:t>
      </w:r>
      <w:r>
        <w:rPr>
          <w:i/>
          <w:iCs/>
        </w:rPr>
        <w:t xml:space="preserve">Attention, Perception, &amp; Psychophysics</w:t>
      </w:r>
      <w:r>
        <w:t xml:space="preserve">,</w:t>
      </w:r>
      <w:r>
        <w:t xml:space="preserve"> </w:t>
      </w:r>
      <w:r>
        <w:rPr>
          <w:i/>
          <w:iCs/>
        </w:rPr>
        <w:t xml:space="preserve">50</w:t>
      </w:r>
      <w:r>
        <w:t xml:space="preserve">, 524–536.</w:t>
      </w:r>
    </w:p>
    <w:bookmarkEnd w:id="121"/>
    <w:bookmarkStart w:id="122" w:name="ref-hadodoIssue"/>
    <w:p>
      <w:pPr>
        <w:pStyle w:val="Bibliography"/>
      </w:pPr>
      <w:r>
        <w:t xml:space="preserve">Hadodo, M. (this issue). Situating experience in social meaning: Ethnography, experiments and exemplars in the enregisterment of istanbul greek.</w:t>
      </w:r>
      <w:r>
        <w:t xml:space="preserve"> </w:t>
      </w:r>
      <w:r>
        <w:rPr>
          <w:i/>
          <w:iCs/>
        </w:rPr>
        <w:t xml:space="preserve">Journal of Sociolinguistics</w:t>
      </w:r>
      <w:r>
        <w:t xml:space="preserve">,</w:t>
      </w:r>
      <w:r>
        <w:t xml:space="preserve"> </w:t>
      </w:r>
      <w:r>
        <w:rPr>
          <w:i/>
          <w:iCs/>
        </w:rPr>
        <w:t xml:space="preserve">42</w:t>
      </w:r>
      <w:r>
        <w:t xml:space="preserve">(1).</w:t>
      </w:r>
    </w:p>
    <w:bookmarkEnd w:id="122"/>
    <w:bookmarkStart w:id="123" w:name="ref-hall2021language"/>
    <w:p>
      <w:pPr>
        <w:pStyle w:val="Bibliography"/>
      </w:pPr>
      <w:r>
        <w:t xml:space="preserve">Hall, K., Borba, R., &amp; Hiramoto, M. (2021). Language and gender.</w:t>
      </w:r>
      <w:r>
        <w:t xml:space="preserve"> </w:t>
      </w:r>
      <w:r>
        <w:rPr>
          <w:i/>
          <w:iCs/>
        </w:rPr>
        <w:t xml:space="preserve">The International Encyclopedia of Linguistic Anthropology</w:t>
      </w:r>
      <w:r>
        <w:t xml:space="preserve">, 892–912.</w:t>
      </w:r>
    </w:p>
    <w:bookmarkEnd w:id="123"/>
    <w:bookmarkStart w:id="124" w:name="ref-HayDrager2010"/>
    <w:p>
      <w:pPr>
        <w:pStyle w:val="Bibliography"/>
      </w:pPr>
      <w:r>
        <w:t xml:space="preserve">Hay, J., &amp; Drager, K. (2010). Stuffed toys and speech perception.</w:t>
      </w:r>
      <w:r>
        <w:t xml:space="preserve"> </w:t>
      </w:r>
      <w:r>
        <w:rPr>
          <w:i/>
          <w:iCs/>
        </w:rPr>
        <w:t xml:space="preserve">Linguistics</w:t>
      </w:r>
      <w:r>
        <w:t xml:space="preserve">,</w:t>
      </w:r>
      <w:r>
        <w:t xml:space="preserve"> </w:t>
      </w:r>
      <w:r>
        <w:rPr>
          <w:i/>
          <w:iCs/>
        </w:rPr>
        <w:t xml:space="preserve">48</w:t>
      </w:r>
      <w:r>
        <w:t xml:space="preserve">(4), 865–892.</w:t>
      </w:r>
    </w:p>
    <w:bookmarkEnd w:id="124"/>
    <w:bookmarkStart w:id="125" w:name="ref-haynolandrager2006"/>
    <w:p>
      <w:pPr>
        <w:pStyle w:val="Bibliography"/>
      </w:pPr>
      <w:r>
        <w:t xml:space="preserve">Hay, J., Nolan, A., &amp; Drager, K. (2006). From fush to feesh: Exemplar priming in speech perception.</w:t>
      </w:r>
      <w:r>
        <w:t xml:space="preserve"> </w:t>
      </w:r>
      <w:r>
        <w:rPr>
          <w:i/>
          <w:iCs/>
        </w:rPr>
        <w:t xml:space="preserve">The Linguistic Review</w:t>
      </w:r>
      <w:r>
        <w:t xml:space="preserve">,</w:t>
      </w:r>
      <w:r>
        <w:t xml:space="preserve"> </w:t>
      </w:r>
      <w:r>
        <w:rPr>
          <w:i/>
          <w:iCs/>
        </w:rPr>
        <w:t xml:space="preserve">23</w:t>
      </w:r>
      <w:r>
        <w:t xml:space="preserve">(3), 351–379.</w:t>
      </w:r>
    </w:p>
    <w:bookmarkEnd w:id="125"/>
    <w:bookmarkStart w:id="126" w:name="ref-haywarrendrager2006"/>
    <w:p>
      <w:pPr>
        <w:pStyle w:val="Bibliography"/>
      </w:pPr>
      <w:r>
        <w:t xml:space="preserve">Hay, J., Warren, P., &amp; Drager, K. (2006). Factors influencing speech perception in the context of a merger-in-progress.</w:t>
      </w:r>
      <w:r>
        <w:t xml:space="preserve"> </w:t>
      </w:r>
      <w:r>
        <w:rPr>
          <w:i/>
          <w:iCs/>
        </w:rPr>
        <w:t xml:space="preserve">Journal of Phonetics</w:t>
      </w:r>
      <w:r>
        <w:t xml:space="preserve">,</w:t>
      </w:r>
      <w:r>
        <w:t xml:space="preserve"> </w:t>
      </w:r>
      <w:r>
        <w:rPr>
          <w:i/>
          <w:iCs/>
        </w:rPr>
        <w:t xml:space="preserve">34</w:t>
      </w:r>
      <w:r>
        <w:t xml:space="preserve">(4), 458–484.</w:t>
      </w:r>
    </w:p>
    <w:bookmarkEnd w:id="126"/>
    <w:bookmarkStart w:id="127" w:name="ref-inoue2003"/>
    <w:p>
      <w:pPr>
        <w:pStyle w:val="Bibliography"/>
      </w:pPr>
      <w:r>
        <w:t xml:space="preserve">Inoue, M. (2003). Speech without a speaking body:</w:t>
      </w:r>
      <w:r>
        <w:t xml:space="preserve">“japanese women’s language”</w:t>
      </w:r>
      <w:r>
        <w:t xml:space="preserve"> </w:t>
      </w:r>
      <w:r>
        <w:t xml:space="preserve">in translation.</w:t>
      </w:r>
      <w:r>
        <w:t xml:space="preserve"> </w:t>
      </w:r>
      <w:r>
        <w:rPr>
          <w:i/>
          <w:iCs/>
        </w:rPr>
        <w:t xml:space="preserve">Language &amp; Communication</w:t>
      </w:r>
      <w:r>
        <w:t xml:space="preserve">,</w:t>
      </w:r>
      <w:r>
        <w:t xml:space="preserve"> </w:t>
      </w:r>
      <w:r>
        <w:rPr>
          <w:i/>
          <w:iCs/>
        </w:rPr>
        <w:t xml:space="preserve">23</w:t>
      </w:r>
      <w:r>
        <w:t xml:space="preserve">(3-4), 315–330.</w:t>
      </w:r>
    </w:p>
    <w:bookmarkEnd w:id="127"/>
    <w:bookmarkStart w:id="128" w:name="ref-johnson2005"/>
    <w:p>
      <w:pPr>
        <w:pStyle w:val="Bibliography"/>
      </w:pPr>
      <w:r>
        <w:t xml:space="preserve">Johnson, K. (2005). Speaker normalization in speech perception. In D. B. Pisoni &amp; R. Remez (Eds.),</w:t>
      </w:r>
      <w:r>
        <w:t xml:space="preserve"> </w:t>
      </w:r>
      <w:r>
        <w:rPr>
          <w:i/>
          <w:iCs/>
        </w:rPr>
        <w:t xml:space="preserve">The handbook of speech perception</w:t>
      </w:r>
      <w:r>
        <w:t xml:space="preserve"> </w:t>
      </w:r>
      <w:r>
        <w:t xml:space="preserve">(pp. 363–389).</w:t>
      </w:r>
    </w:p>
    <w:bookmarkEnd w:id="128"/>
    <w:bookmarkStart w:id="129" w:name="ref-Johnson2006"/>
    <w:p>
      <w:pPr>
        <w:pStyle w:val="Bibliography"/>
      </w:pPr>
      <w:r>
        <w:t xml:space="preserve">Johnson, K. (2006).</w:t>
      </w:r>
      <w:r>
        <w:t xml:space="preserve"> </w:t>
      </w:r>
      <w:r>
        <w:t xml:space="preserve">Resonance in an exemplar-based lexicon: The emergence of social identity and phonology.</w:t>
      </w:r>
      <w:r>
        <w:t xml:space="preserve"> </w:t>
      </w:r>
      <w:r>
        <w:rPr>
          <w:i/>
          <w:iCs/>
        </w:rPr>
        <w:t xml:space="preserve">Journal of Phonetics</w:t>
      </w:r>
      <w:r>
        <w:t xml:space="preserve">,</w:t>
      </w:r>
      <w:r>
        <w:t xml:space="preserve"> </w:t>
      </w:r>
      <w:r>
        <w:rPr>
          <w:i/>
          <w:iCs/>
        </w:rPr>
        <w:t xml:space="preserve">34</w:t>
      </w:r>
      <w:r>
        <w:t xml:space="preserve">, 485–499.</w:t>
      </w:r>
    </w:p>
    <w:bookmarkEnd w:id="129"/>
    <w:bookmarkStart w:id="130" w:name="ref-johnsonstranddimperio1999"/>
    <w:p>
      <w:pPr>
        <w:pStyle w:val="Bibliography"/>
      </w:pPr>
      <w:r>
        <w:t xml:space="preserve">Johnson, K., Strand, E. A., &amp; D’Imperio, M. (1999). Auditory–visual integration of talker gender in vowel perception.</w:t>
      </w:r>
      <w:r>
        <w:t xml:space="preserve"> </w:t>
      </w:r>
      <w:r>
        <w:rPr>
          <w:i/>
          <w:iCs/>
        </w:rPr>
        <w:t xml:space="preserve">Journal of Phonetics</w:t>
      </w:r>
      <w:r>
        <w:t xml:space="preserve">,</w:t>
      </w:r>
      <w:r>
        <w:t xml:space="preserve"> </w:t>
      </w:r>
      <w:r>
        <w:rPr>
          <w:i/>
          <w:iCs/>
        </w:rPr>
        <w:t xml:space="preserve">27</w:t>
      </w:r>
      <w:r>
        <w:t xml:space="preserve">(4), 359–384.</w:t>
      </w:r>
    </w:p>
    <w:bookmarkEnd w:id="130"/>
    <w:bookmarkStart w:id="131" w:name="ref-Joos1948"/>
    <w:p>
      <w:pPr>
        <w:pStyle w:val="Bibliography"/>
      </w:pPr>
      <w:r>
        <w:t xml:space="preserve">Joos, M. (1948). Acoustic phonetics.</w:t>
      </w:r>
      <w:r>
        <w:t xml:space="preserve"> </w:t>
      </w:r>
      <w:r>
        <w:rPr>
          <w:i/>
          <w:iCs/>
        </w:rPr>
        <w:t xml:space="preserve">Language</w:t>
      </w:r>
      <w:r>
        <w:t xml:space="preserve">,</w:t>
      </w:r>
      <w:r>
        <w:t xml:space="preserve"> </w:t>
      </w:r>
      <w:r>
        <w:rPr>
          <w:i/>
          <w:iCs/>
        </w:rPr>
        <w:t xml:space="preserve">24</w:t>
      </w:r>
      <w:r>
        <w:t xml:space="preserve">(2), 5–136.</w:t>
      </w:r>
    </w:p>
    <w:bookmarkEnd w:id="131"/>
    <w:bookmarkStart w:id="132" w:name="ref-kang2013"/>
    <w:p>
      <w:pPr>
        <w:pStyle w:val="Bibliography"/>
      </w:pPr>
      <w:r>
        <w:t xml:space="preserve">Käng, D. B. (2013). Conceptualizing thai genderscapes: Transformation and continuity in the thai sex/gender system. In</w:t>
      </w:r>
      <w:r>
        <w:t xml:space="preserve"> </w:t>
      </w:r>
      <w:r>
        <w:rPr>
          <w:i/>
          <w:iCs/>
        </w:rPr>
        <w:t xml:space="preserve">Contemporary socio-cultural and political perspectives in thailand</w:t>
      </w:r>
      <w:r>
        <w:t xml:space="preserve"> </w:t>
      </w:r>
      <w:r>
        <w:t xml:space="preserve">(pp. 409–429). Springer.</w:t>
      </w:r>
    </w:p>
    <w:bookmarkEnd w:id="132"/>
    <w:bookmarkStart w:id="133" w:name="ref-king2021"/>
    <w:p>
      <w:pPr>
        <w:pStyle w:val="Bibliography"/>
      </w:pPr>
      <w:r>
        <w:t xml:space="preserve">King, E. T. (2021).</w:t>
      </w:r>
      <w:r>
        <w:t xml:space="preserve"> </w:t>
      </w:r>
      <w:r>
        <w:rPr>
          <w:i/>
          <w:iCs/>
        </w:rPr>
        <w:t xml:space="preserve">Speaker and group specificity in spoken word recognition</w:t>
      </w:r>
      <w:r>
        <w:t xml:space="preserve"> </w:t>
      </w:r>
      <w:r>
        <w:t xml:space="preserve">[PhD thesis]. Stanford University.</w:t>
      </w:r>
    </w:p>
    <w:bookmarkEnd w:id="133"/>
    <w:bookmarkStart w:id="134" w:name="ref-kristiansen2009"/>
    <w:p>
      <w:pPr>
        <w:pStyle w:val="Bibliography"/>
      </w:pPr>
      <w:r>
        <w:t xml:space="preserve">Kristiansen, T. (2009). The macro-level social meanings of late-modern danish accents.</w:t>
      </w:r>
      <w:r>
        <w:t xml:space="preserve"> </w:t>
      </w:r>
      <w:r>
        <w:rPr>
          <w:i/>
          <w:iCs/>
        </w:rPr>
        <w:t xml:space="preserve">Acta Linguistica Hafniensia</w:t>
      </w:r>
      <w:r>
        <w:t xml:space="preserve">,</w:t>
      </w:r>
      <w:r>
        <w:t xml:space="preserve"> </w:t>
      </w:r>
      <w:r>
        <w:rPr>
          <w:i/>
          <w:iCs/>
        </w:rPr>
        <w:t xml:space="preserve">41</w:t>
      </w:r>
      <w:r>
        <w:t xml:space="preserve">(1), 167–192.</w:t>
      </w:r>
    </w:p>
    <w:bookmarkEnd w:id="134"/>
    <w:bookmarkStart w:id="135" w:name="ref-labovEtAl2011"/>
    <w:p>
      <w:pPr>
        <w:pStyle w:val="Bibliography"/>
      </w:pPr>
      <w:r>
        <w:t xml:space="preserve">Labov, W., Ash, S., Ravindranath, M., Weldon, T., Baranowski, M., &amp; Nagy, N. (2011). Properties of the sociolinguistic monitor.</w:t>
      </w:r>
      <w:r>
        <w:t xml:space="preserve"> </w:t>
      </w:r>
      <w:r>
        <w:rPr>
          <w:i/>
          <w:iCs/>
        </w:rPr>
        <w:t xml:space="preserve">Journal of Sociolinguistics</w:t>
      </w:r>
      <w:r>
        <w:t xml:space="preserve">,</w:t>
      </w:r>
      <w:r>
        <w:t xml:space="preserve"> </w:t>
      </w:r>
      <w:r>
        <w:rPr>
          <w:i/>
          <w:iCs/>
        </w:rPr>
        <w:t xml:space="preserve">15</w:t>
      </w:r>
      <w:r>
        <w:t xml:space="preserve">(4), 431–463.</w:t>
      </w:r>
    </w:p>
    <w:bookmarkEnd w:id="135"/>
    <w:bookmarkStart w:id="136" w:name="ref-lambertEtAl1960"/>
    <w:p>
      <w:pPr>
        <w:pStyle w:val="Bibliography"/>
      </w:pPr>
      <w:r>
        <w:t xml:space="preserve">Lambert, W. E., Hodgson, R. C., Gardner, R. C., &amp; Fillenbaum, S. (1960). Evaluational reactions to spoken languages.</w:t>
      </w:r>
      <w:r>
        <w:t xml:space="preserve"> </w:t>
      </w:r>
      <w:r>
        <w:rPr>
          <w:i/>
          <w:iCs/>
        </w:rPr>
        <w:t xml:space="preserve">The Journal of Abnormal and Social Psychology</w:t>
      </w:r>
      <w:r>
        <w:t xml:space="preserve">,</w:t>
      </w:r>
      <w:r>
        <w:t xml:space="preserve"> </w:t>
      </w:r>
      <w:r>
        <w:rPr>
          <w:i/>
          <w:iCs/>
        </w:rPr>
        <w:t xml:space="preserve">60</w:t>
      </w:r>
      <w:r>
        <w:t xml:space="preserve">(1), 44.</w:t>
      </w:r>
    </w:p>
    <w:bookmarkEnd w:id="136"/>
    <w:bookmarkStart w:id="138" w:name="ref-JATOS"/>
    <w:p>
      <w:pPr>
        <w:pStyle w:val="Bibliography"/>
      </w:pPr>
      <w:r>
        <w:t xml:space="preserve">Lange, K., Kuhn, S., &amp; Filevich, E. (2015). "Just another tool for online studies” (JATOS): An easy solution for setup and management of web servers supporting online studies.</w:t>
      </w:r>
      <w:r>
        <w:t xml:space="preserve"> </w:t>
      </w:r>
      <w:r>
        <w:rPr>
          <w:i/>
          <w:iCs/>
        </w:rPr>
        <w:t xml:space="preserve">PLOS ONE</w:t>
      </w:r>
      <w:r>
        <w:t xml:space="preserve">,</w:t>
      </w:r>
      <w:r>
        <w:t xml:space="preserve"> </w:t>
      </w:r>
      <w:r>
        <w:rPr>
          <w:i/>
          <w:iCs/>
        </w:rPr>
        <w:t xml:space="preserve">10</w:t>
      </w:r>
      <w:r>
        <w:t xml:space="preserve">(6), 1–14.</w:t>
      </w:r>
      <w:r>
        <w:t xml:space="preserve"> </w:t>
      </w:r>
      <w:hyperlink r:id="rId137">
        <w:r>
          <w:rPr>
            <w:rStyle w:val="Hyperlink"/>
          </w:rPr>
          <w:t xml:space="preserve">https://doi.org/10.1371/journal.pone.0130834</w:t>
        </w:r>
      </w:hyperlink>
    </w:p>
    <w:bookmarkEnd w:id="138"/>
    <w:bookmarkStart w:id="140" w:name="ref-laver1968"/>
    <w:p>
      <w:pPr>
        <w:pStyle w:val="Bibliography"/>
      </w:pPr>
      <w:r>
        <w:t xml:space="preserve">Laver, J. D. M. (1968). Voice quality and indexical information.</w:t>
      </w:r>
      <w:r>
        <w:t xml:space="preserve"> </w:t>
      </w:r>
      <w:r>
        <w:rPr>
          <w:i/>
          <w:iCs/>
        </w:rPr>
        <w:t xml:space="preserve">British Journal of Disorders of Communication</w:t>
      </w:r>
      <w:r>
        <w:t xml:space="preserve">,</w:t>
      </w:r>
      <w:r>
        <w:t xml:space="preserve"> </w:t>
      </w:r>
      <w:r>
        <w:rPr>
          <w:i/>
          <w:iCs/>
        </w:rPr>
        <w:t xml:space="preserve">3</w:t>
      </w:r>
      <w:r>
        <w:t xml:space="preserve">(1), 43–54.</w:t>
      </w:r>
      <w:r>
        <w:t xml:space="preserve"> </w:t>
      </w:r>
      <w:hyperlink r:id="rId139">
        <w:r>
          <w:rPr>
            <w:rStyle w:val="Hyperlink"/>
          </w:rPr>
          <w:t xml:space="preserve">https://doi.org/10.3109/13682826809011440</w:t>
        </w:r>
      </w:hyperlink>
    </w:p>
    <w:bookmarkEnd w:id="140"/>
    <w:bookmarkStart w:id="142" w:name="ref-levonFox2014"/>
    <w:p>
      <w:pPr>
        <w:pStyle w:val="Bibliography"/>
      </w:pPr>
      <w:r>
        <w:t xml:space="preserve">Levon, E., &amp; Fox, S. (2014). 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w:t>
      </w:r>
      <w:r>
        <w:t xml:space="preserve"> </w:t>
      </w:r>
      <w:r>
        <w:rPr>
          <w:i/>
          <w:iCs/>
        </w:rPr>
        <w:t xml:space="preserve">42</w:t>
      </w:r>
      <w:r>
        <w:t xml:space="preserve">(3), 185–217.</w:t>
      </w:r>
      <w:r>
        <w:t xml:space="preserve"> </w:t>
      </w:r>
      <w:hyperlink r:id="rId141">
        <w:r>
          <w:rPr>
            <w:rStyle w:val="Hyperlink"/>
          </w:rPr>
          <w:t xml:space="preserve">https://doi.org/10.1177/0075424214531487</w:t>
        </w:r>
      </w:hyperlink>
    </w:p>
    <w:bookmarkEnd w:id="142"/>
    <w:bookmarkStart w:id="143" w:name="ref-lisker1986"/>
    <w:p>
      <w:pPr>
        <w:pStyle w:val="Bibliography"/>
      </w:pPr>
      <w:r>
        <w:t xml:space="preserve">Lisker, L. (1986).</w:t>
      </w:r>
      <w:r>
        <w:t xml:space="preserve"> </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w:t>
      </w:r>
      <w:r>
        <w:t xml:space="preserve"> </w:t>
      </w:r>
      <w:r>
        <w:rPr>
          <w:i/>
          <w:iCs/>
        </w:rPr>
        <w:t xml:space="preserve">29</w:t>
      </w:r>
      <w:r>
        <w:t xml:space="preserve">(1), 3–11.</w:t>
      </w:r>
    </w:p>
    <w:bookmarkEnd w:id="143"/>
    <w:bookmarkStart w:id="144" w:name="ref-ChicagoFaceDatabase"/>
    <w:p>
      <w:pPr>
        <w:pStyle w:val="Bibliography"/>
      </w:pPr>
      <w:r>
        <w:t xml:space="preserve">Ma, D. S., Correll, J., &amp; Wittenbrink, B. (2015). The chicago face database: A free stimulus set of faces and norming data.</w:t>
      </w:r>
      <w:r>
        <w:t xml:space="preserve"> </w:t>
      </w:r>
      <w:r>
        <w:rPr>
          <w:i/>
          <w:iCs/>
        </w:rPr>
        <w:t xml:space="preserve">Behavior Research Methods</w:t>
      </w:r>
      <w:r>
        <w:t xml:space="preserve">,</w:t>
      </w:r>
      <w:r>
        <w:t xml:space="preserve"> </w:t>
      </w:r>
      <w:r>
        <w:rPr>
          <w:i/>
          <w:iCs/>
        </w:rPr>
        <w:t xml:space="preserve">47</w:t>
      </w:r>
      <w:r>
        <w:t xml:space="preserve">(4), 1122–1135.</w:t>
      </w:r>
    </w:p>
    <w:bookmarkEnd w:id="144"/>
    <w:bookmarkStart w:id="145" w:name="ref-mackMunson2012b"/>
    <w:p>
      <w:pPr>
        <w:pStyle w:val="Bibliography"/>
      </w:pPr>
      <w:r>
        <w:t xml:space="preserve">Mack, S., &amp; Munson, B. (2012a). The association between/s/quality and perceived sexual orientation of men’s voices: Implicit and explicit measures.</w:t>
      </w:r>
      <w:r>
        <w:t xml:space="preserve"> </w:t>
      </w:r>
      <w:r>
        <w:rPr>
          <w:i/>
          <w:iCs/>
        </w:rPr>
        <w:t xml:space="preserve">Journal of Phonetics</w:t>
      </w:r>
      <w:r>
        <w:t xml:space="preserve">,</w:t>
      </w:r>
      <w:r>
        <w:t xml:space="preserve"> </w:t>
      </w:r>
      <w:r>
        <w:rPr>
          <w:i/>
          <w:iCs/>
        </w:rPr>
        <w:t xml:space="preserve">40</w:t>
      </w:r>
      <w:r>
        <w:t xml:space="preserve">(1), 198–212.</w:t>
      </w:r>
    </w:p>
    <w:bookmarkEnd w:id="145"/>
    <w:bookmarkStart w:id="147" w:name="ref-mackmunson2012"/>
    <w:p>
      <w:pPr>
        <w:pStyle w:val="Bibliography"/>
      </w:pPr>
      <w:r>
        <w:t xml:space="preserve">Mack, S., &amp; Munson, B. (2012b). 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w:t>
      </w:r>
      <w:r>
        <w:t xml:space="preserve"> </w:t>
      </w:r>
      <w:r>
        <w:rPr>
          <w:i/>
          <w:iCs/>
        </w:rPr>
        <w:t xml:space="preserve">40</w:t>
      </w:r>
      <w:r>
        <w:t xml:space="preserve">(1), 198–212. https://doi.org/</w:t>
      </w:r>
      <w:hyperlink r:id="rId146">
        <w:r>
          <w:rPr>
            <w:rStyle w:val="Hyperlink"/>
          </w:rPr>
          <w:t xml:space="preserve">https://doi.org/10.1016/j.wocn.2011.10.002</w:t>
        </w:r>
      </w:hyperlink>
    </w:p>
    <w:bookmarkEnd w:id="147"/>
    <w:bookmarkStart w:id="148" w:name="ref-MannRepp1980"/>
    <w:p>
      <w:pPr>
        <w:pStyle w:val="Bibliography"/>
      </w:pPr>
      <w:r>
        <w:t xml:space="preserve">Mann, V. A., &amp; Repp, B. H. (1980). Influence of vocalic context on perception of the [∫]-[s] distinction.</w:t>
      </w:r>
      <w:r>
        <w:t xml:space="preserve"> </w:t>
      </w:r>
      <w:r>
        <w:rPr>
          <w:i/>
          <w:iCs/>
        </w:rPr>
        <w:t xml:space="preserve">Perception &amp; Psychophysics</w:t>
      </w:r>
      <w:r>
        <w:t xml:space="preserve">,</w:t>
      </w:r>
      <w:r>
        <w:t xml:space="preserve"> </w:t>
      </w:r>
      <w:r>
        <w:rPr>
          <w:i/>
          <w:iCs/>
        </w:rPr>
        <w:t xml:space="preserve">28</w:t>
      </w:r>
      <w:r>
        <w:t xml:space="preserve">(3), 213–228.</w:t>
      </w:r>
    </w:p>
    <w:bookmarkEnd w:id="148"/>
    <w:bookmarkStart w:id="149" w:name="ref-opensesame"/>
    <w:p>
      <w:pPr>
        <w:pStyle w:val="Bibliography"/>
      </w:pPr>
      <w:r>
        <w:t xml:space="preserve">Mathôt, S., Schreij, D., &amp; Theeuwes, J. (2012). Opensesame: An open-source, graphical experiment builder for the social sciences.</w:t>
      </w:r>
      <w:r>
        <w:t xml:space="preserve"> </w:t>
      </w:r>
      <w:r>
        <w:rPr>
          <w:i/>
          <w:iCs/>
        </w:rPr>
        <w:t xml:space="preserve">Behavior Research Methods</w:t>
      </w:r>
      <w:r>
        <w:t xml:space="preserve">,</w:t>
      </w:r>
      <w:r>
        <w:t xml:space="preserve"> </w:t>
      </w:r>
      <w:r>
        <w:rPr>
          <w:i/>
          <w:iCs/>
        </w:rPr>
        <w:t xml:space="preserve">44</w:t>
      </w:r>
      <w:r>
        <w:t xml:space="preserve">(2), 314–324.</w:t>
      </w:r>
    </w:p>
    <w:bookmarkEnd w:id="149"/>
    <w:bookmarkStart w:id="150" w:name="ref-may1976"/>
    <w:p>
      <w:pPr>
        <w:pStyle w:val="Bibliography"/>
      </w:pPr>
      <w:r>
        <w:t xml:space="preserve">May, J. (1976). Vocal tract normalization for /s/ and /š/.</w:t>
      </w:r>
      <w:r>
        <w:t xml:space="preserve"> </w:t>
      </w:r>
      <w:r>
        <w:rPr>
          <w:i/>
          <w:iCs/>
        </w:rPr>
        <w:t xml:space="preserve">Haskins Laboratories Status Report on Speech Research</w:t>
      </w:r>
      <w:r>
        <w:t xml:space="preserve">,</w:t>
      </w:r>
      <w:r>
        <w:t xml:space="preserve"> </w:t>
      </w:r>
      <w:r>
        <w:rPr>
          <w:i/>
          <w:iCs/>
        </w:rPr>
        <w:t xml:space="preserve">SR-48</w:t>
      </w:r>
      <w:r>
        <w:t xml:space="preserve">, 67–73.</w:t>
      </w:r>
    </w:p>
    <w:bookmarkEnd w:id="150"/>
    <w:bookmarkStart w:id="151" w:name="ref-McGowan2011"/>
    <w:p>
      <w:pPr>
        <w:pStyle w:val="Bibliography"/>
      </w:pPr>
      <w:r>
        <w:t xml:space="preserve">McGowan, K. B. (2011).</w:t>
      </w:r>
      <w:r>
        <w:t xml:space="preserve"> </w:t>
      </w:r>
      <w:r>
        <w:rPr>
          <w:i/>
          <w:iCs/>
        </w:rPr>
        <w:t xml:space="preserve">The role of socioindexical expectation in speech perception</w:t>
      </w:r>
      <w:r>
        <w:t xml:space="preserve"> </w:t>
      </w:r>
      <w:r>
        <w:t xml:space="preserve">[PhD thesis]. University of Michigan.</w:t>
      </w:r>
    </w:p>
    <w:bookmarkEnd w:id="151"/>
    <w:bookmarkStart w:id="152" w:name="ref-McGowan2015"/>
    <w:p>
      <w:pPr>
        <w:pStyle w:val="Bibliography"/>
      </w:pPr>
      <w:r>
        <w:t xml:space="preserve">McGowan, K. B. (2015). Social expectation improves speech perception in noise.</w:t>
      </w:r>
      <w:r>
        <w:t xml:space="preserve"> </w:t>
      </w:r>
      <w:r>
        <w:rPr>
          <w:i/>
          <w:iCs/>
        </w:rPr>
        <w:t xml:space="preserve">Language and Speech</w:t>
      </w:r>
      <w:r>
        <w:t xml:space="preserve">,</w:t>
      </w:r>
      <w:r>
        <w:t xml:space="preserve"> </w:t>
      </w:r>
      <w:r>
        <w:rPr>
          <w:i/>
          <w:iCs/>
        </w:rPr>
        <w:t xml:space="preserve">58</w:t>
      </w:r>
      <w:r>
        <w:t xml:space="preserve">(4), 502–521.</w:t>
      </w:r>
    </w:p>
    <w:bookmarkEnd w:id="152"/>
    <w:bookmarkStart w:id="153" w:name="ref-mcgowan2016"/>
    <w:p>
      <w:pPr>
        <w:pStyle w:val="Bibliography"/>
      </w:pPr>
      <w:r>
        <w:t xml:space="preserve">McGowan, K. B. (2016). Sounding chinese and listening chinese: Awareness and knowledge in the laboratory. In A. M. Babel (Ed.),</w:t>
      </w:r>
      <w:r>
        <w:t xml:space="preserve"> </w:t>
      </w:r>
      <w:r>
        <w:rPr>
          <w:i/>
          <w:iCs/>
        </w:rPr>
        <w:t xml:space="preserve">Awareness and control in sociolinguistic research</w:t>
      </w:r>
      <w:r>
        <w:t xml:space="preserve"> </w:t>
      </w:r>
      <w:r>
        <w:t xml:space="preserve">(pp. 25–61). Cambridge University Press Cambridge.</w:t>
      </w:r>
    </w:p>
    <w:bookmarkEnd w:id="153"/>
    <w:bookmarkStart w:id="154" w:name="ref-mcgowanBabel2020"/>
    <w:p>
      <w:pPr>
        <w:pStyle w:val="Bibliography"/>
      </w:pPr>
      <w:r>
        <w:t xml:space="preserve">McGowan, K. B., &amp; Babel, A. M. (2020). Perceiving isn’t believing: Divergence in levels of sociolinguistic awareness.</w:t>
      </w:r>
      <w:r>
        <w:t xml:space="preserve"> </w:t>
      </w:r>
      <w:r>
        <w:rPr>
          <w:i/>
          <w:iCs/>
        </w:rPr>
        <w:t xml:space="preserve">Language in Society</w:t>
      </w:r>
      <w:r>
        <w:t xml:space="preserve">,</w:t>
      </w:r>
      <w:r>
        <w:t xml:space="preserve"> </w:t>
      </w:r>
      <w:r>
        <w:rPr>
          <w:i/>
          <w:iCs/>
        </w:rPr>
        <w:t xml:space="preserve">49</w:t>
      </w:r>
      <w:r>
        <w:t xml:space="preserve">(2), 231–256.</w:t>
      </w:r>
    </w:p>
    <w:bookmarkEnd w:id="154"/>
    <w:bookmarkStart w:id="155" w:name="ref-McGurkMacDonald1976"/>
    <w:p>
      <w:pPr>
        <w:pStyle w:val="Bibliography"/>
      </w:pPr>
      <w:r>
        <w:t xml:space="preserve">McGurk, H., &amp; MacDonald, J. (1976). Hearing lips and seeing voices.</w:t>
      </w:r>
      <w:r>
        <w:t xml:space="preserve"> </w:t>
      </w:r>
      <w:r>
        <w:rPr>
          <w:i/>
          <w:iCs/>
        </w:rPr>
        <w:t xml:space="preserve">Nature</w:t>
      </w:r>
      <w:r>
        <w:t xml:space="preserve">,</w:t>
      </w:r>
      <w:r>
        <w:t xml:space="preserve"> </w:t>
      </w:r>
      <w:r>
        <w:rPr>
          <w:i/>
          <w:iCs/>
        </w:rPr>
        <w:t xml:space="preserve">264</w:t>
      </w:r>
      <w:r>
        <w:t xml:space="preserve">, 746–748.</w:t>
      </w:r>
    </w:p>
    <w:bookmarkEnd w:id="155"/>
    <w:bookmarkStart w:id="156" w:name="ref-milroyMcClenaghan1977"/>
    <w:p>
      <w:pPr>
        <w:pStyle w:val="Bibliography"/>
      </w:pPr>
      <w:r>
        <w:t xml:space="preserve">Milroy, L., &amp; McClenaghan, P. (1977). Stereotyped reactions to four educated accents in ulster.</w:t>
      </w:r>
      <w:r>
        <w:t xml:space="preserve"> </w:t>
      </w:r>
      <w:r>
        <w:rPr>
          <w:i/>
          <w:iCs/>
        </w:rPr>
        <w:t xml:space="preserve">Belfast Working Papers in Language and Linguistics</w:t>
      </w:r>
      <w:r>
        <w:t xml:space="preserve">,</w:t>
      </w:r>
      <w:r>
        <w:t xml:space="preserve"> </w:t>
      </w:r>
      <w:r>
        <w:rPr>
          <w:i/>
          <w:iCs/>
        </w:rPr>
        <w:t xml:space="preserve">2</w:t>
      </w:r>
      <w:r>
        <w:t xml:space="preserve">(4), 1–11.</w:t>
      </w:r>
    </w:p>
    <w:bookmarkEnd w:id="156"/>
    <w:bookmarkStart w:id="157" w:name="ref-munson2011"/>
    <w:p>
      <w:pPr>
        <w:pStyle w:val="Bibliography"/>
      </w:pPr>
      <w:r>
        <w:t xml:space="preserve">Munson, B. (2011). The influence of actual and imputed talker gender on fricative perception, revisited (l).</w:t>
      </w:r>
      <w:r>
        <w:t xml:space="preserve"> </w:t>
      </w:r>
      <w:r>
        <w:rPr>
          <w:i/>
          <w:iCs/>
        </w:rPr>
        <w:t xml:space="preserve">The Journal of the Acoustical Society of America</w:t>
      </w:r>
      <w:r>
        <w:t xml:space="preserve">,</w:t>
      </w:r>
      <w:r>
        <w:t xml:space="preserve"> </w:t>
      </w:r>
      <w:r>
        <w:rPr>
          <w:i/>
          <w:iCs/>
        </w:rPr>
        <w:t xml:space="preserve">130</w:t>
      </w:r>
      <w:r>
        <w:t xml:space="preserve">(5), 2631–2634.</w:t>
      </w:r>
    </w:p>
    <w:bookmarkEnd w:id="157"/>
    <w:bookmarkStart w:id="158" w:name="ref-Niedzielski1999"/>
    <w:p>
      <w:pPr>
        <w:pStyle w:val="Bibliography"/>
      </w:pPr>
      <w:r>
        <w:t xml:space="preserve">Niedzielski, N. (1999). The effect of social information on the perception of sociolinguistic variables.</w:t>
      </w:r>
      <w:r>
        <w:t xml:space="preserve"> </w:t>
      </w:r>
      <w:r>
        <w:rPr>
          <w:i/>
          <w:iCs/>
        </w:rPr>
        <w:t xml:space="preserve">Journal of Language and Social Psychology</w:t>
      </w:r>
      <w:r>
        <w:t xml:space="preserve">,</w:t>
      </w:r>
      <w:r>
        <w:t xml:space="preserve"> </w:t>
      </w:r>
      <w:r>
        <w:rPr>
          <w:i/>
          <w:iCs/>
        </w:rPr>
        <w:t xml:space="preserve">18</w:t>
      </w:r>
      <w:r>
        <w:t xml:space="preserve">(1), 62–85.</w:t>
      </w:r>
    </w:p>
    <w:bookmarkEnd w:id="158"/>
    <w:bookmarkStart w:id="159" w:name="ref-niedzielskiPreston2000"/>
    <w:p>
      <w:pPr>
        <w:pStyle w:val="Bibliography"/>
      </w:pPr>
      <w:r>
        <w:t xml:space="preserve">Niedzielski, N., &amp; Preston, D. R. (2000).</w:t>
      </w:r>
      <w:r>
        <w:t xml:space="preserve"> </w:t>
      </w:r>
      <w:r>
        <w:rPr>
          <w:i/>
          <w:iCs/>
        </w:rPr>
        <w:t xml:space="preserve">Folk linguistics</w:t>
      </w:r>
      <w:r>
        <w:t xml:space="preserve"> </w:t>
      </w:r>
      <w:r>
        <w:t xml:space="preserve">(Vol. 122). Walter de Gruyter.</w:t>
      </w:r>
    </w:p>
    <w:bookmarkEnd w:id="159"/>
    <w:bookmarkStart w:id="160" w:name="ref-nygaard1994"/>
    <w:p>
      <w:pPr>
        <w:pStyle w:val="Bibliography"/>
      </w:pPr>
      <w:r>
        <w:t xml:space="preserve">Nygaard, L. C., Sommers, M. S., &amp; Pisoni, D. B. (1994). Speech perception as a talker-contingent process.</w:t>
      </w:r>
      <w:r>
        <w:t xml:space="preserve"> </w:t>
      </w:r>
      <w:r>
        <w:rPr>
          <w:i/>
          <w:iCs/>
        </w:rPr>
        <w:t xml:space="preserve">Psychological Science</w:t>
      </w:r>
      <w:r>
        <w:t xml:space="preserve">,</w:t>
      </w:r>
      <w:r>
        <w:t xml:space="preserve"> </w:t>
      </w:r>
      <w:r>
        <w:rPr>
          <w:i/>
          <w:iCs/>
        </w:rPr>
        <w:t xml:space="preserve">5</w:t>
      </w:r>
      <w:r>
        <w:t xml:space="preserve">(1), 42–46.</w:t>
      </w:r>
    </w:p>
    <w:bookmarkEnd w:id="160"/>
    <w:bookmarkStart w:id="161" w:name="ref-ohala1994"/>
    <w:p>
      <w:pPr>
        <w:pStyle w:val="Bibliography"/>
      </w:pPr>
      <w:r>
        <w:t xml:space="preserve">Ohala, J. J. (1994). The frequency code underlies the sound-symbolic use of voice pitch.</w:t>
      </w:r>
      <w:r>
        <w:t xml:space="preserve"> </w:t>
      </w:r>
      <w:r>
        <w:rPr>
          <w:i/>
          <w:iCs/>
        </w:rPr>
        <w:t xml:space="preserve">Sound Symbolism</w:t>
      </w:r>
      <w:r>
        <w:t xml:space="preserve">, 325–347.</w:t>
      </w:r>
    </w:p>
    <w:bookmarkEnd w:id="161"/>
    <w:bookmarkStart w:id="162" w:name="ref-perryOhdeAshmead2001"/>
    <w:p>
      <w:pPr>
        <w:pStyle w:val="Bibliography"/>
      </w:pPr>
      <w:r>
        <w:t xml:space="preserve">Perry, T. L., Ohde, R. N., &amp; Ashmead, D. H. (2001). The acoustic bases for gender identification from children’s voices.</w:t>
      </w:r>
      <w:r>
        <w:t xml:space="preserve"> </w:t>
      </w:r>
      <w:r>
        <w:rPr>
          <w:i/>
          <w:iCs/>
        </w:rPr>
        <w:t xml:space="preserve">The Journal of the Acoustical Society of America</w:t>
      </w:r>
      <w:r>
        <w:t xml:space="preserve">,</w:t>
      </w:r>
      <w:r>
        <w:t xml:space="preserve"> </w:t>
      </w:r>
      <w:r>
        <w:rPr>
          <w:i/>
          <w:iCs/>
        </w:rPr>
        <w:t xml:space="preserve">109</w:t>
      </w:r>
      <w:r>
        <w:t xml:space="preserve">(6), 2988–2998.</w:t>
      </w:r>
    </w:p>
    <w:bookmarkEnd w:id="162"/>
    <w:bookmarkStart w:id="163" w:name="ref-pharaoKristiansen2019"/>
    <w:p>
      <w:pPr>
        <w:pStyle w:val="Bibliography"/>
      </w:pPr>
      <w:r>
        <w:t xml:space="preserve">Pharao, N., &amp; Kristiansen, T. (2019). Reflections on the relation between direct/indirect methods and explicit/implicit attitudes.</w:t>
      </w:r>
      <w:r>
        <w:t xml:space="preserve"> </w:t>
      </w:r>
      <w:r>
        <w:rPr>
          <w:i/>
          <w:iCs/>
        </w:rPr>
        <w:t xml:space="preserve">Linguistics Vanguard</w:t>
      </w:r>
      <w:r>
        <w:t xml:space="preserve">,</w:t>
      </w:r>
      <w:r>
        <w:t xml:space="preserve"> </w:t>
      </w:r>
      <w:r>
        <w:rPr>
          <w:i/>
          <w:iCs/>
        </w:rPr>
        <w:t xml:space="preserve">5</w:t>
      </w:r>
      <w:r>
        <w:t xml:space="preserve">(s1).</w:t>
      </w:r>
    </w:p>
    <w:bookmarkEnd w:id="163"/>
    <w:bookmarkStart w:id="164" w:name="ref-pharao2014"/>
    <w:p>
      <w:pPr>
        <w:pStyle w:val="Bibliography"/>
      </w:pPr>
      <w:r>
        <w:t xml:space="preserve">Pharao, N., Maegaard, M., Møller, J. S., &amp; Kristiansen, T. (2014). Indexical meanings of [s+] among copenhagen youth: Social perception of a phonetic variant in different prosodic contexts.</w:t>
      </w:r>
      <w:r>
        <w:t xml:space="preserve"> </w:t>
      </w:r>
      <w:r>
        <w:rPr>
          <w:i/>
          <w:iCs/>
        </w:rPr>
        <w:t xml:space="preserve">Language in Society</w:t>
      </w:r>
      <w:r>
        <w:t xml:space="preserve">,</w:t>
      </w:r>
      <w:r>
        <w:t xml:space="preserve"> </w:t>
      </w:r>
      <w:r>
        <w:rPr>
          <w:i/>
          <w:iCs/>
        </w:rPr>
        <w:t xml:space="preserve">43</w:t>
      </w:r>
      <w:r>
        <w:t xml:space="preserve">(1), 1–31.</w:t>
      </w:r>
    </w:p>
    <w:bookmarkEnd w:id="164"/>
    <w:bookmarkStart w:id="165" w:name="ref-pierrehumbert2003phonetic"/>
    <w:p>
      <w:pPr>
        <w:pStyle w:val="Bibliography"/>
      </w:pPr>
      <w:r>
        <w:t xml:space="preserve">Pierrehumbert, J. B. (2003). Phonetic diversity, statistical learning, and acquisition of phonology.</w:t>
      </w:r>
      <w:r>
        <w:t xml:space="preserve"> </w:t>
      </w:r>
      <w:r>
        <w:rPr>
          <w:i/>
          <w:iCs/>
        </w:rPr>
        <w:t xml:space="preserve">Language and Speech</w:t>
      </w:r>
      <w:r>
        <w:t xml:space="preserve">,</w:t>
      </w:r>
      <w:r>
        <w:t xml:space="preserve"> </w:t>
      </w:r>
      <w:r>
        <w:rPr>
          <w:i/>
          <w:iCs/>
        </w:rPr>
        <w:t xml:space="preserve">46</w:t>
      </w:r>
      <w:r>
        <w:t xml:space="preserve">(2-3), 115–154.</w:t>
      </w:r>
    </w:p>
    <w:bookmarkEnd w:id="165"/>
    <w:bookmarkStart w:id="166" w:name="ref-podesvaKajino2014"/>
    <w:p>
      <w:pPr>
        <w:pStyle w:val="Bibliography"/>
      </w:pPr>
      <w:r>
        <w:t xml:space="preserve">Podesva, R. J., &amp; Kajino, S. (2014). Sociophonetics, gender, and sexuality.</w:t>
      </w:r>
      <w:r>
        <w:t xml:space="preserve"> </w:t>
      </w:r>
      <w:r>
        <w:rPr>
          <w:i/>
          <w:iCs/>
        </w:rPr>
        <w:t xml:space="preserve">The Handbook of Language, Gender, and Sexuality</w:t>
      </w:r>
      <w:r>
        <w:t xml:space="preserve">, 103–122.</w:t>
      </w:r>
    </w:p>
    <w:bookmarkEnd w:id="166"/>
    <w:bookmarkStart w:id="167" w:name="ref-preston1996"/>
    <w:p>
      <w:pPr>
        <w:pStyle w:val="Bibliography"/>
      </w:pPr>
      <w:r>
        <w:t xml:space="preserve">Preston, D. R. (1996). Whaddayaknow?: The modes of folk linguistic awareness.</w:t>
      </w:r>
      <w:r>
        <w:t xml:space="preserve"> </w:t>
      </w:r>
      <w:r>
        <w:rPr>
          <w:i/>
          <w:iCs/>
        </w:rPr>
        <w:t xml:space="preserve">Language Awareness</w:t>
      </w:r>
      <w:r>
        <w:t xml:space="preserve">,</w:t>
      </w:r>
      <w:r>
        <w:t xml:space="preserve"> </w:t>
      </w:r>
      <w:r>
        <w:rPr>
          <w:i/>
          <w:iCs/>
        </w:rPr>
        <w:t xml:space="preserve">5</w:t>
      </w:r>
      <w:r>
        <w:t xml:space="preserve">(1), 40–74.</w:t>
      </w:r>
    </w:p>
    <w:bookmarkEnd w:id="167"/>
    <w:bookmarkStart w:id="169" w:name="ref-prinz_unconscious_2015"/>
    <w:p>
      <w:pPr>
        <w:pStyle w:val="Bibliography"/>
      </w:pPr>
      <w:r>
        <w:t xml:space="preserve">Prinz, J. J. (2015). Unconscious perception. 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w:t>
      </w:r>
      <w:r>
        <w:t xml:space="preserve">(pp. 371–389). Oxford University Press.</w:t>
      </w:r>
      <w:r>
        <w:t xml:space="preserve"> </w:t>
      </w:r>
      <w:hyperlink r:id="rId168">
        <w:r>
          <w:rPr>
            <w:rStyle w:val="Hyperlink"/>
          </w:rPr>
          <w:t xml:space="preserve">https://doi.org/10.1093/oxfordhb/9780199600472.001.0001</w:t>
        </w:r>
      </w:hyperlink>
    </w:p>
    <w:bookmarkEnd w:id="169"/>
    <w:bookmarkStart w:id="170" w:name="ref-repp1982"/>
    <w:p>
      <w:pPr>
        <w:pStyle w:val="Bibliography"/>
      </w:pPr>
      <w:r>
        <w:t xml:space="preserve">Repp, B. H. (1982). Phonetic trading relations and context effects: New experimental evidence for a speech mode of perception.</w:t>
      </w:r>
      <w:r>
        <w:t xml:space="preserve"> </w:t>
      </w:r>
      <w:r>
        <w:rPr>
          <w:i/>
          <w:iCs/>
        </w:rPr>
        <w:t xml:space="preserve">Psychological Bulletin</w:t>
      </w:r>
      <w:r>
        <w:t xml:space="preserve">,</w:t>
      </w:r>
      <w:r>
        <w:t xml:space="preserve"> </w:t>
      </w:r>
      <w:r>
        <w:rPr>
          <w:i/>
          <w:iCs/>
        </w:rPr>
        <w:t xml:space="preserve">92</w:t>
      </w:r>
      <w:r>
        <w:t xml:space="preserve">(1), 81.</w:t>
      </w:r>
    </w:p>
    <w:bookmarkEnd w:id="170"/>
    <w:bookmarkStart w:id="171" w:name="ref-rosseelGrondelaers2019"/>
    <w:p>
      <w:pPr>
        <w:pStyle w:val="Bibliography"/>
      </w:pPr>
      <w:r>
        <w:t xml:space="preserve">Rosseel, L., &amp; Grondelaers, S. (2019). Implicitness and experimental methods in language variation research.</w:t>
      </w:r>
      <w:r>
        <w:t xml:space="preserve"> </w:t>
      </w:r>
      <w:r>
        <w:rPr>
          <w:i/>
          <w:iCs/>
        </w:rPr>
        <w:t xml:space="preserve">Linguistics Vanguard</w:t>
      </w:r>
      <w:r>
        <w:t xml:space="preserve">,</w:t>
      </w:r>
      <w:r>
        <w:t xml:space="preserve"> </w:t>
      </w:r>
      <w:r>
        <w:rPr>
          <w:i/>
          <w:iCs/>
        </w:rPr>
        <w:t xml:space="preserve">5</w:t>
      </w:r>
      <w:r>
        <w:t xml:space="preserve">(s1).</w:t>
      </w:r>
    </w:p>
    <w:bookmarkEnd w:id="171"/>
    <w:bookmarkStart w:id="172" w:name="ref-sawusch2005"/>
    <w:p>
      <w:pPr>
        <w:pStyle w:val="Bibliography"/>
      </w:pPr>
      <w:r>
        <w:t xml:space="preserve">Sawusch, J. R. (2005). Acoustic analysis and synthesis of speech.</w:t>
      </w:r>
      <w:r>
        <w:t xml:space="preserve"> </w:t>
      </w:r>
      <w:r>
        <w:rPr>
          <w:i/>
          <w:iCs/>
        </w:rPr>
        <w:t xml:space="preserve">The Handbook of Speech Perception</w:t>
      </w:r>
      <w:r>
        <w:t xml:space="preserve">, 6–27.</w:t>
      </w:r>
    </w:p>
    <w:bookmarkEnd w:id="172"/>
    <w:bookmarkStart w:id="173" w:name="ref-schellingerMunsonEdwards2017"/>
    <w:p>
      <w:pPr>
        <w:pStyle w:val="Bibliography"/>
      </w:pPr>
      <w:r>
        <w:t xml:space="preserve">Schellinger, S. K., Munson, B., &amp; Edwards, J. (2017). 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w:t>
      </w:r>
      <w:r>
        <w:t xml:space="preserve"> </w:t>
      </w:r>
      <w:r>
        <w:rPr>
          <w:i/>
          <w:iCs/>
        </w:rPr>
        <w:t xml:space="preserve">31</w:t>
      </w:r>
      <w:r>
        <w:t xml:space="preserve">(1), 80–103.</w:t>
      </w:r>
    </w:p>
    <w:bookmarkEnd w:id="173"/>
    <w:bookmarkStart w:id="175" w:name="ref-schulman1974"/>
    <w:p>
      <w:pPr>
        <w:pStyle w:val="Bibliography"/>
      </w:pPr>
      <w:r>
        <w:t xml:space="preserve">Schulman, A. I. (1974). Memory for words recently classified.</w:t>
      </w:r>
      <w:r>
        <w:t xml:space="preserve"> </w:t>
      </w:r>
      <w:r>
        <w:rPr>
          <w:i/>
          <w:iCs/>
        </w:rPr>
        <w:t xml:space="preserve">Memory &amp; Cognition</w:t>
      </w:r>
      <w:r>
        <w:t xml:space="preserve">,</w:t>
      </w:r>
      <w:r>
        <w:t xml:space="preserve"> </w:t>
      </w:r>
      <w:r>
        <w:rPr>
          <w:i/>
          <w:iCs/>
        </w:rPr>
        <w:t xml:space="preserve">2</w:t>
      </w:r>
      <w:r>
        <w:t xml:space="preserve">(1), 47–52.</w:t>
      </w:r>
      <w:r>
        <w:t xml:space="preserve"> </w:t>
      </w:r>
      <w:hyperlink r:id="rId174">
        <w:r>
          <w:rPr>
            <w:rStyle w:val="Hyperlink"/>
          </w:rPr>
          <w:t xml:space="preserve">https://doi.org/10.3758/BF03197491</w:t>
        </w:r>
      </w:hyperlink>
    </w:p>
    <w:bookmarkEnd w:id="175"/>
    <w:bookmarkStart w:id="176" w:name="ref-shadle1991"/>
    <w:p>
      <w:pPr>
        <w:pStyle w:val="Bibliography"/>
      </w:pPr>
      <w:r>
        <w:t xml:space="preserve">Shadle, C. H. (1991). The effect of geometry on source mechanisms of fricative consonants.</w:t>
      </w:r>
      <w:r>
        <w:t xml:space="preserve"> </w:t>
      </w:r>
      <w:r>
        <w:rPr>
          <w:i/>
          <w:iCs/>
        </w:rPr>
        <w:t xml:space="preserve">Journal of Phonetics</w:t>
      </w:r>
      <w:r>
        <w:t xml:space="preserve">,</w:t>
      </w:r>
      <w:r>
        <w:t xml:space="preserve"> </w:t>
      </w:r>
      <w:r>
        <w:rPr>
          <w:i/>
          <w:iCs/>
        </w:rPr>
        <w:t xml:space="preserve">19</w:t>
      </w:r>
      <w:r>
        <w:t xml:space="preserve">(3-4), 409–424.</w:t>
      </w:r>
    </w:p>
    <w:bookmarkEnd w:id="176"/>
    <w:bookmarkStart w:id="177" w:name="ref-SharmaIssue"/>
    <w:p>
      <w:pPr>
        <w:pStyle w:val="Bibliography"/>
      </w:pPr>
      <w:r>
        <w:t xml:space="preserve">Sharma, D. (this issue). The style game: A socio-cognitive approach to accommodation in real time.</w:t>
      </w:r>
      <w:r>
        <w:t xml:space="preserve"> </w:t>
      </w:r>
      <w:r>
        <w:rPr>
          <w:i/>
          <w:iCs/>
        </w:rPr>
        <w:t xml:space="preserve">Journal of Sociolinguistics</w:t>
      </w:r>
      <w:r>
        <w:t xml:space="preserve">,</w:t>
      </w:r>
      <w:r>
        <w:t xml:space="preserve"> </w:t>
      </w:r>
      <w:r>
        <w:rPr>
          <w:i/>
          <w:iCs/>
        </w:rPr>
        <w:t xml:space="preserve">42</w:t>
      </w:r>
      <w:r>
        <w:t xml:space="preserve">(1).</w:t>
      </w:r>
    </w:p>
    <w:bookmarkEnd w:id="177"/>
    <w:bookmarkStart w:id="178" w:name="ref-Squires2013"/>
    <w:p>
      <w:pPr>
        <w:pStyle w:val="Bibliography"/>
      </w:pPr>
      <w:r>
        <w:t xml:space="preserve">Squires, L. (2013). It don’t go both ways: Limited bidirectionality in sociolinguistic perception.</w:t>
      </w:r>
      <w:r>
        <w:t xml:space="preserve"> </w:t>
      </w:r>
      <w:r>
        <w:rPr>
          <w:i/>
          <w:iCs/>
        </w:rPr>
        <w:t xml:space="preserve">Journal of Sociolinguistics</w:t>
      </w:r>
      <w:r>
        <w:t xml:space="preserve">,</w:t>
      </w:r>
      <w:r>
        <w:t xml:space="preserve"> </w:t>
      </w:r>
      <w:r>
        <w:rPr>
          <w:i/>
          <w:iCs/>
        </w:rPr>
        <w:t xml:space="preserve">17</w:t>
      </w:r>
      <w:r>
        <w:t xml:space="preserve">(2), 200–237.</w:t>
      </w:r>
    </w:p>
    <w:bookmarkEnd w:id="178"/>
    <w:bookmarkStart w:id="179" w:name="ref-steckerDOnofrioIssue"/>
    <w:p>
      <w:pPr>
        <w:pStyle w:val="Bibliography"/>
      </w:pPr>
      <w:r>
        <w:t xml:space="preserve">Stecker, A., &amp; D’Onofrio, A. (2025). Recognizing uptalk: Memory and metalinguistic commentary for a sociolinguistic feature.</w:t>
      </w:r>
      <w:r>
        <w:t xml:space="preserve"> </w:t>
      </w:r>
      <w:r>
        <w:rPr>
          <w:i/>
          <w:iCs/>
        </w:rPr>
        <w:t xml:space="preserve">Journal of Sociolinguistics</w:t>
      </w:r>
      <w:r>
        <w:t xml:space="preserve">,</w:t>
      </w:r>
      <w:r>
        <w:t xml:space="preserve"> </w:t>
      </w:r>
      <w:r>
        <w:rPr>
          <w:i/>
          <w:iCs/>
        </w:rPr>
        <w:t xml:space="preserve">29</w:t>
      </w:r>
      <w:r>
        <w:t xml:space="preserve">(2).</w:t>
      </w:r>
    </w:p>
    <w:bookmarkEnd w:id="179"/>
    <w:bookmarkStart w:id="180" w:name="ref-strand1999"/>
    <w:p>
      <w:pPr>
        <w:pStyle w:val="Bibliography"/>
      </w:pPr>
      <w:r>
        <w:t xml:space="preserve">Strand, E. A. (1999). Uncovering the role of gender stereotypes in speech perception.</w:t>
      </w:r>
      <w:r>
        <w:t xml:space="preserve"> </w:t>
      </w:r>
      <w:r>
        <w:rPr>
          <w:i/>
          <w:iCs/>
        </w:rPr>
        <w:t xml:space="preserve">Journal of Language and Social Psychology</w:t>
      </w:r>
      <w:r>
        <w:t xml:space="preserve">,</w:t>
      </w:r>
      <w:r>
        <w:t xml:space="preserve"> </w:t>
      </w:r>
      <w:r>
        <w:rPr>
          <w:i/>
          <w:iCs/>
        </w:rPr>
        <w:t xml:space="preserve">18</w:t>
      </w:r>
      <w:r>
        <w:t xml:space="preserve">(1), 86–100.</w:t>
      </w:r>
    </w:p>
    <w:bookmarkEnd w:id="180"/>
    <w:bookmarkStart w:id="182" w:name="ref-strandJohnson1996"/>
    <w:p>
      <w:pPr>
        <w:pStyle w:val="Bibliography"/>
      </w:pPr>
      <w:r>
        <w:t xml:space="preserve">Strand, E. A., &amp; Johnson, K. (1996). 2. Gradient and visual speaker normalization in the perception of fricatives. In D. Gibbon (Ed.),</w:t>
      </w:r>
      <w:r>
        <w:t xml:space="preserve"> </w:t>
      </w:r>
      <w:r>
        <w:rPr>
          <w:i/>
          <w:iCs/>
        </w:rPr>
        <w:t xml:space="preserve">Results of the 3rd KONVENS conference, bielefeld, october 1996</w:t>
      </w:r>
      <w:r>
        <w:t xml:space="preserve"> </w:t>
      </w:r>
      <w:r>
        <w:t xml:space="preserve">(pp. 14–26). De Gruyter Mouton.</w:t>
      </w:r>
      <w:r>
        <w:t xml:space="preserve"> </w:t>
      </w:r>
      <w:hyperlink r:id="rId181">
        <w:r>
          <w:rPr>
            <w:rStyle w:val="Hyperlink"/>
          </w:rPr>
          <w:t xml:space="preserve">https://doi.org/doi:10.1515/9783110821895-003</w:t>
        </w:r>
      </w:hyperlink>
    </w:p>
    <w:bookmarkEnd w:id="182"/>
    <w:bookmarkStart w:id="183" w:name="ref-sumner2014"/>
    <w:p>
      <w:pPr>
        <w:pStyle w:val="Bibliography"/>
      </w:pPr>
      <w:r>
        <w:t xml:space="preserve">Sumner, M., Kim, S. K., King, E., &amp; McGowan, K. B. (2014). The socially weighted encoding of spoken words: A dual-route approach to speech perception.</w:t>
      </w:r>
      <w:r>
        <w:t xml:space="preserve"> </w:t>
      </w:r>
      <w:r>
        <w:rPr>
          <w:i/>
          <w:iCs/>
        </w:rPr>
        <w:t xml:space="preserve">Frontiers in Psychology</w:t>
      </w:r>
      <w:r>
        <w:t xml:space="preserve">,</w:t>
      </w:r>
      <w:r>
        <w:t xml:space="preserve"> </w:t>
      </w:r>
      <w:r>
        <w:rPr>
          <w:i/>
          <w:iCs/>
        </w:rPr>
        <w:t xml:space="preserve">4</w:t>
      </w:r>
      <w:r>
        <w:t xml:space="preserve">, 1015.</w:t>
      </w:r>
    </w:p>
    <w:bookmarkEnd w:id="183"/>
    <w:bookmarkStart w:id="184" w:name="ref-trippMunson2022"/>
    <w:p>
      <w:pPr>
        <w:pStyle w:val="Bibliography"/>
      </w:pPr>
      <w:r>
        <w:t xml:space="preserve">Tripp, A., &amp; Munson, B. (2022). Perceiving gender while perceiving language: Integrating psycholinguistics and gender theory.</w:t>
      </w:r>
      <w:r>
        <w:t xml:space="preserve"> </w:t>
      </w:r>
      <w:r>
        <w:rPr>
          <w:i/>
          <w:iCs/>
        </w:rPr>
        <w:t xml:space="preserve">Wiley Interdisciplinary Reviews: Cognitive Science</w:t>
      </w:r>
      <w:r>
        <w:t xml:space="preserve">,</w:t>
      </w:r>
      <w:r>
        <w:t xml:space="preserve"> </w:t>
      </w:r>
      <w:r>
        <w:rPr>
          <w:i/>
          <w:iCs/>
        </w:rPr>
        <w:t xml:space="preserve">13</w:t>
      </w:r>
      <w:r>
        <w:t xml:space="preserve">(2), e1583.</w:t>
      </w:r>
    </w:p>
    <w:bookmarkEnd w:id="184"/>
    <w:bookmarkStart w:id="185" w:name="ref-walkerHay2011"/>
    <w:p>
      <w:pPr>
        <w:pStyle w:val="Bibliography"/>
      </w:pPr>
      <w:r>
        <w:t xml:space="preserve">Walker, A., &amp; Hay, J. (2011). Congruence between ‘word age’and ‘voice age’facilitates lexical access.</w:t>
      </w:r>
      <w:r>
        <w:t xml:space="preserve"> </w:t>
      </w:r>
      <w:r>
        <w:rPr>
          <w:i/>
          <w:iCs/>
        </w:rPr>
        <w:t xml:space="preserve">Laboratory Phonology</w:t>
      </w:r>
      <w:r>
        <w:t xml:space="preserve">,</w:t>
      </w:r>
      <w:r>
        <w:t xml:space="preserve"> </w:t>
      </w:r>
      <w:r>
        <w:rPr>
          <w:i/>
          <w:iCs/>
        </w:rPr>
        <w:t xml:space="preserve">2</w:t>
      </w:r>
      <w:r>
        <w:t xml:space="preserve">(1), 219–237.</w:t>
      </w:r>
    </w:p>
    <w:bookmarkEnd w:id="185"/>
    <w:bookmarkStart w:id="186" w:name="ref-whalen1984"/>
    <w:p>
      <w:pPr>
        <w:pStyle w:val="Bibliography"/>
      </w:pPr>
      <w:r>
        <w:t xml:space="preserve">Whalen, D. H. (1984). 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w:t>
      </w:r>
      <w:r>
        <w:t xml:space="preserve"> </w:t>
      </w:r>
      <w:r>
        <w:rPr>
          <w:i/>
          <w:iCs/>
        </w:rPr>
        <w:t xml:space="preserve">35</w:t>
      </w:r>
      <w:r>
        <w:t xml:space="preserve">, 49–64.</w:t>
      </w:r>
    </w:p>
    <w:bookmarkEnd w:id="186"/>
    <w:bookmarkStart w:id="187" w:name="ref-wilbanks2022"/>
    <w:p>
      <w:pPr>
        <w:pStyle w:val="Bibliography"/>
      </w:pPr>
      <w:r>
        <w:t xml:space="preserve">Wilbanks, E. (2022).</w:t>
      </w:r>
      <w:r>
        <w:t xml:space="preserve"> </w:t>
      </w:r>
      <w:r>
        <w:rPr>
          <w:i/>
          <w:iCs/>
        </w:rPr>
        <w:t xml:space="preserve">The integration of social and acoustic cues during speech perception</w:t>
      </w:r>
      <w:r>
        <w:t xml:space="preserve"> </w:t>
      </w:r>
      <w:r>
        <w:t xml:space="preserve">[PhD thesis]. University of California, Berkeley.</w:t>
      </w:r>
    </w:p>
    <w:bookmarkEnd w:id="187"/>
    <w:bookmarkStart w:id="188" w:name="ref-wright2023"/>
    <w:p>
      <w:pPr>
        <w:pStyle w:val="Bibliography"/>
      </w:pPr>
      <w:r>
        <w:t xml:space="preserve">Wright, K. E. (2023). Housing policy and linguistic profiling: An audit study of three american dialects.</w:t>
      </w:r>
      <w:r>
        <w:t xml:space="preserve"> </w:t>
      </w:r>
      <w:r>
        <w:rPr>
          <w:i/>
          <w:iCs/>
        </w:rPr>
        <w:t xml:space="preserve">Language</w:t>
      </w:r>
      <w:r>
        <w:t xml:space="preserve">.</w:t>
      </w:r>
    </w:p>
    <w:bookmarkEnd w:id="188"/>
    <w:bookmarkStart w:id="189" w:name="ref-zimman2017"/>
    <w:p>
      <w:pPr>
        <w:pStyle w:val="Bibliography"/>
      </w:pPr>
      <w:r>
        <w:t xml:space="preserve">Zimman, L. (2017). Gender as stylistic bricolage: Transmasculine voices and the relationship between fundamental frequency and/s.</w:t>
      </w:r>
      <w:r>
        <w:t xml:space="preserve"> </w:t>
      </w:r>
      <w:r>
        <w:rPr>
          <w:i/>
          <w:iCs/>
        </w:rPr>
        <w:t xml:space="preserve">Language in Society</w:t>
      </w:r>
      <w:r>
        <w:t xml:space="preserve">,</w:t>
      </w:r>
      <w:r>
        <w:t xml:space="preserve"> </w:t>
      </w:r>
      <w:r>
        <w:rPr>
          <w:i/>
          <w:iCs/>
        </w:rPr>
        <w:t xml:space="preserve">46</w:t>
      </w:r>
      <w:r>
        <w:t xml:space="preserve">(3), 339–370.</w:t>
      </w:r>
    </w:p>
    <w:bookmarkEnd w:id="189"/>
    <w:bookmarkStart w:id="190" w:name="ref-zimman2018"/>
    <w:p>
      <w:pPr>
        <w:pStyle w:val="Bibliography"/>
      </w:pPr>
      <w:r>
        <w:t xml:space="preserve">Zimman, L. (2018). Transgender voices: Insights on identity, embodiment, and the gender of the voice.</w:t>
      </w:r>
      <w:r>
        <w:t xml:space="preserve"> </w:t>
      </w:r>
      <w:r>
        <w:rPr>
          <w:i/>
          <w:iCs/>
        </w:rPr>
        <w:t xml:space="preserve">Language and Linguistics Compass</w:t>
      </w:r>
      <w:r>
        <w:t xml:space="preserve">,</w:t>
      </w:r>
      <w:r>
        <w:t xml:space="preserve"> </w:t>
      </w:r>
      <w:r>
        <w:rPr>
          <w:i/>
          <w:iCs/>
        </w:rPr>
        <w:t xml:space="preserve">12</w:t>
      </w:r>
      <w:r>
        <w:t xml:space="preserve">(8), e12284.</w:t>
      </w:r>
    </w:p>
    <w:bookmarkEnd w:id="190"/>
    <w:bookmarkEnd w:id="191"/>
    <w:bookmarkEnd w:id="192"/>
    <w:sectPr w:rsidR="00B46A4E" w:rsidRPr="00191209">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w:t>
      </w:r>
      <w:r>
        <w:t xml:space="preserve"> </w:t>
      </w:r>
      <w:r>
        <w:t xml:space="preserve">Levon &amp;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40">
    <w:p>
      <w:pPr>
        <w:pStyle w:val="FootnoteText"/>
      </w:pPr>
      <w:r>
        <w:rPr>
          <w:rStyle w:val="FootnoteReference"/>
        </w:rPr>
        <w:footnoteRef/>
      </w:r>
      <w:r>
        <w:t xml:space="preserve"> </w:t>
      </w:r>
      <w:r>
        <w:t xml:space="preserve">We use</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intrinsic way.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EC4411"/>
    <w:rsid w:val="0006101D"/>
    <w:rsid w:val="00191209"/>
    <w:rsid w:val="001B6542"/>
    <w:rsid w:val="00292A31"/>
    <w:rsid w:val="00292D22"/>
    <w:rsid w:val="00380711"/>
    <w:rsid w:val="00422639"/>
    <w:rsid w:val="004237E0"/>
    <w:rsid w:val="004C36F5"/>
    <w:rsid w:val="004C613D"/>
    <w:rsid w:val="0056650E"/>
    <w:rsid w:val="005F678E"/>
    <w:rsid w:val="00603281"/>
    <w:rsid w:val="00757606"/>
    <w:rsid w:val="007E4D06"/>
    <w:rsid w:val="00870A8E"/>
    <w:rsid w:val="00891442"/>
    <w:rsid w:val="008C4BA1"/>
    <w:rsid w:val="00A11CB9"/>
    <w:rsid w:val="00AE7439"/>
    <w:rsid w:val="00B25284"/>
    <w:rsid w:val="00B36C7E"/>
    <w:rsid w:val="00B46A4E"/>
    <w:rsid w:val="00B76AF5"/>
    <w:rsid w:val="00BE0E21"/>
    <w:rsid w:val="00C23838"/>
    <w:rsid w:val="00C56391"/>
    <w:rsid w:val="00C74324"/>
    <w:rsid w:val="00CE7D07"/>
    <w:rsid w:val="00CF168D"/>
    <w:rsid w:val="00D43B85"/>
    <w:rsid w:val="00DB768E"/>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2"/>
        <w:szCs w:val="22"/>
        <w:lang w:bidi="ar-SA" w:eastAsia="en-US" w:val="en-US"/>
      </w:rPr>
    </w:rPrDefault>
    <w:pPrDefault>
      <w:pPr>
        <w:widowControl w:val="0"/>
        <w:autoSpaceDE w:val="0"/>
        <w:autoSpaceDN w:val="0"/>
      </w:pPr>
    </w:pPrDefault>
  </w:docDefaults>
  <w:latentStyles w:count="376" w:defLockedState="0" w:defQFormat="0" w:defSemiHidden="0" w:defUIPriority="0" w:defUnhideWhenUsed="0">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caption" w:qFormat="1" w:semiHidden="1" w:uiPriority="35" w:unhideWhenUsed="1"/>
    <w:lsdException w:name="Body Text" w:uiPriority="1"/>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1"/>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F678E"/>
    <w:rPr>
      <w:rFonts w:ascii="Times New Roman" w:hAnsi="Times New Roman"/>
    </w:rPr>
  </w:style>
  <w:style w:styleId="Heading1" w:type="paragraph">
    <w:name w:val="heading 1"/>
    <w:basedOn w:val="Normal"/>
    <w:link w:val="Heading1Char"/>
    <w:uiPriority w:val="9"/>
    <w:qFormat/>
    <w:rsid w:val="00CF168D"/>
    <w:pPr>
      <w:spacing w:line="360" w:lineRule="auto"/>
      <w:outlineLvl w:val="0"/>
    </w:pPr>
    <w:rPr>
      <w:rFonts w:cstheme="majorBidi" w:eastAsiaTheme="majorEastAsia"/>
      <w:b/>
      <w:bCs/>
      <w:sz w:val="24"/>
      <w:szCs w:val="24"/>
    </w:rPr>
  </w:style>
  <w:style w:styleId="Heading2" w:type="paragraph">
    <w:name w:val="heading 2"/>
    <w:basedOn w:val="Normal"/>
    <w:next w:val="Normal"/>
    <w:link w:val="Heading2Char"/>
    <w:uiPriority w:val="9"/>
    <w:semiHidden/>
    <w:unhideWhenUsed/>
    <w:qFormat/>
    <w:rsid w:val="00AE7439"/>
    <w:pPr>
      <w:keepNext/>
      <w:keepLines/>
      <w:spacing w:before="40" w:line="360" w:lineRule="auto"/>
      <w:outlineLvl w:val="1"/>
    </w:pPr>
    <w:rPr>
      <w:rFonts w:asciiTheme="majorHAnsi" w:cstheme="majorBidi" w:eastAsiaTheme="majorEastAsia" w:hAnsiTheme="majorHAnsi"/>
      <w:color w:themeColor="text1" w:val="000000"/>
      <w:sz w:val="26"/>
      <w:szCs w:val="26"/>
    </w:rPr>
  </w:style>
  <w:style w:styleId="Heading3" w:type="paragraph">
    <w:name w:val="heading 3"/>
    <w:basedOn w:val="Normal"/>
    <w:next w:val="Normal"/>
    <w:link w:val="Heading3Char"/>
    <w:uiPriority w:val="9"/>
    <w:semiHidden/>
    <w:unhideWhenUsed/>
    <w:qFormat/>
    <w:rsid w:val="00AE7439"/>
    <w:pPr>
      <w:keepNext/>
      <w:keepLines/>
      <w:spacing w:before="40" w:line="360" w:lineRule="auto"/>
      <w:outlineLvl w:val="2"/>
    </w:pPr>
    <w:rPr>
      <w:rFonts w:asciiTheme="majorHAnsi" w:cstheme="majorBidi" w:eastAsiaTheme="majorEastAsia" w:hAnsiTheme="majorHAnsi"/>
      <w:color w:themeColor="text1" w:val="000000"/>
      <w:sz w:val="24"/>
      <w:szCs w:val="24"/>
    </w:rPr>
  </w:style>
  <w:style w:styleId="Heading4" w:type="paragraph">
    <w:name w:val="heading 4"/>
    <w:basedOn w:val="Normal"/>
    <w:next w:val="Normal"/>
    <w:link w:val="Heading4Char"/>
    <w:uiPriority w:val="9"/>
    <w:semiHidden/>
    <w:unhideWhenUsed/>
    <w:qFormat/>
    <w:rsid w:val="00191209"/>
    <w:pPr>
      <w:keepNext/>
      <w:keepLines/>
      <w:spacing w:before="40"/>
      <w:outlineLvl w:val="3"/>
    </w:pPr>
    <w:rPr>
      <w:rFonts w:asciiTheme="majorHAnsi" w:cstheme="majorBidi" w:eastAsiaTheme="majorEastAsia" w:hAnsiTheme="majorHAnsi"/>
      <w:i/>
      <w:iCs/>
      <w:color w:themeColor="text1" w:val="000000"/>
    </w:rPr>
  </w:style>
  <w:style w:styleId="Heading5" w:type="paragraph">
    <w:name w:val="heading 5"/>
    <w:basedOn w:val="Normal"/>
    <w:next w:val="Normal"/>
    <w:link w:val="Heading5Char"/>
    <w:uiPriority w:val="9"/>
    <w:semiHidden/>
    <w:unhideWhenUsed/>
    <w:qFormat/>
    <w:rsid w:val="00191209"/>
    <w:pPr>
      <w:keepNext/>
      <w:keepLines/>
      <w:spacing w:before="40"/>
      <w:outlineLvl w:val="4"/>
    </w:pPr>
    <w:rPr>
      <w:rFonts w:asciiTheme="majorHAnsi" w:cstheme="majorBidi" w:eastAsiaTheme="majorEastAsia" w:hAnsiTheme="majorHAnsi"/>
      <w:color w:themeColor="text1" w:val="000000"/>
    </w:rPr>
  </w:style>
  <w:style w:styleId="Heading6" w:type="paragraph">
    <w:name w:val="heading 6"/>
    <w:basedOn w:val="Normal"/>
    <w:next w:val="Normal"/>
    <w:link w:val="Heading6Char"/>
    <w:uiPriority w:val="9"/>
    <w:semiHidden/>
    <w:unhideWhenUsed/>
    <w:qFormat/>
    <w:rsid w:val="00191209"/>
    <w:pPr>
      <w:keepNext/>
      <w:keepLines/>
      <w:spacing w:before="40"/>
      <w:outlineLvl w:val="5"/>
    </w:pPr>
    <w:rPr>
      <w:rFonts w:asciiTheme="majorHAnsi" w:cstheme="majorBidi" w:eastAsiaTheme="majorEastAsia" w:hAnsiTheme="majorHAnsi"/>
      <w:color w:themeColor="text1" w:val="000000"/>
    </w:rPr>
  </w:style>
  <w:style w:styleId="Heading7" w:type="paragraph">
    <w:name w:val="heading 7"/>
    <w:basedOn w:val="Normal"/>
    <w:next w:val="Normal"/>
    <w:link w:val="Heading7Char"/>
    <w:uiPriority w:val="9"/>
    <w:semiHidden/>
    <w:unhideWhenUsed/>
    <w:qFormat/>
    <w:rsid w:val="00191209"/>
    <w:pPr>
      <w:keepNext/>
      <w:keepLines/>
      <w:spacing w:before="40"/>
      <w:outlineLvl w:val="6"/>
    </w:pPr>
    <w:rPr>
      <w:rFonts w:asciiTheme="majorHAnsi" w:cstheme="majorBidi" w:eastAsiaTheme="majorEastAsia" w:hAnsiTheme="majorHAnsi"/>
      <w:i/>
      <w:iCs/>
      <w:color w:themeColor="text1" w:val="000000"/>
    </w:rPr>
  </w:style>
  <w:style w:styleId="Heading8" w:type="paragraph">
    <w:name w:val="heading 8"/>
    <w:basedOn w:val="Normal"/>
    <w:next w:val="Normal"/>
    <w:link w:val="Heading8Char"/>
    <w:uiPriority w:val="9"/>
    <w:semiHidden/>
    <w:unhideWhenUsed/>
    <w:qFormat/>
    <w:rsid w:val="00C23838"/>
    <w:pPr>
      <w:keepNext/>
      <w:keepLines/>
      <w:spacing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C23838"/>
    <w:pPr>
      <w:keepNext/>
      <w:keepLines/>
      <w:spacing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uiPriority w:val="1"/>
    <w:qFormat/>
    <w:rsid w:val="00757606"/>
    <w:pPr>
      <w:spacing w:line="360" w:lineRule="auto"/>
      <w:ind w:firstLine="720"/>
    </w:pPr>
    <w:rPr>
      <w:sz w:val="24"/>
      <w:szCs w:val="24"/>
    </w:rPr>
  </w:style>
  <w:style w:customStyle="1" w:styleId="FirstParagraph" w:type="paragraph">
    <w:name w:val="First Paragraph"/>
    <w:basedOn w:val="BodyText"/>
    <w:next w:val="BodyText"/>
    <w:qFormat/>
    <w:rsid w:val="00191209"/>
  </w:style>
  <w:style w:customStyle="1" w:styleId="Compact" w:type="paragraph">
    <w:name w:val="Compact"/>
    <w:basedOn w:val="BodyText"/>
    <w:qFormat/>
    <w:pPr>
      <w:spacing w:after="36" w:before="36"/>
    </w:pPr>
  </w:style>
  <w:style w:styleId="Title" w:type="paragraph">
    <w:name w:val="Title"/>
    <w:basedOn w:val="Normal"/>
    <w:link w:val="TitleChar"/>
    <w:uiPriority w:val="10"/>
    <w:qFormat/>
    <w:rsid w:val="005F678E"/>
    <w:pPr>
      <w:spacing w:before="183"/>
      <w:ind w:left="122" w:right="358"/>
      <w:jc w:val="center"/>
    </w:pPr>
    <w:rPr>
      <w:rFonts w:cstheme="majorBidi" w:eastAsiaTheme="majorEastAsia"/>
      <w:sz w:val="41"/>
      <w:szCs w:val="41"/>
    </w:rPr>
  </w:style>
  <w:style w:customStyle="1" w:styleId="TitleChar" w:type="character">
    <w:name w:val="Title Char"/>
    <w:basedOn w:val="DefaultParagraphFont"/>
    <w:link w:val="Title"/>
    <w:uiPriority w:val="10"/>
    <w:rsid w:val="00C23838"/>
    <w:rPr>
      <w:rFonts w:ascii="Times New Roman" w:cstheme="majorBidi" w:eastAsiaTheme="majorEastAsia" w:hAnsi="Times New Roman"/>
      <w:sz w:val="41"/>
      <w:szCs w:val="41"/>
    </w:rPr>
  </w:style>
  <w:style w:styleId="Subtitle" w:type="paragraph">
    <w:name w:val="Subtitle"/>
    <w:basedOn w:val="Normal"/>
    <w:next w:val="Normal"/>
    <w:link w:val="SubtitleChar"/>
    <w:uiPriority w:val="11"/>
    <w:qFormat/>
    <w:rsid w:val="00C23838"/>
    <w:pPr>
      <w:numPr>
        <w:ilvl w:val="1"/>
      </w:numPr>
      <w:spacing w:after="160"/>
    </w:pPr>
    <w:rPr>
      <w:rFonts w:asciiTheme="minorHAnsi" w:eastAsiaTheme="minorEastAsia" w:hAnsiTheme="minorHAnsi"/>
      <w:color w:themeColor="text1" w:themeTint="A5" w:val="5A5A5A"/>
      <w:spacing w:val="15"/>
    </w:rPr>
  </w:style>
  <w:style w:customStyle="1" w:styleId="SubtitleChar" w:type="character">
    <w:name w:val="Subtitle Char"/>
    <w:basedOn w:val="DefaultParagraphFont"/>
    <w:link w:val="Subtitle"/>
    <w:uiPriority w:val="11"/>
    <w:rsid w:val="00C23838"/>
    <w:rPr>
      <w:rFonts w:eastAsiaTheme="minorEastAsia"/>
      <w:color w:themeColor="text1" w:themeTint="A5" w:val="5A5A5A"/>
      <w:spacing w:val="15"/>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rsid w:val="00191209"/>
    <w:pPr>
      <w:keepNext/>
      <w:keepLines/>
      <w:spacing w:before="300"/>
      <w:jc w:val="center"/>
    </w:pPr>
    <w:rPr>
      <w:b/>
      <w:color w:themeColor="text1" w:val="000000"/>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F168D"/>
    <w:rPr>
      <w:rFonts w:ascii="Times New Roman" w:cstheme="majorBidi" w:eastAsiaTheme="majorEastAsia" w:hAnsi="Times New Roman"/>
      <w:b/>
      <w:bCs/>
      <w:sz w:val="24"/>
      <w:szCs w:val="24"/>
    </w:rPr>
  </w:style>
  <w:style w:customStyle="1" w:styleId="Heading2Char" w:type="character">
    <w:name w:val="Heading 2 Char"/>
    <w:basedOn w:val="DefaultParagraphFont"/>
    <w:link w:val="Heading2"/>
    <w:uiPriority w:val="9"/>
    <w:semiHidden/>
    <w:rsid w:val="00AE7439"/>
    <w:rPr>
      <w:rFonts w:asciiTheme="majorHAnsi" w:cstheme="majorBidi" w:eastAsiaTheme="majorEastAsia" w:hAnsiTheme="majorHAnsi"/>
      <w:color w:themeColor="text1" w:val="000000"/>
      <w:sz w:val="26"/>
      <w:szCs w:val="26"/>
    </w:rPr>
  </w:style>
  <w:style w:customStyle="1" w:styleId="Heading3Char" w:type="character">
    <w:name w:val="Heading 3 Char"/>
    <w:basedOn w:val="DefaultParagraphFont"/>
    <w:link w:val="Heading3"/>
    <w:uiPriority w:val="9"/>
    <w:semiHidden/>
    <w:rsid w:val="00AE7439"/>
    <w:rPr>
      <w:rFonts w:asciiTheme="majorHAnsi" w:cstheme="majorBidi" w:eastAsiaTheme="majorEastAsia" w:hAnsiTheme="majorHAnsi"/>
      <w:color w:themeColor="text1" w:val="000000"/>
      <w:sz w:val="24"/>
      <w:szCs w:val="24"/>
    </w:rPr>
  </w:style>
  <w:style w:customStyle="1" w:styleId="Heading4Char" w:type="character">
    <w:name w:val="Heading 4 Char"/>
    <w:basedOn w:val="DefaultParagraphFont"/>
    <w:link w:val="Heading4"/>
    <w:uiPriority w:val="9"/>
    <w:semiHidden/>
    <w:rsid w:val="00191209"/>
    <w:rPr>
      <w:rFonts w:asciiTheme="majorHAnsi" w:cstheme="majorBidi" w:eastAsiaTheme="majorEastAsia" w:hAnsiTheme="majorHAnsi"/>
      <w:i/>
      <w:iCs/>
      <w:color w:themeColor="text1" w:val="000000"/>
    </w:rPr>
  </w:style>
  <w:style w:customStyle="1" w:styleId="Heading5Char" w:type="character">
    <w:name w:val="Heading 5 Char"/>
    <w:basedOn w:val="DefaultParagraphFont"/>
    <w:link w:val="Heading5"/>
    <w:uiPriority w:val="9"/>
    <w:semiHidden/>
    <w:rsid w:val="00191209"/>
    <w:rPr>
      <w:rFonts w:asciiTheme="majorHAnsi" w:cstheme="majorBidi" w:eastAsiaTheme="majorEastAsia" w:hAnsiTheme="majorHAnsi"/>
      <w:color w:themeColor="text1" w:val="000000"/>
    </w:rPr>
  </w:style>
  <w:style w:customStyle="1" w:styleId="Heading6Char" w:type="character">
    <w:name w:val="Heading 6 Char"/>
    <w:basedOn w:val="DefaultParagraphFont"/>
    <w:link w:val="Heading6"/>
    <w:uiPriority w:val="9"/>
    <w:semiHidden/>
    <w:rsid w:val="00191209"/>
    <w:rPr>
      <w:rFonts w:asciiTheme="majorHAnsi" w:cstheme="majorBidi" w:eastAsiaTheme="majorEastAsia" w:hAnsiTheme="majorHAnsi"/>
      <w:color w:themeColor="text1" w:val="000000"/>
    </w:rPr>
  </w:style>
  <w:style w:customStyle="1" w:styleId="Heading7Char" w:type="character">
    <w:name w:val="Heading 7 Char"/>
    <w:basedOn w:val="DefaultParagraphFont"/>
    <w:link w:val="Heading7"/>
    <w:uiPriority w:val="9"/>
    <w:semiHidden/>
    <w:rsid w:val="00191209"/>
    <w:rPr>
      <w:rFonts w:asciiTheme="majorHAnsi" w:cstheme="majorBidi" w:eastAsiaTheme="majorEastAsia" w:hAnsiTheme="majorHAnsi"/>
      <w:i/>
      <w:iCs/>
      <w:color w:themeColor="text1" w:val="00000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D8" w:val="272727"/>
      <w:sz w:val="21"/>
      <w:szCs w:val="21"/>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next w:val="Normal"/>
    <w:link w:val="CaptionChar"/>
    <w:uiPriority w:val="35"/>
    <w:semiHidden/>
    <w:unhideWhenUsed/>
    <w:qFormat/>
    <w:rsid w:val="00C23838"/>
    <w:pPr>
      <w:spacing w:after="200"/>
    </w:pPr>
    <w:rPr>
      <w:i/>
      <w:iCs/>
      <w:color w:themeColor="text2" w:val="0E2841"/>
      <w:sz w:val="18"/>
      <w:szCs w:val="18"/>
    </w:rPr>
  </w:style>
  <w:style w:customStyle="1" w:styleId="TableCaption" w:type="paragraph">
    <w:name w:val="Table Caption"/>
    <w:basedOn w:val="Caption"/>
    <w:pPr>
      <w:keepNext/>
    </w:pPr>
  </w:style>
  <w:style w:customStyle="1" w:styleId="ImageCaption" w:type="paragraph">
    <w:name w:val="Image Caption"/>
    <w:basedOn w:val="Caption"/>
    <w:rsid w:val="00191209"/>
    <w:rPr>
      <w:color w:val="auto"/>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semiHidden/>
    <w:rPr>
      <w:rFonts w:ascii="Times New Roman" w:hAnsi="Times New Roman"/>
      <w:i/>
      <w:iCs/>
      <w:color w:themeColor="text2" w:val="0E2841"/>
      <w:sz w:val="18"/>
      <w:szCs w:val="18"/>
    </w:rPr>
  </w:style>
  <w:style w:customStyle="1" w:styleId="VerbatimChar" w:type="character">
    <w:name w:val="Verbatim Char"/>
    <w:basedOn w:val="CaptionChar"/>
    <w:rsid w:val="00191209"/>
    <w:rPr>
      <w:rFonts w:ascii="Consolas" w:hAnsi="Consolas"/>
      <w:b w:val="0"/>
      <w:bCs w:val="0"/>
      <w:i/>
      <w:iCs/>
      <w:color w:val="auto"/>
      <w:sz w:val="22"/>
      <w:szCs w:val="18"/>
    </w:rPr>
  </w:style>
  <w:style w:customStyle="1" w:styleId="SectionNumber" w:type="character">
    <w:name w:val="Section Number"/>
    <w:basedOn w:val="CaptionChar"/>
    <w:rsid w:val="00191209"/>
    <w:rPr>
      <w:rFonts w:ascii="Times New Roman" w:hAnsi="Times New Roman"/>
      <w:b w:val="0"/>
      <w:bCs w:val="0"/>
      <w:i/>
      <w:iCs/>
      <w:color w:themeColor="text1" w:val="000000"/>
      <w:sz w:val="18"/>
      <w:szCs w:val="18"/>
    </w:rPr>
  </w:style>
  <w:style w:styleId="FootnoteReference" w:type="character">
    <w:name w:val="footnote reference"/>
    <w:basedOn w:val="CaptionChar"/>
    <w:rPr>
      <w:rFonts w:ascii="Times New Roman" w:hAnsi="Times New Roman"/>
      <w:b w:val="0"/>
      <w:bCs w:val="0"/>
      <w:i/>
      <w:iCs/>
      <w:color w:themeColor="accent1" w:val="156082"/>
      <w:sz w:val="18"/>
      <w:szCs w:val="18"/>
      <w:vertAlign w:val="superscript"/>
    </w:rPr>
  </w:style>
  <w:style w:styleId="Hyperlink" w:type="character">
    <w:name w:val="Hyperlink"/>
    <w:basedOn w:val="CaptionChar"/>
    <w:rPr>
      <w:rFonts w:ascii="Times New Roman" w:hAnsi="Times New Roman"/>
      <w:b w:val="0"/>
      <w:bCs w:val="0"/>
      <w:i/>
      <w:iCs/>
      <w:color w:themeColor="accent1" w:val="156082"/>
      <w:sz w:val="18"/>
      <w:szCs w:val="18"/>
    </w:rPr>
  </w:style>
  <w:style w:styleId="TOCHeading" w:type="paragraph">
    <w:name w:val="TOC Heading"/>
    <w:basedOn w:val="Heading1"/>
    <w:next w:val="Normal"/>
    <w:uiPriority w:val="39"/>
    <w:semiHidden/>
    <w:unhideWhenUsed/>
    <w:qFormat/>
    <w:rsid w:val="00C23838"/>
    <w:pPr>
      <w:keepNext/>
      <w:keepLines/>
      <w:spacing w:before="240"/>
      <w:outlineLvl w:val="9"/>
    </w:pPr>
    <w:rPr>
      <w:rFonts w:asciiTheme="majorHAnsi" w:hAnsiTheme="majorHAnsi"/>
      <w:b w:val="0"/>
      <w:bCs w:val="0"/>
      <w:color w:themeColor="accent1" w:themeShade="BF" w:val="0F4761"/>
      <w:sz w:val="32"/>
      <w:szCs w:val="32"/>
    </w:r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rPr>
      <w:rFonts w:ascii="Times New Roman" w:hAnsi="Times New Roman"/>
    </w:rPr>
  </w:style>
  <w:style w:styleId="ListParagraph" w:type="paragraph">
    <w:name w:val="List Paragraph"/>
    <w:basedOn w:val="Normal"/>
    <w:uiPriority w:val="1"/>
    <w:qFormat/>
    <w:rsid w:val="005F678E"/>
  </w:style>
  <w:style w:styleId="Quote" w:type="paragraph">
    <w:name w:val="Quote"/>
    <w:basedOn w:val="Normal"/>
    <w:next w:val="Normal"/>
    <w:link w:val="QuoteChar"/>
    <w:uiPriority w:val="29"/>
    <w:qFormat/>
    <w:rsid w:val="00C23838"/>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C23838"/>
    <w:rPr>
      <w:rFonts w:ascii="Times New Roman" w:hAnsi="Times New Roman"/>
      <w:i/>
      <w:iCs/>
      <w:color w:themeColor="text1" w:themeTint="BF" w:val="404040"/>
    </w:rPr>
  </w:style>
  <w:style w:styleId="IntenseQuote" w:type="paragraph">
    <w:name w:val="Intense Quote"/>
    <w:basedOn w:val="Normal"/>
    <w:next w:val="Normal"/>
    <w:link w:val="IntenseQuoteChar"/>
    <w:uiPriority w:val="30"/>
    <w:qFormat/>
    <w:rsid w:val="00C23838"/>
    <w:pPr>
      <w:pBdr>
        <w:top w:color="156082" w:space="10" w:sz="4" w:themeColor="accent1" w:val="single"/>
        <w:bottom w:color="156082" w:space="10" w:sz="4" w:themeColor="accent1" w:val="single"/>
      </w:pBdr>
      <w:spacing w:after="360" w:before="360"/>
      <w:ind w:left="864" w:right="864"/>
      <w:jc w:val="center"/>
    </w:pPr>
    <w:rPr>
      <w:i/>
      <w:iCs/>
      <w:color w:themeColor="accent1" w:val="156082"/>
    </w:rPr>
  </w:style>
  <w:style w:customStyle="1" w:styleId="IntenseQuoteChar" w:type="character">
    <w:name w:val="Intense Quote Char"/>
    <w:basedOn w:val="DefaultParagraphFont"/>
    <w:link w:val="IntenseQuote"/>
    <w:uiPriority w:val="30"/>
    <w:rsid w:val="00C23838"/>
    <w:rPr>
      <w:rFonts w:ascii="Times New Roman" w:hAnsi="Times New Roman"/>
      <w:i/>
      <w:iCs/>
      <w:color w:themeColor="accent1" w:val="156082"/>
    </w:rPr>
  </w:style>
  <w:style w:styleId="SubtleEmphasis" w:type="character">
    <w:name w:val="Subtle Emphasis"/>
    <w:basedOn w:val="DefaultParagraphFont"/>
    <w:uiPriority w:val="19"/>
    <w:qFormat/>
    <w:rsid w:val="00C23838"/>
    <w:rPr>
      <w:i/>
      <w:iCs/>
      <w:color w:themeColor="text1" w:themeTint="BF" w:val="404040"/>
    </w:rPr>
  </w:style>
  <w:style w:styleId="IntenseEmphasis" w:type="character">
    <w:name w:val="Intense Emphasis"/>
    <w:basedOn w:val="DefaultParagraphFont"/>
    <w:uiPriority w:val="21"/>
    <w:qFormat/>
    <w:rsid w:val="00191209"/>
    <w:rPr>
      <w:i/>
      <w:iCs/>
      <w:color w:themeColor="text1" w:val="000000"/>
    </w:rPr>
  </w:style>
  <w:style w:styleId="SubtleReference" w:type="character">
    <w:name w:val="Subtle Reference"/>
    <w:basedOn w:val="DefaultParagraphFont"/>
    <w:uiPriority w:val="31"/>
    <w:qFormat/>
    <w:rsid w:val="00C23838"/>
    <w:rPr>
      <w:smallCaps/>
      <w:color w:themeColor="text1" w:themeTint="A5" w:val="5A5A5A"/>
    </w:rPr>
  </w:style>
  <w:style w:styleId="IntenseReference" w:type="character">
    <w:name w:val="Intense Reference"/>
    <w:basedOn w:val="DefaultParagraphFont"/>
    <w:uiPriority w:val="32"/>
    <w:qFormat/>
    <w:rsid w:val="00191209"/>
    <w:rPr>
      <w:b/>
      <w:bCs/>
      <w:smallCaps/>
      <w:color w:themeColor="text1" w:val="000000"/>
      <w:spacing w:val="5"/>
    </w:rPr>
  </w:style>
  <w:style w:styleId="BookTitle" w:type="character">
    <w:name w:val="Book Title"/>
    <w:basedOn w:val="DefaultParagraphFont"/>
    <w:uiPriority w:val="33"/>
    <w:qFormat/>
    <w:rsid w:val="00C23838"/>
    <w:rPr>
      <w:b/>
      <w:bCs/>
      <w:i/>
      <w:iCs/>
      <w:spacing w:val="5"/>
    </w:rPr>
  </w:style>
  <w:style w:customStyle="1" w:styleId="TableParagraph" w:type="paragraph">
    <w:name w:val="Table Paragraph"/>
    <w:basedOn w:val="Normal"/>
    <w:uiPriority w:val="1"/>
    <w:qFormat/>
    <w:rsid w:val="005F678E"/>
    <w:pPr>
      <w:jc w:val="center"/>
    </w:pPr>
    <w:rPr>
      <w:rFonts w:cs="Times New Roman" w:eastAsia="Times New Roman"/>
    </w:rPr>
  </w:style>
  <w:style w:styleId="FollowedHyperlink" w:type="character">
    <w:name w:val="FollowedHyperlink"/>
    <w:basedOn w:val="DefaultParagraphFont"/>
    <w:rsid w:val="00D43B85"/>
    <w:rPr>
      <w:color w:themeColor="followedHyperlink" w:val="96607D"/>
      <w:u w:val="single"/>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61" Target="media/rId61.png" /><Relationship Type="http://schemas.openxmlformats.org/officeDocument/2006/relationships/image" Id="rId56" Target="media/rId56.png" /><Relationship Type="http://schemas.openxmlformats.org/officeDocument/2006/relationships/image" Id="rId34" Target="media/rId34.jpg" /><Relationship Type="http://schemas.openxmlformats.org/officeDocument/2006/relationships/image" Id="rId28" Target="media/rId28.png" /><Relationship Type="http://schemas.openxmlformats.org/officeDocument/2006/relationships/hyperlink" Id="rId75" Target="http://CRAN.R-project.org/package=lme4" TargetMode="External" /><Relationship Type="http://schemas.openxmlformats.org/officeDocument/2006/relationships/hyperlink" Id="rId99" Target="https://doi.org/10.1002/wcs.1543" TargetMode="External" /><Relationship Type="http://schemas.openxmlformats.org/officeDocument/2006/relationships/hyperlink" Id="rId146" Target="https://doi.org/10.1016/j.wocn.2011.10.002" TargetMode="External" /><Relationship Type="http://schemas.openxmlformats.org/officeDocument/2006/relationships/hyperlink" Id="rId103" Target="https://doi.org/10.1016/s0010-0277(00)00123-2" TargetMode="External" /><Relationship Type="http://schemas.openxmlformats.org/officeDocument/2006/relationships/hyperlink" Id="rId95" Target="https://doi.org/10.1037/xlm0000137" TargetMode="External" /><Relationship Type="http://schemas.openxmlformats.org/officeDocument/2006/relationships/hyperlink" Id="rId168" Target="https://doi.org/10.1093/oxfordhb/9780199600472.001.0001" TargetMode="External" /><Relationship Type="http://schemas.openxmlformats.org/officeDocument/2006/relationships/hyperlink" Id="rId80" Target="https://doi.org/10.1121/1.5101933" TargetMode="External" /><Relationship Type="http://schemas.openxmlformats.org/officeDocument/2006/relationships/hyperlink" Id="rId141" Target="https://doi.org/10.1177/0075424214531487" TargetMode="External" /><Relationship Type="http://schemas.openxmlformats.org/officeDocument/2006/relationships/hyperlink" Id="rId137" Target="https://doi.org/10.1371/journal.pone.0130834" TargetMode="External" /><Relationship Type="http://schemas.openxmlformats.org/officeDocument/2006/relationships/hyperlink" Id="rId139" Target="https://doi.org/10.3109/13682826809011440" TargetMode="External" /><Relationship Type="http://schemas.openxmlformats.org/officeDocument/2006/relationships/hyperlink" Id="rId174" Target="https://doi.org/10.3758/BF03197491" TargetMode="External" /><Relationship Type="http://schemas.openxmlformats.org/officeDocument/2006/relationships/hyperlink" Id="rId91" Target="https://doi.org/10.4324/9781315514857-5" TargetMode="External" /><Relationship Type="http://schemas.openxmlformats.org/officeDocument/2006/relationships/hyperlink" Id="rId181" Target="https://doi.org/doi:10.1515/9783110821895-003" TargetMode="External" /></Relationships>
</file>

<file path=word/_rels/footnotes.xml.rels><?xml version="1.0" encoding="UTF-8"?><Relationships xmlns="http://schemas.openxmlformats.org/package/2006/relationships"><Relationship Type="http://schemas.openxmlformats.org/officeDocument/2006/relationships/hyperlink" Id="rId75" Target="http://CRAN.R-project.org/package=lme4" TargetMode="External" /><Relationship Type="http://schemas.openxmlformats.org/officeDocument/2006/relationships/hyperlink" Id="rId99" Target="https://doi.org/10.1002/wcs.1543" TargetMode="External" /><Relationship Type="http://schemas.openxmlformats.org/officeDocument/2006/relationships/hyperlink" Id="rId146" Target="https://doi.org/10.1016/j.wocn.2011.10.002" TargetMode="External" /><Relationship Type="http://schemas.openxmlformats.org/officeDocument/2006/relationships/hyperlink" Id="rId103" Target="https://doi.org/10.1016/s0010-0277(00)00123-2" TargetMode="External" /><Relationship Type="http://schemas.openxmlformats.org/officeDocument/2006/relationships/hyperlink" Id="rId95" Target="https://doi.org/10.1037/xlm0000137" TargetMode="External" /><Relationship Type="http://schemas.openxmlformats.org/officeDocument/2006/relationships/hyperlink" Id="rId168" Target="https://doi.org/10.1093/oxfordhb/9780199600472.001.0001" TargetMode="External" /><Relationship Type="http://schemas.openxmlformats.org/officeDocument/2006/relationships/hyperlink" Id="rId80" Target="https://doi.org/10.1121/1.5101933" TargetMode="External" /><Relationship Type="http://schemas.openxmlformats.org/officeDocument/2006/relationships/hyperlink" Id="rId141" Target="https://doi.org/10.1177/0075424214531487" TargetMode="External" /><Relationship Type="http://schemas.openxmlformats.org/officeDocument/2006/relationships/hyperlink" Id="rId137" Target="https://doi.org/10.1371/journal.pone.0130834" TargetMode="External" /><Relationship Type="http://schemas.openxmlformats.org/officeDocument/2006/relationships/hyperlink" Id="rId139" Target="https://doi.org/10.3109/13682826809011440" TargetMode="External" /><Relationship Type="http://schemas.openxmlformats.org/officeDocument/2006/relationships/hyperlink" Id="rId174" Target="https://doi.org/10.3758/BF03197491" TargetMode="External" /><Relationship Type="http://schemas.openxmlformats.org/officeDocument/2006/relationships/hyperlink" Id="rId91" Target="https://doi.org/10.4324/9781315514857-5" TargetMode="External" /><Relationship Type="http://schemas.openxmlformats.org/officeDocument/2006/relationships/hyperlink" Id="rId181" Target="https://doi.org/doi:10.1515/9783110821895-00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Pages>
  <Words>62</Words>
  <Characters>359</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incongruity, and listener awareness</dc:title>
  <dc:creator>Kyler Laycock; Kevin B. McGowan</dc:creator>
  <cp:keywords>awareness, control, gender, matched guise, sociophonetic perception</cp:keywords>
  <dcterms:created xsi:type="dcterms:W3CDTF">2025-03-05T14:49:49Z</dcterms:created>
  <dcterms:modified xsi:type="dcterms:W3CDTF">2025-03-05T14:49:49Z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1999; Strand &amp; Johnson, 1996).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apa.csl</vt:lpwstr>
  </property>
  <property fmtid="{D5CDD505-2E9C-101B-9397-08002B2CF9AE}" pid="12" name="date">
    <vt:lpwstr>2025-03-05</vt:lpwstr>
  </property>
  <property fmtid="{D5CDD505-2E9C-101B-9397-08002B2CF9AE}" pid="13" name="editor">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suppress-title-page">
    <vt:lpwstr>True</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