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0.png" ContentType="image/png"/>
  <Override PartName="/word/media/rId60.png" ContentType="image/png"/>
  <Override PartName="/word/media/rId55.png" ContentType="image/png"/>
  <Override PartName="/word/media/rId33.jpg" ContentType="image/jpe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2024-12-10</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5"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social meaning is performed through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w:t>
      </w:r>
      <w:r>
        <w:t xml:space="preserve"> </w:t>
      </w:r>
      <w:r>
        <w:t xml:space="preserve">(Calder 2018; Mack and Munson 2012a; Pharao et al. 2014; Strand 1999)</w:t>
      </w:r>
      <w:r>
        <w:t xml:space="preserve">. To investigate the role of awareness in sociophonetic perception, this paper reports an audiovisual matched guise experiment, modeled on</w:t>
      </w:r>
      <w:r>
        <w:t xml:space="preserve"> </w:t>
      </w:r>
      <w:r>
        <w:t xml:space="preserve">Strand and Johnson (1996)</w:t>
      </w:r>
      <w:r>
        <w:t xml:space="preserve"> </w:t>
      </w:r>
      <w:r>
        <w:t xml:space="preserve">and subsequent work, but with a novel</w:t>
      </w:r>
      <w:r>
        <w:t xml:space="preserve"> </w:t>
      </w:r>
      <w:r>
        <w:t xml:space="preserve">‘unhidden’</w:t>
      </w:r>
      <w:r>
        <w:t xml:space="preserve"> </w:t>
      </w:r>
      <w:r>
        <w:t xml:space="preserve">condition in which listeners are informed about the nature of the guise manipulations. In doing so, we seek to explore the relationship between beliefs about talker gender and fricative categories and the ways in which social and linguistic knowledge are integrated in perception.</w:t>
      </w:r>
    </w:p>
    <w:p>
      <w:pPr>
        <w:pStyle w:val="BodyText"/>
      </w:pPr>
      <w:r>
        <w:t xml:space="preserve">There is little consensus around the extent to which language users are aware of, and can control, these fine gradations of social meaning in production and perception. There are even conflicting meanings of the word</w:t>
      </w:r>
      <w:r>
        <w:t xml:space="preserve"> </w:t>
      </w:r>
      <w:r>
        <w:rPr>
          <w:i/>
          <w:iCs/>
        </w:rPr>
        <w:t xml:space="preserve">perception</w:t>
      </w:r>
      <w:r>
        <w:t xml:space="preserve"> </w:t>
      </w:r>
      <w:r>
        <w:t xml:space="preserve">used interchangeably in the various relevant literatures. This lack of consensus leads to results that are difficult to interpret across disciplinary and even sub-disciplinary boundaries and limits our ability to benefit from one another’s work; even creating an apparent paradox in which sociophonetic perception appears to be at once sensitive to fine phonetic detail and able to erase details that are inconsistent with our social expectations</w:t>
      </w:r>
      <w:r>
        <w:t xml:space="preserve"> </w:t>
      </w:r>
      <w:r>
        <w:t xml:space="preserve">(Babel this issue)</w:t>
      </w:r>
      <w:r>
        <w:t xml:space="preserve">. It is our hope that one key contribution of this paper will be to build on the general framing provided by</w:t>
      </w:r>
      <w:r>
        <w:t xml:space="preserve"> </w:t>
      </w:r>
      <w:r>
        <w:t xml:space="preserve">(Babel, Campbell-Kibler, and McGowan, this issue)</w:t>
      </w:r>
      <w:r>
        <w:t xml:space="preserve"> </w:t>
      </w:r>
      <w:r>
        <w:t xml:space="preserve">and to serve as a two-way bridge between researchers working primarily in segmental speech perception and word recognition to researchers working primarily in sociolinguistics, linguistic anthropology, and social psychology.</w:t>
      </w:r>
    </w:p>
    <w:bookmarkStart w:id="21" w:name="sec-background"/>
    <w:p>
      <w:pPr>
        <w:pStyle w:val="Heading2"/>
      </w:pPr>
      <w:r>
        <w:t xml:space="preserve">Background: Awareness &amp; Control in Speech Production and Perception</w:t>
      </w:r>
    </w:p>
    <w:p>
      <w:pPr>
        <w:pStyle w:val="FirstParagraph"/>
      </w:pPr>
      <w:r>
        <w:t xml:space="preserve">In this paper, we use</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requirement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pitch as the primary, biological phonetic detail associated with gender performance</w:t>
      </w:r>
      <w:r>
        <w:t xml:space="preserve"> </w:t>
      </w:r>
      <w:r>
        <w:t xml:space="preserve">(Foulkes and Docherty 2006, 411)</w:t>
      </w:r>
      <w:r>
        <w:t xml:space="preserve">; but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Here we owe much of our general conceptualization of</w:t>
      </w:r>
      <w:r>
        <w:t xml:space="preserve"> </w:t>
      </w:r>
      <w:r>
        <w:t xml:space="preserve">‘control’</w:t>
      </w:r>
      <w:r>
        <w:t xml:space="preserve"> </w:t>
      </w:r>
      <w:r>
        <w:t xml:space="preserve">to Babel (this issue)</w:t>
      </w:r>
      <w:r>
        <w:t xml:space="preserve">‘s application of the semiotic role of the interpretant</w:t>
      </w:r>
      <w:r>
        <w:t xml:space="preserve"> </w:t>
      </w:r>
      <w:r>
        <w:t xml:space="preserve">(Peirce 1955)</w:t>
      </w:r>
      <w:r>
        <w:t xml:space="preserve"> </w:t>
      </w:r>
      <w:r>
        <w:t xml:space="preserve">in perception and Preston’s</w:t>
      </w:r>
      <w:r>
        <w:t xml:space="preserve"> </w:t>
      </w:r>
      <w:r>
        <w:t xml:space="preserve">(1996, 2016)</w:t>
      </w:r>
      <w:r>
        <w:t xml:space="preserve"> </w:t>
      </w:r>
      <w:r>
        <w:t xml:space="preserve">four modes of awareness. Underlying our hypothesis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speaker. Social meaning making occurs in interaction</w:t>
      </w:r>
      <w:r>
        <w:t xml:space="preserve"> </w:t>
      </w:r>
      <w:r>
        <w:t xml:space="preserve">(Sharma this issue)</w:t>
      </w:r>
      <w:r>
        <w:t xml:space="preserve">; a listener must be able to control, that is to link, the auditory cues of a performed gender identity to the cognitive representation of that identity just as much as a speaker must be capable of the gestural control required to implement the phonetics of that identity. Crucially,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performance &amp; perception is a phenomenon that crosses disciplinary and subdisciplinary boundaries and approaches to language and social meaning. These varying disciplinary and subdisciplinary contexts employ quite different, sometimes contradictory, assumptions and theoretical commitments about the extent to which language users can bring aspects of perception into introspective awareness and control (conscious or otherwise). Exemplifying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Perception is often construed as the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inaccessible to introspection even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perception in common use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End w:id="21"/>
    <w:bookmarkStart w:id="22" w:name="sec-mgt"/>
    <w:p>
      <w:pPr>
        <w:pStyle w:val="Heading2"/>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levels of perception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commentary in a subsequent interview about the voices in that task sometimes agreed, but typically diverged. When they diverged, segmental perception tracked vowel categories established by the listeners’ previous experience with the voice, while evaluations of the talker much more closely tracked language ideologies regarding the social labels provided by the experiment. Indeed, several participants explicitly commented on the differences between the fricatives used by the two guises; speech sounds that had been held identical in the stimuli</w:t>
      </w:r>
      <w:r>
        <w:t xml:space="preserve"> </w:t>
      </w:r>
      <w:r>
        <w:t xml:space="preserve">(Babel this issue)</w:t>
      </w:r>
      <w:r>
        <w:t xml:space="preserve">. McGowan and Babel attempt to demonstrate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about each guise, leaves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be sensitive to inauthentic details in the performance and thus not</w:t>
      </w:r>
      <w:r>
        <w:t xml:space="preserve"> </w:t>
      </w:r>
      <w:r>
        <w:rPr>
          <w:i/>
          <w:iCs/>
        </w:rPr>
        <w:t xml:space="preserve">believe</w:t>
      </w:r>
      <w:r>
        <w:t xml:space="preserve"> </w:t>
      </w:r>
      <w:r>
        <w:t xml:space="preserve">the mimicked accents.</w:t>
      </w:r>
    </w:p>
    <w:p>
      <w:pPr>
        <w:pStyle w:val="BodyText"/>
      </w:pPr>
      <w:r>
        <w:t xml:space="preserve">Listeners in this task provided both subjective evaluations of personal characteristics of each talker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social meanings, stereotypes,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perceptual outcomes.</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w:t>
      </w:r>
    </w:p>
    <w:p>
      <w:pPr>
        <w:pStyle w:val="BodyText"/>
      </w:pPr>
      <w:r>
        <w:t xml:space="preserve">In sociophonetic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Considering these multiple, potentially contradictory, levels of perception separately may help us unravel the apparent paradox noted above. Studies using late, evaluative, measures likely do not provide insight on segmental perception because behavior obtained late in processing potentially involves layers of awareness and control that block access to the initial online percept for listeners and researchers alike</w:t>
      </w:r>
      <w:r>
        <w:t xml:space="preserve"> </w:t>
      </w:r>
      <w:r>
        <w:t xml:space="preserve">(Campbell-Kibler 2012; McGowan and Babel 2020)</w:t>
      </w:r>
      <w:r>
        <w:t xml:space="preserve">. By the same token, studies using segmental or lexical measures likely do not provide clear insight into participants’ subjective experience of the social qualities of a voice. To understand how these levels of perception may interact and how awareness of the guise manipulation may influence behavior, the present study uses the inverted MGT to test listeners’ segmental perceptions of an [ʃ]-[s] fricative continuum under both different guise and awareness conditions.</w:t>
      </w:r>
    </w:p>
    <w:bookmarkEnd w:id="22"/>
    <w:bookmarkStart w:id="23" w:name="sec-fricative-gender"/>
    <w:p>
      <w:pPr>
        <w:pStyle w:val="Heading2"/>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(cf. 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resonance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and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May (1976)</w:t>
      </w:r>
      <w:r>
        <w:t xml:space="preserve"> </w:t>
      </w:r>
      <w:r>
        <w:t xml:space="preserve">paired a synthetic fricative continuum from [ʃ] (centered at 2.9 kHz) to [s] (centered at 4.4 kHz) with [æ] vowels from large and small vocal tracts to form simple CV syllables and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so [ʃ] from a small vocal tract will overlap acoustically with [s] from a larger one.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r>
        <w:t xml:space="preserve"> </w:t>
      </w:r>
      <w:r>
        <w:t xml:space="preserve">rather than</w:t>
      </w:r>
      <w:r>
        <w:t xml:space="preserve"> </w:t>
      </w:r>
      <w:r>
        <w:t xml:space="preserve">“what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paired with a non-prototypical talker can shift perception of the [ʃ]-[s] continuum such that listeners report hearing a higher proportion of the continuum as [ʃ] when watching a female talker and a higher proportion of the same continuum as [s] when watching a male talker.</w:t>
      </w:r>
    </w:p>
    <w:bookmarkEnd w:id="23"/>
    <w:bookmarkStart w:id="24" w:name="sec-gender"/>
    <w:p>
      <w:pPr>
        <w:pStyle w:val="Heading2"/>
      </w:pPr>
      <w:r>
        <w:t xml:space="preserve">Phonetics, Speech Perception, and the Social-Construction of Gender</w:t>
      </w:r>
    </w:p>
    <w:p>
      <w:pPr>
        <w:pStyle w:val="FirstParagraph"/>
      </w:pPr>
      <w:r>
        <w:t xml:space="preserve">Phonetics has traditionally treated gender as a simple, automatic projection from biological sex onto social identity</w:t>
      </w:r>
      <w:r>
        <w:t xml:space="preserve"> </w:t>
      </w:r>
      <w:r>
        <w:t xml:space="preserve">(Daniel et al. 2007; Samoliński, Grzanka, and Gotlib 2007; Sawusch 2005)</w:t>
      </w:r>
      <w:r>
        <w:t xml:space="preserve"> </w:t>
      </w:r>
      <w:r>
        <w:t xml:space="preserve">that listeners need to normalize away</w:t>
      </w:r>
      <w:r>
        <w:t xml:space="preserve"> </w:t>
      </w:r>
      <w:r>
        <w:t xml:space="preserve">(Johnson 2005)</w:t>
      </w:r>
      <w:r>
        <w:t xml:space="preserve"> </w:t>
      </w:r>
      <w:r>
        <w:t xml:space="preserve">to facilitate linguistic perception. Even within sociolinguistics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variation within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 Barrett and Hall 2024)</w:t>
      </w:r>
      <w:r>
        <w:t xml:space="preserve">. The creation and use of stimuli that are rated as highly gender-prototypical by a large group of listeners maximizes the probability that a perception experiment will find an interpretable result.</w:t>
      </w:r>
    </w:p>
    <w:p>
      <w:pPr>
        <w:pStyle w:val="BodyText"/>
      </w:pPr>
      <w:r>
        <w:t xml:space="preserve">However, it can not be overemphasized that a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articulatory gesture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w:t>
      </w:r>
    </w:p>
    <w:p>
      <w:pPr>
        <w:pStyle w:val="BodyText"/>
      </w:pPr>
      <w:r>
        <w:t xml:space="preserve">Vowels, in both linguistic and social aspects, are the acoustic consequence of gestural control.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Pre-pubescent children perform adult-like vowel formant patterns because they are socialized to use the cultural and linguistic resources available to communicate their assigned gender to others just as adults do. Humans are meaning-making agents, not deterministically resonating meat tubes.</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rigorous review of the sociolinguistics, linguistic anthropology, and phonetics literatures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condition were briefed in the instructions about the guise manipulation. They were instructed that the man or woman in the photo was not associated with the voice they would hear.</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 either with, or without, explicit instructions to disregard the visual stimulus.</w:t>
      </w:r>
    </w:p>
    <w:bookmarkEnd w:id="24"/>
    <w:bookmarkEnd w:id="25"/>
    <w:bookmarkStart w:id="41" w:name="sec-method"/>
    <w:p>
      <w:pPr>
        <w:pStyle w:val="Heading1"/>
      </w:pPr>
      <w:r>
        <w:t xml:space="preserve">Method</w:t>
      </w:r>
    </w:p>
    <w:bookmarkStart w:id="26"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provided language history and demographic data as part of Prolific’s general pre-screening questionnaire. Participation was restricted to a standard sample of desktop computer users located in the USA, who spent their childhoods in the US, spoke English as their first and primary language, and having no known language or hearing difficulties. Additionally, due to an audio playback restriction imposed by Apple Computer, the Safari browser could not be used. Participants were urged only to accept the task if they could do so in a quiet, distraction-free space, and wearing headphones for the 6 to 10 minute duration of the experiment (average time: 6:51). Headphone usage was not verified within the instrument.</w:t>
      </w:r>
    </w:p>
    <w:p>
      <w:pPr>
        <w:pStyle w:val="BodyText"/>
      </w:pPr>
      <w:r>
        <w:t xml:space="preserve">Participants were paid $3 for their time, prorated from a projected rate of $20/hour (actual rate: $26.29/hour). This same instrument was piloted in the Speech Perception lab of The Ohio State University. While reaction times online were generally slower than in-person, results from the online administration were generally consistent with pilot results collected under laboratory conditions. Four participants were excluded for low accuracy rates (below 85%).</w:t>
      </w:r>
    </w:p>
    <w:bookmarkEnd w:id="26"/>
    <w:bookmarkStart w:id="32" w:name="sec-stimuli"/>
    <w:p>
      <w:pPr>
        <w:pStyle w:val="Heading2"/>
      </w:pPr>
      <w:r>
        <w:t xml:space="preserve">Stimulus Materials</w:t>
      </w:r>
    </w:p>
    <w:bookmarkStart w:id="31"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generously shared with us, contain two parts, both of which are drawn from synthetic continua: a fricative onset and a VC rime. The fricative onsets comprise a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by</w:t>
      </w:r>
      <w:r>
        <w:t xml:space="preserve"> </w:t>
      </w:r>
      <w:r>
        <w:t xml:space="preserve">Strand and Johnson (1996)</w:t>
      </w:r>
      <w:r>
        <w:t xml:space="preserve">). Centers of Gravity ranged from a low of 3.2 kHz (/ʃ/-like) to a high of 7 kHz (/s/-like). This continuum is essential to the design as it allowed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unmodified values in a feminizing direction. Conversely, the female talker’s /æk/ continuum decreased both parameters from unmodified productions to create a continuum in a masculinizing direction. These continua allow us to combine the designs of Strand &amp; Johnson’s experiment 1 and experiment 2 in a single task. Listeners were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an auditory stimulus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program, some of the elements of such identities are likely available to conscious reflection, but many indexical features (e.g. VOT duration, F2:F3 formant ratio, etc.) are likely implicit and unavailable for conscious control.</w:t>
      </w:r>
    </w:p>
    <w:tbl>
      <w:tblPr>
        <w:tblStyle w:val="Table"/>
        <w:tblW w:type="pct" w:w="5000"/>
        <w:tblLayout w:type="fixed"/>
        <w:tblLook w:firstRow="0" w:lastRow="0" w:firstColumn="0" w:lastColumn="0" w:noHBand="0" w:noVBand="0" w:val="0000"/>
      </w:tblPr>
      <w:tblGrid>
        <w:gridCol w:w="7920"/>
      </w:tblGrid>
      <w:tr>
        <w:tc>
          <w:tcPr/>
          <w:bookmarkStart w:id="30" w:name="fig-stimuli"/>
          <w:p>
            <w:pPr>
              <w:pStyle w:val="Compact"/>
              <w:jc w:val="center"/>
            </w:pPr>
            <w:r>
              <w:drawing>
                <wp:inline>
                  <wp:extent cx="4754880" cy="3511736"/>
                  <wp:effectExtent b="0" l="0" r="0" t="0"/>
                  <wp:docPr descr="" title="" id="28" name="Picture"/>
                  <a:graphic>
                    <a:graphicData uri="http://schemas.openxmlformats.org/drawingml/2006/picture">
                      <pic:pic>
                        <pic:nvPicPr>
                          <pic:cNvPr descr="images/figure1.png" id="29" name="Picture"/>
                          <pic:cNvPicPr>
                            <a:picLocks noChangeArrowheads="1" noChangeAspect="1"/>
                          </pic:cNvPicPr>
                        </pic:nvPicPr>
                        <pic:blipFill>
                          <a:blip r:embed="rId27"/>
                          <a:stretch>
                            <a:fillRect/>
                          </a:stretch>
                        </pic:blipFill>
                        <pic:spPr bwMode="auto">
                          <a:xfrm>
                            <a:off x="0" y="0"/>
                            <a:ext cx="4754880" cy="3511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six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 across five coda steps.</w:t>
            </w:r>
          </w:p>
          <w:bookmarkEnd w:id="30"/>
        </w:tc>
      </w:tr>
    </w:tbl>
    <w:bookmarkEnd w:id="31"/>
    <w:bookmarkEnd w:id="32"/>
    <w:bookmarkStart w:id="38"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the auditory stimuli might influence participants’ perceptions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1.2</w:t>
        </w:r>
      </w:hyperlink>
      <w:r>
        <w:t xml:space="preserve">). 40 undergraduate students at the Ohio State University (25 female, 15 male, ages 18-26) who participated in an in-person pilot version of the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selected from a fixed set of responses; no free form responses were elicited.</w:t>
      </w:r>
    </w:p>
    <w:p>
      <w:pPr>
        <w:pStyle w:val="BodyText"/>
      </w:pPr>
      <w:r>
        <w:t xml:space="preserve">Participants’ judgments of the female voice indicate general agreement about this speaker’s gender identity. Most participants (93%)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specified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 (1 further specified</w:t>
      </w:r>
      <w:r>
        <w:t xml:space="preserve"> </w:t>
      </w:r>
      <w:r>
        <w:t xml:space="preserve">‘trans-male’</w:t>
      </w:r>
      <w:r>
        <w:t xml:space="preserve">), and 20%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7"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6" w:name="fig-visual"/>
          <w:p>
            <w:pPr>
              <w:pStyle w:val="Compact"/>
              <w:jc w:val="center"/>
            </w:pPr>
            <w:r>
              <w:drawing>
                <wp:inline>
                  <wp:extent cx="4754880" cy="4754880"/>
                  <wp:effectExtent b="0" l="0" r="0" t="0"/>
                  <wp:docPr descr="" title="" id="34" name="Picture"/>
                  <a:graphic>
                    <a:graphicData uri="http://schemas.openxmlformats.org/drawingml/2006/picture">
                      <pic:pic>
                        <pic:nvPicPr>
                          <pic:cNvPr descr="images/facesanddrawings.jpg" id="35" name="Picture"/>
                          <pic:cNvPicPr>
                            <a:picLocks noChangeArrowheads="1" noChangeAspect="1"/>
                          </pic:cNvPicPr>
                        </pic:nvPicPr>
                        <pic:blipFill>
                          <a:blip r:embed="rId33"/>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6"/>
        </w:tc>
      </w:tr>
    </w:tbl>
    <w:bookmarkEnd w:id="37"/>
    <w:bookmarkEnd w:id="38"/>
    <w:bookmarkStart w:id="40"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This experiment was hosted on a</w:t>
      </w:r>
      <w:r>
        <w:t xml:space="preserve"> </w:t>
      </w:r>
      <w:r>
        <w:t xml:space="preserve">JATOS</w:t>
      </w:r>
      <w:r>
        <w:t xml:space="preserve"> </w:t>
      </w:r>
      <w:r>
        <w:t xml:space="preserve">(Lange, Kuhn, and Filevich 2015)</w:t>
      </w:r>
      <w:r>
        <w:t xml:space="preserve"> </w:t>
      </w:r>
      <w:r>
        <w:t xml:space="preserve">instance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but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 pilot participants in</w:t>
      </w:r>
      <w:r>
        <w:t xml:space="preserve"> </w:t>
      </w:r>
      <w:r>
        <w:t xml:space="preserve">Bouavichith et al. (2019)</w:t>
      </w:r>
      <w:r>
        <w:t xml:space="preserve">,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9"/>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40"/>
    <w:bookmarkEnd w:id="41"/>
    <w:bookmarkStart w:id="45" w:name="sec-predictions"/>
    <w:p>
      <w:pPr>
        <w:pStyle w:val="Heading1"/>
      </w:pPr>
      <w:r>
        <w:t xml:space="preserve">Predicted Results</w:t>
      </w:r>
    </w:p>
    <w:bookmarkStart w:id="42"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2"/>
    <w:bookmarkStart w:id="43"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3"/>
    <w:bookmarkStart w:id="44"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hidden and unhidden conditions.</w:t>
      </w:r>
    </w:p>
    <w:p>
      <w:pPr>
        <w:pStyle w:val="BodyText"/>
      </w:pPr>
      <w:r>
        <w:t xml:space="preserve">Additionally, we speculate that there may be a response time difference between the Hidden and Unhidden guises even if there is no apparent difference in percept between the conditions. It may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4"/>
    <w:bookmarkEnd w:id="45"/>
    <w:bookmarkStart w:id="65"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4"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9" w:name="fig-scurve"/>
          <w:p>
            <w:pPr>
              <w:pStyle w:val="Compact"/>
              <w:jc w:val="center"/>
            </w:pPr>
            <w:r>
              <w:drawing>
                <wp:inline>
                  <wp:extent cx="4754880" cy="2937285"/>
                  <wp:effectExtent b="0" l="0" r="0" t="0"/>
                  <wp:docPr descr="" title="" id="47" name="Picture"/>
                  <a:graphic>
                    <a:graphicData uri="http://schemas.openxmlformats.org/drawingml/2006/picture">
                      <pic:pic>
                        <pic:nvPicPr>
                          <pic:cNvPr descr="images/Scurve.png" id="48" name="Picture"/>
                          <pic:cNvPicPr>
                            <a:picLocks noChangeArrowheads="1" noChangeAspect="1"/>
                          </pic:cNvPicPr>
                        </pic:nvPicPr>
                        <pic:blipFill>
                          <a:blip r:embed="rId46"/>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9"/>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3" w:name="fig-rimes"/>
          <w:p>
            <w:pPr>
              <w:pStyle w:val="Compact"/>
              <w:jc w:val="center"/>
            </w:pPr>
            <w:r>
              <w:drawing>
                <wp:inline>
                  <wp:extent cx="4754880" cy="2937285"/>
                  <wp:effectExtent b="0" l="0" r="0" t="0"/>
                  <wp:docPr descr="" title="" id="51" name="Picture"/>
                  <a:graphic>
                    <a:graphicData uri="http://schemas.openxmlformats.org/drawingml/2006/picture">
                      <pic:pic>
                        <pic:nvPicPr>
                          <pic:cNvPr descr="images/ambiguous-by-rime-step.png" id="52" name="Picture"/>
                          <pic:cNvPicPr>
                            <a:picLocks noChangeArrowheads="1" noChangeAspect="1"/>
                          </pic:cNvPicPr>
                        </pic:nvPicPr>
                        <pic:blipFill>
                          <a:blip r:embed="rId50"/>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3"/>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The main objective of this experiment was to explore the role</w:t>
      </w:r>
      <w:r>
        <w:t xml:space="preserve"> </w:t>
      </w:r>
      <w:r>
        <w:t xml:space="preserve">of listener awareness in the matched guise technique. Here again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4"/>
    <w:bookmarkStart w:id="59"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inspection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8" w:name="fig-coefs"/>
          <w:p>
            <w:pPr>
              <w:pStyle w:val="Compact"/>
              <w:jc w:val="center"/>
            </w:pPr>
            <w:r>
              <w:drawing>
                <wp:inline>
                  <wp:extent cx="4754880" cy="3169919"/>
                  <wp:effectExtent b="0" l="0" r="0" t="0"/>
                  <wp:docPr descr="" title="" id="56" name="Picture"/>
                  <a:graphic>
                    <a:graphicData uri="http://schemas.openxmlformats.org/drawingml/2006/picture">
                      <pic:pic>
                        <pic:nvPicPr>
                          <pic:cNvPr descr="images/coefs_instruction.png" id="57" name="Picture"/>
                          <pic:cNvPicPr>
                            <a:picLocks noChangeArrowheads="1" noChangeAspect="1"/>
                          </pic:cNvPicPr>
                        </pic:nvPicPr>
                        <pic:blipFill>
                          <a:blip r:embed="rId55"/>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8"/>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We can confirm that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9"/>
    <w:bookmarkStart w:id="64" w:name="sec-results-rt"/>
    <w:p>
      <w:pPr>
        <w:pStyle w:val="Heading2"/>
      </w:pPr>
      <w:r>
        <w:t xml:space="preserve">Response Times</w:t>
      </w:r>
    </w:p>
    <w:p>
      <w:pPr>
        <w:pStyle w:val="FirstParagraph"/>
      </w:pPr>
      <w:r>
        <w:t xml:space="preserve">We again opted to separate Congruence into a pair of 3-way models for linear mixed model analysis of our log-transformed response time data. Using</w:t>
      </w:r>
      <w:r>
        <w:t xml:space="preserve"> </w:t>
      </w:r>
      <w:r>
        <w:rPr>
          <w:rStyle w:val="VerbatimChar"/>
        </w:rPr>
        <w:t xml:space="preserve">lmer()</w:t>
      </w:r>
      <w:r>
        <w:t xml:space="preserve"> </w:t>
      </w:r>
      <w:r>
        <w:t xml:space="preserve">(Bates, Maechler, and Bolker 2011)</w:t>
      </w:r>
      <w:r>
        <w:t xml:space="preserve">, we reused the congruous and incongruous subsets created for the logistic regression models and fitted a linear mixed model (estimated using REML and nloptwrap optimizer) to predict logRT with Guise, Onset, Face and Rime (</w:t>
      </w:r>
      <w:r>
        <w:rPr>
          <w:rStyle w:val="VerbatimChar"/>
        </w:rPr>
        <w:t xml:space="preserve">logRT ~ Instruction * Onset * Face + Rime</w:t>
      </w:r>
      <w:r>
        <w:t xml:space="preserve">). The models included random intercepts for subject. All categorical predictors were coded using contrast coding. Beta coefficients for both models are plotted in</w:t>
      </w:r>
      <w:r>
        <w:t xml:space="preserve"> </w:t>
      </w:r>
      <w:hyperlink w:anchor="fig-coefs-logRT">
        <w:r>
          <w:rPr>
            <w:rStyle w:val="Hyperlink"/>
          </w:rPr>
          <w:t xml:space="preserve">Figure 6</w:t>
        </w:r>
      </w:hyperlink>
      <w:r>
        <w:t xml:space="preserve">. Terms plotted to the left of the zero line are associated with a decrease in log response time while terms plotted to the right of the zero line are associated with an increase in log response time. Notably, the longest response times are associated with the most ambiguous steps of the [ʃ]-[s] onset continuum. Onset step 3 is positively associated with response time and significant in both 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 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 1, 2, and 5 are all negatively associated with response time and also 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3" w:name="fig-coefs-logRT"/>
          <w:p>
            <w:pPr>
              <w:pStyle w:val="Compact"/>
              <w:jc w:val="center"/>
            </w:pPr>
            <w:r>
              <w:drawing>
                <wp:inline>
                  <wp:extent cx="4754880" cy="3169919"/>
                  <wp:effectExtent b="0" l="0" r="0" t="0"/>
                  <wp:docPr descr="" title="" id="61" name="Picture"/>
                  <a:graphic>
                    <a:graphicData uri="http://schemas.openxmlformats.org/drawingml/2006/picture">
                      <pic:pic>
                        <pic:nvPicPr>
                          <pic:cNvPr descr="images/coefs-logRT_instructions.png" id="62" name="Picture"/>
                          <pic:cNvPicPr>
                            <a:picLocks noChangeArrowheads="1" noChangeAspect="1"/>
                          </pic:cNvPicPr>
                        </pic:nvPicPr>
                        <pic:blipFill>
                          <a:blip r:embed="rId60"/>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3"/>
        </w:tc>
      </w:tr>
    </w:tbl>
    <w:p>
      <w:pPr>
        <w:pStyle w:val="BodyText"/>
      </w:pPr>
      <w:r>
        <w:t xml:space="preserve">We predicted overall slower response times in the Incongruous than</w:t>
      </w:r>
      <w:r>
        <w:t xml:space="preserve"> </w:t>
      </w:r>
      <w:r>
        <w:t xml:space="preserve">Congruous conditions, but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is</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4"/>
    <w:bookmarkEnd w:id="65"/>
    <w:bookmarkStart w:id="66" w:name="discussion"/>
    <w:p>
      <w:pPr>
        <w:pStyle w:val="Heading1"/>
      </w:pPr>
      <w:r>
        <w:t xml:space="preserve">Discussion</w:t>
      </w:r>
    </w:p>
    <w:p>
      <w:pPr>
        <w:pStyle w:val="FirstParagraph"/>
      </w:pPr>
      <w:r>
        <w:t xml:space="preserve">This study was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The careful steps researchers typically take to obscure the guise manipulation reflects long-held assumptions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congruous or incongruous conditions. Nor did this revelation have a significant influence on response times in either condition.</w:t>
      </w:r>
    </w:p>
    <w:p>
      <w:pPr>
        <w:pStyle w:val="BodyText"/>
      </w:pPr>
      <w:r>
        <w:t xml:space="preserve">The finding that guises affect perception even when revealed to participants is inconsistent with a model of processing in which social knowledge acts as a top-down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lending support to</w:t>
      </w:r>
      <w:r>
        <w:t xml:space="preserve"> </w:t>
      </w:r>
      <w:r>
        <w:t xml:space="preserve">Drager and Kirtley (2016b)</w:t>
      </w:r>
      <w:r>
        <w:t xml:space="preserve"> </w:t>
      </w:r>
      <w:r>
        <w:t xml:space="preserve">(p.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may prove to be as resilient to</w:t>
      </w:r>
      <w:r>
        <w:t xml:space="preserve"> </w:t>
      </w:r>
      <w:r>
        <w:t xml:space="preserve">awareness as the McGurk effect</w:t>
      </w:r>
      <w:r>
        <w:t xml:space="preserve"> </w:t>
      </w:r>
      <w:r>
        <w:t xml:space="preserve">(McGurk and MacDonald 1976)</w:t>
      </w:r>
      <w:r>
        <w:t xml:space="preserve">, which is obligatory and 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Gender of the voice and face combine to make the Strand effect even stronger in the congruous condition;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through separating trials by</w:t>
      </w:r>
      <w:r>
        <w:t xml:space="preserve"> </w:t>
      </w:r>
      <w:r>
        <w:t xml:space="preserve">congruity of face and voice, we have replicated both experiments from</w:t>
      </w:r>
      <w:r>
        <w:t xml:space="preserve"> </w:t>
      </w:r>
      <w:r>
        <w:t xml:space="preserve">Strand and Johnson (1996)</w:t>
      </w:r>
      <w:r>
        <w:t xml:space="preserve"> </w:t>
      </w:r>
      <w:r>
        <w:t xml:space="preserve">simultaneously. Looking back at their experiment 2,</w:t>
      </w:r>
      <w:r>
        <w:t xml:space="preserve"> </w:t>
      </w:r>
      <w:r>
        <w:t xml:space="preserve">it is possible that this classic result was</w:t>
      </w:r>
      <w:r>
        <w:t xml:space="preserve"> </w:t>
      </w:r>
      <w:r>
        <w:rPr>
          <w:i/>
          <w:iCs/>
        </w:rPr>
        <w:t xml:space="preserve">also</w:t>
      </w:r>
      <w:r>
        <w:t xml:space="preserve"> </w:t>
      </w:r>
      <w:r>
        <w:t xml:space="preserve">a congruous condition in which listeners had sufficient gender information from the</w:t>
      </w:r>
      <w:r>
        <w:t xml:space="preserve"> </w:t>
      </w:r>
      <w:r>
        <w:t xml:space="preserve">‘non-protypical’</w:t>
      </w:r>
      <w:r>
        <w:t xml:space="preserve"> </w:t>
      </w:r>
      <w:r>
        <w:t xml:space="preserve">voice to supplement 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VC rimes for this</w:t>
      </w:r>
      <w:r>
        <w:t xml:space="preserve"> </w:t>
      </w:r>
      <w:r>
        <w:t xml:space="preserve">study are F0 and formant spacing. However, these are not the only cues</w:t>
      </w:r>
      <w:r>
        <w:t xml:space="preserve"> </w:t>
      </w:r>
      <w:r>
        <w:t xml:space="preserve">listeners draw upon with their knowledge of US English. Surely,</w:t>
      </w:r>
      <w:r>
        <w:t xml:space="preserve"> </w:t>
      </w:r>
      <w:r>
        <w:t xml:space="preserve">F0 and formant spacing</w:t>
      </w:r>
      <w:r>
        <w:t xml:space="preserve"> </w:t>
      </w:r>
      <w:r>
        <w:rPr>
          <w:i/>
          <w:iCs/>
        </w:rPr>
        <w:t xml:space="preserve">can be</w:t>
      </w:r>
      <w:r>
        <w:t xml:space="preserve"> </w:t>
      </w:r>
      <w:r>
        <w:t xml:space="preserve">important to listeners, just as</w:t>
      </w:r>
      <w:r>
        <w:t xml:space="preserve"> </w:t>
      </w:r>
      <w:r>
        <w:t xml:space="preserve">voice onset time and modal voicing can be important cues to the</w:t>
      </w:r>
      <w:r>
        <w:t xml:space="preserve"> </w:t>
      </w:r>
      <w:r>
        <w:t xml:space="preserve">voicing of /t/ and /d/. But as</w:t>
      </w:r>
      <w:r>
        <w:t xml:space="preserve"> </w:t>
      </w:r>
      <w:r>
        <w:t xml:space="preserve">Lisker (1986)</w:t>
      </w:r>
      <w:r>
        <w:t xml:space="preserve"> </w:t>
      </w:r>
      <w:r>
        <w:t xml:space="preserve">reported for those stops, there are 16 cues to this apparently simple feature in English, any of which might be</w:t>
      </w:r>
      <w:r>
        <w:t xml:space="preserve"> </w:t>
      </w:r>
      <w:r>
        <w:t xml:space="preserve">sufficient to communicate voicing, but none of which are required. In</w:t>
      </w:r>
      <w:r>
        <w:t xml:space="preserve"> </w:t>
      </w:r>
      <w:r>
        <w:t xml:space="preserve">the present study, we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 the stimuli in</w:t>
      </w:r>
      <w:r>
        <w:t xml:space="preserve"> </w:t>
      </w:r>
      <w:r>
        <w:t xml:space="preserve">Whalen (1984)</w:t>
      </w:r>
      <w:r>
        <w:t xml:space="preserve"> </w:t>
      </w:r>
      <w:r>
        <w:t xml:space="preserve">did not sound obviously mismatched. But our</w:t>
      </w:r>
      <w:r>
        <w:t xml:space="preserve"> </w:t>
      </w:r>
      <w:r>
        <w:t xml:space="preserve">perception results suggest that listeners remain aware, albeit</w:t>
      </w:r>
      <w:r>
        <w:t xml:space="preserve"> </w:t>
      </w:r>
      <w:r>
        <w:t xml:space="preserve">implicitly, of the gender identity we attempted to obscure by</w:t>
      </w:r>
      <w:r>
        <w:t xml:space="preserve"> </w:t>
      </w:r>
      <w:r>
        <w:t xml:space="preserve">altering these phonetic correlates.</w:t>
      </w:r>
    </w:p>
    <w:bookmarkEnd w:id="66"/>
    <w:bookmarkStart w:id="67" w:name="conclusion"/>
    <w:p>
      <w:pPr>
        <w:pStyle w:val="Heading1"/>
      </w:pPr>
      <w:r>
        <w:t xml:space="preserve">Conclusion</w:t>
      </w:r>
    </w:p>
    <w:p>
      <w:pPr>
        <w:pStyle w:val="FirstParagraph"/>
      </w:pPr>
      <w:r>
        <w:t xml:space="preserve">Decades of research since the original findings of</w:t>
      </w:r>
      <w:r>
        <w:t xml:space="preserve"> </w:t>
      </w:r>
      <w:r>
        <w:t xml:space="preserve">Strand and Johnson (1996)</w:t>
      </w:r>
      <w:r>
        <w:t xml:space="preserve"> </w:t>
      </w:r>
      <w:r>
        <w:t xml:space="preserve">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experiments 1 and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However, listeners’ behavior in our Congruous</w:t>
      </w:r>
      <w:r>
        <w:t xml:space="preserve"> </w:t>
      </w:r>
      <w:r>
        <w:t xml:space="preserve">and Incongruous conditions is inconsistent with such a model;</w:t>
      </w:r>
      <w:r>
        <w:t xml:space="preserve"> </w:t>
      </w:r>
      <w:r>
        <w:t xml:space="preserve">suggesting,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 segmental perception</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in this study are, perhaps, predicted by the</w:t>
      </w:r>
      <w:r>
        <w:t xml:space="preserve"> </w:t>
      </w:r>
      <w:r>
        <w:t xml:space="preserve">lack of Face effect in</w:t>
      </w:r>
      <w:r>
        <w:t xml:space="preserve"> </w:t>
      </w:r>
      <w:r>
        <w:t xml:space="preserve">Johnson, Strand, and D’Imperio (1999)</w:t>
      </w:r>
      <w:r>
        <w:t xml:space="preserve"> </w:t>
      </w:r>
      <w:r>
        <w:t xml:space="preserve">exp2 vowel perception results,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expectations of the social world and visual and other sensory information to arrive at a percept</w:t>
      </w:r>
      <w:r>
        <w:t xml:space="preserve"> </w:t>
      </w:r>
      <w:r>
        <w:t xml:space="preserve">(Babel this issue)</w:t>
      </w:r>
      <w:r>
        <w:t xml:space="preserve">.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ofperceptual processing.</w:t>
      </w:r>
    </w:p>
    <w:p>
      <w:pPr>
        <w:pStyle w:val="BodyText"/>
      </w:pPr>
      <w:r>
        <w:t xml:space="preserve">Barrett (2014, 205)</w:t>
      </w:r>
      <w:r>
        <w:t xml:space="preserve"> </w:t>
      </w:r>
      <w:r>
        <w:t xml:space="preserve">writes,</w:t>
      </w:r>
      <w:r>
        <w:t xml:space="preserve"> </w:t>
      </w:r>
      <w:r>
        <w:t xml:space="preserve">“any assumption of essentialism will ultimately marginalize those individuals who do not fit the essentialist understandings of human behavior.”</w:t>
      </w:r>
      <w:r>
        <w:t xml:space="preserve"> </w:t>
      </w:r>
      <w:r>
        <w:t xml:space="preserve">It may not feel reductive to read the findings of</w:t>
      </w:r>
      <w:r>
        <w:t xml:space="preserve"> </w:t>
      </w:r>
      <w:r>
        <w:t xml:space="preserve">May (1976)</w:t>
      </w:r>
      <w:r>
        <w:t xml:space="preserve"> </w:t>
      </w:r>
      <w:r>
        <w:t xml:space="preserve">about large and small vocal tracts as if they refer to male and female vocal tracts respectively, but it does necessarily imply that tall, long-necked women and short, squat-necked men need to find some other way of labeling themselves. The idea that male voices come from large bodies and female voices come from small bodies need not be literally true for the phonetic and perceptual correlates of size to become enregistered alongside other features in the creation of gendered personae</w:t>
      </w:r>
      <w:r>
        <w:t xml:space="preserve"> </w:t>
      </w:r>
      <w:r>
        <w:t xml:space="preserve">(D’Onofrio 2020)</w:t>
      </w:r>
      <w:r>
        <w:t xml:space="preserve">. Our prediction that incongruity between face and voice would slow listener judgments was not supported. It is tempting to interpret this as evidence that, unlike misleading coarticulatory information, listeners are aware of the diversity of gender expression, but this is not a question the current study can resolve.</w:t>
      </w:r>
    </w:p>
    <w:p>
      <w:pPr>
        <w:pStyle w:val="BodyText"/>
      </w:pPr>
      <w:r>
        <w:t xml:space="preserve">What the current study can resolve is that the influence of listeners’ social knowledge of speech on perception is not delicate. The present result is equally inconsistent with a model that disregards social knowledge entirely and with a</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and linguistic knowledge are deeply intertwined in segmental speech perception and word recognition.</w:t>
      </w:r>
    </w:p>
    <w:bookmarkEnd w:id="67"/>
    <w:bookmarkStart w:id="199" w:name="sec-references"/>
    <w:p>
      <w:pPr>
        <w:pStyle w:val="Heading1"/>
      </w:pPr>
      <w:r>
        <w:t xml:space="preserve">References</w:t>
      </w:r>
    </w:p>
    <w:bookmarkStart w:id="198" w:name="refs"/>
    <w:bookmarkStart w:id="68"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8"/>
    <w:bookmarkStart w:id="69"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9"/>
    <w:bookmarkStart w:id="70"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70"/>
    <w:bookmarkStart w:id="71"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1"/>
    <w:bookmarkStart w:id="72"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2"/>
    <w:bookmarkStart w:id="73"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3"/>
    <w:bookmarkStart w:id="75"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4">
        <w:r>
          <w:rPr>
            <w:rStyle w:val="Hyperlink"/>
          </w:rPr>
          <w:t xml:space="preserve">http://CRAN.R-project.org/package=lme4</w:t>
        </w:r>
      </w:hyperlink>
      <w:r>
        <w:t xml:space="preserve">.</w:t>
      </w:r>
    </w:p>
    <w:bookmarkEnd w:id="75"/>
    <w:bookmarkStart w:id="76"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6"/>
    <w:bookmarkStart w:id="77"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7"/>
    <w:bookmarkStart w:id="79"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8">
        <w:r>
          <w:rPr>
            <w:rStyle w:val="Hyperlink"/>
          </w:rPr>
          <w:t xml:space="preserve">https://doi.org/10.1121/1.5101933</w:t>
        </w:r>
      </w:hyperlink>
      <w:r>
        <w:t xml:space="preserve">.</w:t>
      </w:r>
    </w:p>
    <w:bookmarkEnd w:id="79"/>
    <w:bookmarkStart w:id="80"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0"/>
    <w:bookmarkStart w:id="81"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1"/>
    <w:bookmarkStart w:id="82"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2"/>
    <w:bookmarkStart w:id="83"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3"/>
    <w:bookmarkStart w:id="84"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4"/>
    <w:bookmarkStart w:id="85"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5"/>
    <w:bookmarkStart w:id="86"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6"/>
    <w:bookmarkStart w:id="87"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7"/>
    <w:bookmarkStart w:id="88"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8"/>
    <w:bookmarkStart w:id="90"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89">
        <w:r>
          <w:rPr>
            <w:rStyle w:val="Hyperlink"/>
          </w:rPr>
          <w:t xml:space="preserve">https://doi.org/10.4324/9781315514857-5</w:t>
        </w:r>
      </w:hyperlink>
      <w:r>
        <w:t xml:space="preserve">.</w:t>
      </w:r>
    </w:p>
    <w:bookmarkEnd w:id="90"/>
    <w:bookmarkStart w:id="91"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1"/>
    <w:bookmarkStart w:id="92"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2"/>
    <w:bookmarkStart w:id="94"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3">
        <w:r>
          <w:rPr>
            <w:rStyle w:val="Hyperlink"/>
          </w:rPr>
          <w:t xml:space="preserve">https://doi.org/10.1037/xlm0000137</w:t>
        </w:r>
      </w:hyperlink>
      <w:r>
        <w:t xml:space="preserve">.</w:t>
      </w:r>
    </w:p>
    <w:bookmarkEnd w:id="94"/>
    <w:bookmarkStart w:id="95"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5"/>
    <w:bookmarkStart w:id="96"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6"/>
    <w:bookmarkStart w:id="98" w:name="ref-donofrio2020"/>
    <w:p>
      <w:pPr>
        <w:pStyle w:val="Bibliography"/>
      </w:pPr>
      <w:r>
        <w:t xml:space="preserve">———. 2020.</w:t>
      </w:r>
      <w:r>
        <w:t xml:space="preserve"> </w:t>
      </w:r>
      <w:r>
        <w:t xml:space="preserve">“Personae in Sociolinguistic Variation.”</w:t>
      </w:r>
      <w:r>
        <w:t xml:space="preserve"> </w:t>
      </w:r>
      <w:r>
        <w:rPr>
          <w:i/>
          <w:iCs/>
        </w:rPr>
        <w:t xml:space="preserve">WIREs Cognitive Science</w:t>
      </w:r>
      <w:r>
        <w:t xml:space="preserve"> </w:t>
      </w:r>
      <w:r>
        <w:t xml:space="preserve">11 (6): e1543.</w:t>
      </w:r>
      <w:r>
        <w:t xml:space="preserve"> </w:t>
      </w:r>
      <w:hyperlink r:id="rId97">
        <w:r>
          <w:rPr>
            <w:rStyle w:val="Hyperlink"/>
          </w:rPr>
          <w:t xml:space="preserve">https://doi.org/10.1002/wcs.1543</w:t>
        </w:r>
      </w:hyperlink>
      <w:r>
        <w:t xml:space="preserve">.</w:t>
      </w:r>
    </w:p>
    <w:bookmarkEnd w:id="98"/>
    <w:bookmarkStart w:id="99"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9"/>
    <w:bookmarkStart w:id="100"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100"/>
    <w:bookmarkStart w:id="102"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1">
        <w:r>
          <w:rPr>
            <w:rStyle w:val="Hyperlink"/>
          </w:rPr>
          <w:t xml:space="preserve">https://doi.org/10.1016/s0010-0277(00)00123-2</w:t>
        </w:r>
      </w:hyperlink>
      <w:r>
        <w:t xml:space="preserve">.</w:t>
      </w:r>
    </w:p>
    <w:bookmarkEnd w:id="102"/>
    <w:bookmarkStart w:id="103"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3"/>
    <w:bookmarkStart w:id="104"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4"/>
    <w:bookmarkStart w:id="105"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6"/>
    <w:bookmarkStart w:id="107" w:name="ref-eckert2012"/>
    <w:p>
      <w:pPr>
        <w:pStyle w:val="Bibliography"/>
      </w:pPr>
      <w:r>
        <w:t xml:space="preserve">Eckert, Penelope.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7"/>
    <w:bookmarkStart w:id="10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8"/>
    <w:bookmarkStart w:id="109"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9"/>
    <w:bookmarkStart w:id="110"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0"/>
    <w:bookmarkStart w:id="111"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1"/>
    <w:bookmarkStart w:id="112"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2"/>
    <w:bookmarkStart w:id="113" w:name="ref-fuchsToda2010"/>
    <w:p>
      <w:pPr>
        <w:pStyle w:val="Bibliography"/>
      </w:pPr>
      <w:r>
        <w:t xml:space="preserve">Fuchs, Susanne, and Martine Toda. 2010.</w:t>
      </w:r>
      <w:r>
        <w:t xml:space="preserve"> </w:t>
      </w:r>
      <w:r>
        <w:t xml:space="preserve">“Do Differences in Male Versus Female /s/ Reflect Biological or Sociophonetic Factors.”</w:t>
      </w:r>
      <w:r>
        <w:t xml:space="preserve"> </w:t>
      </w:r>
      <w:r>
        <w:rPr>
          <w:i/>
          <w:iCs/>
        </w:rPr>
        <w:t xml:space="preserve">Turbulent Sounds: An Interdisciplinary Guide</w:t>
      </w:r>
      <w:r>
        <w:t xml:space="preserve"> </w:t>
      </w:r>
      <w:r>
        <w:t xml:space="preserve">21: 281–302.</w:t>
      </w:r>
    </w:p>
    <w:bookmarkEnd w:id="113"/>
    <w:bookmarkStart w:id="114"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4"/>
    <w:bookmarkStart w:id="115"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5"/>
    <w:bookmarkStart w:id="116"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6"/>
    <w:bookmarkStart w:id="117"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7"/>
    <w:bookmarkStart w:id="118"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8"/>
    <w:bookmarkStart w:id="120"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19">
        <w:r>
          <w:rPr>
            <w:rStyle w:val="Hyperlink"/>
          </w:rPr>
          <w:t xml:space="preserve">https://doi.org/10.3389/fpsyg.2015.00500</w:t>
        </w:r>
      </w:hyperlink>
      <w:r>
        <w:t xml:space="preserve">.</w:t>
      </w:r>
    </w:p>
    <w:bookmarkEnd w:id="120"/>
    <w:bookmarkStart w:id="122"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1">
        <w:r>
          <w:rPr>
            <w:rStyle w:val="Hyperlink"/>
          </w:rPr>
          <w:t xml:space="preserve">http://dx.doi.org/10.3758/BF03207536</w:t>
        </w:r>
      </w:hyperlink>
      <w:r>
        <w:t xml:space="preserve">.</w:t>
      </w:r>
    </w:p>
    <w:bookmarkEnd w:id="122"/>
    <w:bookmarkStart w:id="123"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3"/>
    <w:bookmarkStart w:id="124"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4"/>
    <w:bookmarkStart w:id="125"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5"/>
    <w:bookmarkStart w:id="126"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6"/>
    <w:bookmarkStart w:id="127"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7"/>
    <w:bookmarkStart w:id="128"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8"/>
    <w:bookmarkStart w:id="129"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29"/>
    <w:bookmarkStart w:id="130"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30"/>
    <w:bookmarkStart w:id="131"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1"/>
    <w:bookmarkStart w:id="133"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2">
        <w:r>
          <w:rPr>
            <w:rStyle w:val="Hyperlink"/>
          </w:rPr>
          <w:t xml:space="preserve">http://www.jstor.org/stable/522229</w:t>
        </w:r>
      </w:hyperlink>
      <w:r>
        <w:t xml:space="preserve">.</w:t>
      </w:r>
    </w:p>
    <w:bookmarkEnd w:id="133"/>
    <w:bookmarkStart w:id="134"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4"/>
    <w:bookmarkStart w:id="135"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5"/>
    <w:bookmarkStart w:id="136"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6"/>
    <w:bookmarkStart w:id="137"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7"/>
    <w:bookmarkStart w:id="138"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8"/>
    <w:bookmarkStart w:id="140"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39">
        <w:r>
          <w:rPr>
            <w:rStyle w:val="Hyperlink"/>
          </w:rPr>
          <w:t xml:space="preserve">https://doi.org/10.1371/journal.pone.0130834</w:t>
        </w:r>
      </w:hyperlink>
      <w:r>
        <w:t xml:space="preserve">.</w:t>
      </w:r>
    </w:p>
    <w:bookmarkEnd w:id="140"/>
    <w:bookmarkStart w:id="142"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1">
        <w:r>
          <w:rPr>
            <w:rStyle w:val="Hyperlink"/>
          </w:rPr>
          <w:t xml:space="preserve">https://doi.org/10.3109/13682826809011440</w:t>
        </w:r>
      </w:hyperlink>
      <w:r>
        <w:t xml:space="preserve">.</w:t>
      </w:r>
    </w:p>
    <w:bookmarkEnd w:id="142"/>
    <w:bookmarkStart w:id="144"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3">
        <w:r>
          <w:rPr>
            <w:rStyle w:val="Hyperlink"/>
          </w:rPr>
          <w:t xml:space="preserve">https://doi.org/10.1177/0075424214531487</w:t>
        </w:r>
      </w:hyperlink>
      <w:r>
        <w:t xml:space="preserve">.</w:t>
      </w:r>
    </w:p>
    <w:bookmarkEnd w:id="144"/>
    <w:bookmarkStart w:id="145"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5"/>
    <w:bookmarkStart w:id="147" w:name="ref-imagemagick"/>
    <w:p>
      <w:pPr>
        <w:pStyle w:val="Bibliography"/>
      </w:pPr>
      <w:r>
        <w:t xml:space="preserve">LLC, ImageMagick Studio. 2023.</w:t>
      </w:r>
      <w:r>
        <w:t xml:space="preserve"> </w:t>
      </w:r>
      <w:r>
        <w:t xml:space="preserve">“ImageMagick.”</w:t>
      </w:r>
      <w:r>
        <w:t xml:space="preserve"> </w:t>
      </w:r>
      <w:hyperlink r:id="rId146">
        <w:r>
          <w:rPr>
            <w:rStyle w:val="Hyperlink"/>
          </w:rPr>
          <w:t xml:space="preserve">https://imagemagick.org</w:t>
        </w:r>
      </w:hyperlink>
      <w:r>
        <w:t xml:space="preserve">.</w:t>
      </w:r>
    </w:p>
    <w:bookmarkEnd w:id="147"/>
    <w:bookmarkStart w:id="149"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8">
        <w:r>
          <w:rPr>
            <w:rStyle w:val="Hyperlink"/>
          </w:rPr>
          <w:t xml:space="preserve">https://doi.org/10.3758/s13428-014-0532-5</w:t>
        </w:r>
      </w:hyperlink>
      <w:r>
        <w:t xml:space="preserve">.</w:t>
      </w:r>
    </w:p>
    <w:bookmarkEnd w:id="149"/>
    <w:bookmarkStart w:id="150"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50"/>
    <w:bookmarkStart w:id="152"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1">
        <w:r>
          <w:rPr>
            <w:rStyle w:val="Hyperlink"/>
          </w:rPr>
          <w:t xml:space="preserve">https://doi.org/10.1016/j.wocn.2011.10.002</w:t>
        </w:r>
      </w:hyperlink>
      <w:r>
        <w:t xml:space="preserve">.</w:t>
      </w:r>
    </w:p>
    <w:bookmarkEnd w:id="152"/>
    <w:bookmarkStart w:id="153"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3"/>
    <w:bookmarkStart w:id="154"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4"/>
    <w:bookmarkStart w:id="155"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5"/>
    <w:bookmarkStart w:id="156"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6"/>
    <w:bookmarkStart w:id="157"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7"/>
    <w:bookmarkStart w:id="158"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8"/>
    <w:bookmarkStart w:id="159"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9"/>
    <w:bookmarkStart w:id="160"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60"/>
    <w:bookmarkStart w:id="161"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1"/>
    <w:bookmarkStart w:id="162"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2"/>
    <w:bookmarkStart w:id="163"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3"/>
    <w:bookmarkStart w:id="164"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4"/>
    <w:bookmarkStart w:id="165"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5"/>
    <w:bookmarkStart w:id="166"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6"/>
    <w:bookmarkStart w:id="167" w:name="ref-peirce1955"/>
    <w:p>
      <w:pPr>
        <w:pStyle w:val="Bibliography"/>
      </w:pPr>
      <w:r>
        <w:t xml:space="preserve">Peirce, Charles Sanders. 1955.</w:t>
      </w:r>
      <w:r>
        <w:t xml:space="preserve"> </w:t>
      </w:r>
      <w:r>
        <w:rPr>
          <w:i/>
          <w:iCs/>
        </w:rPr>
        <w:t xml:space="preserve">Philosophical Writings of Peirce</w:t>
      </w:r>
      <w:r>
        <w:t xml:space="preserve">. Dover Publications.</w:t>
      </w:r>
    </w:p>
    <w:bookmarkEnd w:id="167"/>
    <w:bookmarkStart w:id="168"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8"/>
    <w:bookmarkStart w:id="169"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9"/>
    <w:bookmarkStart w:id="170"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70"/>
    <w:bookmarkStart w:id="171"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71"/>
    <w:bookmarkStart w:id="172"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2"/>
    <w:bookmarkStart w:id="173"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3"/>
    <w:bookmarkStart w:id="174"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4"/>
    <w:bookmarkStart w:id="176"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5">
        <w:r>
          <w:rPr>
            <w:rStyle w:val="Hyperlink"/>
          </w:rPr>
          <w:t xml:space="preserve">https://doi.org/10.1093/oxfordhb/9780199600472.001.0001</w:t>
        </w:r>
      </w:hyperlink>
      <w:r>
        <w:t xml:space="preserve">.</w:t>
      </w:r>
    </w:p>
    <w:bookmarkEnd w:id="176"/>
    <w:bookmarkStart w:id="177"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7"/>
    <w:bookmarkStart w:id="178"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8"/>
    <w:bookmarkStart w:id="179"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9"/>
    <w:bookmarkStart w:id="180"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80"/>
    <w:bookmarkStart w:id="181"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81"/>
    <w:bookmarkStart w:id="183"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2">
        <w:r>
          <w:rPr>
            <w:rStyle w:val="Hyperlink"/>
          </w:rPr>
          <w:t xml:space="preserve">https://doi.org/10.3758/BF03197491</w:t>
        </w:r>
      </w:hyperlink>
      <w:r>
        <w:t xml:space="preserve">.</w:t>
      </w:r>
    </w:p>
    <w:bookmarkEnd w:id="183"/>
    <w:bookmarkStart w:id="184"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4"/>
    <w:bookmarkStart w:id="185"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5"/>
    <w:bookmarkStart w:id="186"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6"/>
    <w:bookmarkStart w:id="187"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7"/>
    <w:bookmarkStart w:id="188"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8"/>
    <w:bookmarkStart w:id="189"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89"/>
    <w:bookmarkStart w:id="190"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90"/>
    <w:bookmarkStart w:id="191"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91"/>
    <w:bookmarkStart w:id="192"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2"/>
    <w:bookmarkStart w:id="193"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3"/>
    <w:bookmarkStart w:id="194"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4"/>
    <w:bookmarkStart w:id="195"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5"/>
    <w:bookmarkStart w:id="196"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6"/>
    <w:bookmarkStart w:id="197"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7"/>
    <w:bookmarkEnd w:id="198"/>
    <w:bookmarkEnd w:id="199"/>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9">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intrinsic way that suggests veridicality.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33" Target="media/rId33.jpg" /><Relationship Type="http://schemas.openxmlformats.org/officeDocument/2006/relationships/image" Id="rId27" Target="media/rId27.png" /><Relationship Type="http://schemas.openxmlformats.org/officeDocument/2006/relationships/hyperlink" Id="rId74" Target="http://CRAN.R-project.org/package=lme4" TargetMode="External" /><Relationship Type="http://schemas.openxmlformats.org/officeDocument/2006/relationships/hyperlink" Id="rId121" Target="http://dx.doi.org/10.3758/BF03207536" TargetMode="External" /><Relationship Type="http://schemas.openxmlformats.org/officeDocument/2006/relationships/hyperlink" Id="rId132" Target="http://www.jstor.org/stable/522229" TargetMode="External" /><Relationship Type="http://schemas.openxmlformats.org/officeDocument/2006/relationships/hyperlink" Id="rId97" Target="https://doi.org/10.1002/wcs.1543" TargetMode="External" /><Relationship Type="http://schemas.openxmlformats.org/officeDocument/2006/relationships/hyperlink" Id="rId151" Target="https://doi.org/10.1016/j.wocn.2011.10.002" TargetMode="External" /><Relationship Type="http://schemas.openxmlformats.org/officeDocument/2006/relationships/hyperlink" Id="rId101" Target="https://doi.org/10.1016/s0010-0277(00)00123-2" TargetMode="External" /><Relationship Type="http://schemas.openxmlformats.org/officeDocument/2006/relationships/hyperlink" Id="rId93" Target="https://doi.org/10.1037/xlm0000137" TargetMode="External" /><Relationship Type="http://schemas.openxmlformats.org/officeDocument/2006/relationships/hyperlink" Id="rId175" Target="https://doi.org/10.1093/oxfordhb/9780199600472.001.0001" TargetMode="External" /><Relationship Type="http://schemas.openxmlformats.org/officeDocument/2006/relationships/hyperlink" Id="rId78" Target="https://doi.org/10.1121/1.5101933" TargetMode="External" /><Relationship Type="http://schemas.openxmlformats.org/officeDocument/2006/relationships/hyperlink" Id="rId143" Target="https://doi.org/10.1177/0075424214531487" TargetMode="External" /><Relationship Type="http://schemas.openxmlformats.org/officeDocument/2006/relationships/hyperlink" Id="rId139" Target="https://doi.org/10.1371/journal.pone.0130834" TargetMode="External" /><Relationship Type="http://schemas.openxmlformats.org/officeDocument/2006/relationships/hyperlink" Id="rId141" Target="https://doi.org/10.3109/13682826809011440" TargetMode="External" /><Relationship Type="http://schemas.openxmlformats.org/officeDocument/2006/relationships/hyperlink" Id="rId119" Target="https://doi.org/10.3389/fpsyg.2015.00500" TargetMode="External" /><Relationship Type="http://schemas.openxmlformats.org/officeDocument/2006/relationships/hyperlink" Id="rId182"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89" Target="https://doi.org/10.4324/9781315514857-5" TargetMode="External" /><Relationship Type="http://schemas.openxmlformats.org/officeDocument/2006/relationships/hyperlink" Id="rId146"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4" Target="http://CRAN.R-project.org/package=lme4" TargetMode="External" /><Relationship Type="http://schemas.openxmlformats.org/officeDocument/2006/relationships/hyperlink" Id="rId121" Target="http://dx.doi.org/10.3758/BF03207536" TargetMode="External" /><Relationship Type="http://schemas.openxmlformats.org/officeDocument/2006/relationships/hyperlink" Id="rId132" Target="http://www.jstor.org/stable/522229" TargetMode="External" /><Relationship Type="http://schemas.openxmlformats.org/officeDocument/2006/relationships/hyperlink" Id="rId97" Target="https://doi.org/10.1002/wcs.1543" TargetMode="External" /><Relationship Type="http://schemas.openxmlformats.org/officeDocument/2006/relationships/hyperlink" Id="rId151" Target="https://doi.org/10.1016/j.wocn.2011.10.002" TargetMode="External" /><Relationship Type="http://schemas.openxmlformats.org/officeDocument/2006/relationships/hyperlink" Id="rId101" Target="https://doi.org/10.1016/s0010-0277(00)00123-2" TargetMode="External" /><Relationship Type="http://schemas.openxmlformats.org/officeDocument/2006/relationships/hyperlink" Id="rId93" Target="https://doi.org/10.1037/xlm0000137" TargetMode="External" /><Relationship Type="http://schemas.openxmlformats.org/officeDocument/2006/relationships/hyperlink" Id="rId175" Target="https://doi.org/10.1093/oxfordhb/9780199600472.001.0001" TargetMode="External" /><Relationship Type="http://schemas.openxmlformats.org/officeDocument/2006/relationships/hyperlink" Id="rId78" Target="https://doi.org/10.1121/1.5101933" TargetMode="External" /><Relationship Type="http://schemas.openxmlformats.org/officeDocument/2006/relationships/hyperlink" Id="rId143" Target="https://doi.org/10.1177/0075424214531487" TargetMode="External" /><Relationship Type="http://schemas.openxmlformats.org/officeDocument/2006/relationships/hyperlink" Id="rId139" Target="https://doi.org/10.1371/journal.pone.0130834" TargetMode="External" /><Relationship Type="http://schemas.openxmlformats.org/officeDocument/2006/relationships/hyperlink" Id="rId141" Target="https://doi.org/10.3109/13682826809011440" TargetMode="External" /><Relationship Type="http://schemas.openxmlformats.org/officeDocument/2006/relationships/hyperlink" Id="rId119" Target="https://doi.org/10.3389/fpsyg.2015.00500" TargetMode="External" /><Relationship Type="http://schemas.openxmlformats.org/officeDocument/2006/relationships/hyperlink" Id="rId182"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89" Target="https://doi.org/10.4324/9781315514857-5" TargetMode="External" /><Relationship Type="http://schemas.openxmlformats.org/officeDocument/2006/relationships/hyperlink" Id="rId146"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2024-12-10T02:20:17Z</dcterms:created>
  <dcterms:modified xsi:type="dcterms:W3CDTF">2024-12-10T02:20:17Z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2024-12-10</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