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0.png" ContentType="image/png"/>
  <Override PartName="/word/media/rId60.png" ContentType="image/png"/>
  <Override PartName="/word/media/rId55.png" ContentType="image/png"/>
  <Override PartName="/word/media/rId33.jpg" ContentType="image/jpe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2024-12-12</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5"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social meaning is performed through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w:t>
      </w:r>
      <w:r>
        <w:t xml:space="preserve"> </w:t>
      </w:r>
      <w:r>
        <w:t xml:space="preserve">(Calder 2018; Mack and Munson 2012a; Pharao et al. 2014; Strand 1999)</w:t>
      </w:r>
      <w:r>
        <w:t xml:space="preserve">. To investigate the role of awareness in sociophonetic perception, this paper reports an audiovisual matched guise experiment, modeled on</w:t>
      </w:r>
      <w:r>
        <w:t xml:space="preserve"> </w:t>
      </w:r>
      <w:r>
        <w:t xml:space="preserve">Strand and Johnson (1996)</w:t>
      </w:r>
      <w:r>
        <w:t xml:space="preserve"> </w:t>
      </w:r>
      <w:r>
        <w:t xml:space="preserve">and subsequent work, but with a novel</w:t>
      </w:r>
      <w:r>
        <w:t xml:space="preserve"> </w:t>
      </w:r>
      <w:r>
        <w:t xml:space="preserve">‘unhidden’</w:t>
      </w:r>
      <w:r>
        <w:t xml:space="preserve"> </w:t>
      </w:r>
      <w:r>
        <w:t xml:space="preserve">condition in which listeners are informed about the nature of the guise manipulations. In doing so, we seek to explore the relationship between beliefs about talker gender and fricative categories and the ways in which social and linguistic knowledge are integrated in perception.</w:t>
      </w:r>
    </w:p>
    <w:p>
      <w:pPr>
        <w:pStyle w:val="BodyText"/>
      </w:pPr>
      <w:r>
        <w:t xml:space="preserve">There is, however, little consensus around the extent to which language users are aware of, and can control, these fine gradations of social meaning in production and perception. There are actually conflicting meanings of the word</w:t>
      </w:r>
      <w:r>
        <w:t xml:space="preserve"> </w:t>
      </w:r>
      <w:r>
        <w:rPr>
          <w:i/>
          <w:iCs/>
        </w:rPr>
        <w:t xml:space="preserve">perception</w:t>
      </w:r>
      <w:r>
        <w:t xml:space="preserve"> </w:t>
      </w:r>
      <w:r>
        <w:t xml:space="preserve">used interchangeably in the various relevant literatures. This lack of consensus leads to results that are difficult to interpret across disciplinary and even sub-disciplinary boundaries and limits our ability to benefit from one another’s work; even creating an apparent paradox in which sociophonetic perception appears to be at once sensitive to fine phonetic detail and able to erase details that are inconsistent with our social expectations</w:t>
      </w:r>
      <w:r>
        <w:t xml:space="preserve"> </w:t>
      </w:r>
      <w:r>
        <w:t xml:space="preserve">(Babel this issue)</w:t>
      </w:r>
      <w:r>
        <w:t xml:space="preserve">. It is our hope that one key contribution of this paper will be to build on the general framing provided by (Babel, Campbell-Kibler, and McGowan, this issue) and to bridge between researchers working in segmental speech perception and researchers working primarily in sociolinguistics, linguistic anthropology, and social psychology.</w:t>
      </w:r>
    </w:p>
    <w:bookmarkStart w:id="21" w:name="sec-background"/>
    <w:p>
      <w:pPr>
        <w:pStyle w:val="Heading2"/>
      </w:pPr>
      <w:r>
        <w:t xml:space="preserve">Awareness &amp; Control in Speech Production and Perception</w:t>
      </w:r>
    </w:p>
    <w:p>
      <w:pPr>
        <w:pStyle w:val="FirstParagraph"/>
      </w:pPr>
      <w:r>
        <w:t xml:space="preserve">In this paper, we use</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requirement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w:t>
      </w:r>
      <w:r>
        <w:t xml:space="preserve"> </w:t>
      </w:r>
      <w:r>
        <w:t xml:space="preserve">(Laver 1968)</w:t>
      </w:r>
      <w:r>
        <w:t xml:space="preserv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pitch as the primary, biological phonetic detail associated with gender performance</w:t>
      </w:r>
      <w:r>
        <w:t xml:space="preserve"> </w:t>
      </w:r>
      <w:r>
        <w:t xml:space="preserve">(Foulkes and Docherty 2006, 411)</w:t>
      </w:r>
      <w:r>
        <w:t xml:space="preserve">; but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Central to this, though, is the stipulation that the ability to</w:t>
      </w:r>
      <w:r>
        <w:t xml:space="preserve"> </w:t>
      </w:r>
      <w:r>
        <w:t xml:space="preserve">‘perform’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listener as it is for the speaker</w:t>
      </w:r>
      <w:r>
        <w:t xml:space="preserve"> </w:t>
      </w:r>
      <w:r>
        <w:t xml:space="preserve">(Babel this issue; D’Onofrio 2021; Preston 1996, 2016)</w:t>
      </w:r>
      <w:r>
        <w:t xml:space="preserve">. Social meaning making occurs in interaction</w:t>
      </w:r>
      <w:r>
        <w:t xml:space="preserve"> </w:t>
      </w:r>
      <w:r>
        <w:t xml:space="preserve">(Sharma this issue)</w:t>
      </w:r>
      <w:r>
        <w:t xml:space="preserve">; a listener must be able to control, that is to link, the auditory cues of a performed gender identity to the cognitive representation of that identity just as much as a speaker must be capable of the gestural control required to implement the phonetics of that identity. Crucially,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performance &amp; perception is a phenomenon that crosses disciplinary and subdisciplinary boundaries and approaches to language and social meaning. These varying disciplinary and subdisciplinary contexts employ quite different, sometimes contradictory, assumptions and theoretical commitments about the extent to which language users can bring aspects of perception into introspective awareness and control (conscious or otherwise). Exemplifying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Speech perception is often construed within phonetics and psycholinguistics as the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inaccessible to introspection even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speech perception in common use describes a higher-level, sometimes implicit, sometimes explicit, evaluative judgement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End w:id="21"/>
    <w:bookmarkStart w:id="22" w:name="sec-mgt"/>
    <w:p>
      <w:pPr>
        <w:pStyle w:val="Heading2"/>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judgements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levels of perception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commentary in a subsequent interview about the voices in that task sometimes agreed, but typically diverged. When they diverged, segmental perception tracked vowel categories established by the listeners’ previous experience with the voice, while evaluations of the talker much more closely tracked language ideologies regarding the social labels provided by the experiment. Indeed, several participants explicitly commented on the differences between the fricatives used by the two guises; speech sounds that had been held identical in the stimuli</w:t>
      </w:r>
      <w:r>
        <w:t xml:space="preserve"> </w:t>
      </w:r>
      <w:r>
        <w:t xml:space="preserve">(Babel this issue)</w:t>
      </w:r>
      <w:r>
        <w:t xml:space="preserve">. McGowan and Babel attempt to demonstrate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about each guise, leaves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be sensitive to inauthentic details in the performance and thus not</w:t>
      </w:r>
      <w:r>
        <w:t xml:space="preserve"> </w:t>
      </w:r>
      <w:r>
        <w:rPr>
          <w:i/>
          <w:iCs/>
        </w:rPr>
        <w:t xml:space="preserve">believe</w:t>
      </w:r>
      <w:r>
        <w:t xml:space="preserve"> </w:t>
      </w:r>
      <w:r>
        <w:t xml:space="preserve">the mimicked accents.</w:t>
      </w:r>
    </w:p>
    <w:p>
      <w:pPr>
        <w:pStyle w:val="BodyText"/>
      </w:pPr>
      <w:r>
        <w:t xml:space="preserve">Listeners in this task provided both subjective evaluations of personal characteristics of each talker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social meanings, stereotypes, and the socioindexical properties that voice is likely to embody. And rather than the outcome of perception (broadly construed) being a simple lexical item, a set of speech segments, a single attitude, or a summary evaluative judgement, the listener’s subjective experience appears to be a rich, potentially contradictory, superposition of all of these perceptual outcomes.</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w:t>
      </w:r>
    </w:p>
    <w:p>
      <w:pPr>
        <w:pStyle w:val="BodyText"/>
      </w:pPr>
      <w:r>
        <w:t xml:space="preserve">In sociophonetic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Considering these multiple, potentially contradictory, levels of perception separately may help us unravel the apparent paradox noted above. Studies using late, evaluative, measures likely do not provide insight on segmental perception because behavior obtained late in processing potentially involves layers of awareness and control that block access to the initial online percept for listeners and researchers alike</w:t>
      </w:r>
      <w:r>
        <w:t xml:space="preserve"> </w:t>
      </w:r>
      <w:r>
        <w:t xml:space="preserve">(Campbell-Kibler 2012; McGowan and Babel 2020)</w:t>
      </w:r>
      <w:r>
        <w:t xml:space="preserve">. By the same token, studies using segmental or lexical measures likely do not provide clear insight into participants’ subjective experience of the social qualities of a voice. To understand how these levels of perception may interact and how awareness of the guise manipulation may influence behavior, the present study uses the inverted MGT to test listeners’ segmental perceptions of an [ʃ]-[s] fricative continuum under both different guise and awareness conditions.</w:t>
      </w:r>
    </w:p>
    <w:bookmarkEnd w:id="22"/>
    <w:bookmarkStart w:id="23" w:name="sec-fricative-gender"/>
    <w:p>
      <w:pPr>
        <w:pStyle w:val="Heading2"/>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(cf. 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resonance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and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May (1976)</w:t>
      </w:r>
      <w:r>
        <w:t xml:space="preserve"> </w:t>
      </w:r>
      <w:r>
        <w:t xml:space="preserve">paired a synthetic fricative continuum from [ʃ] (centered at 2.9 kHz) to [s] (centered at 4.4 kHz) with [æ] vowels from large and small vocal tracts to form simple CV syllables and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so [ʃ] from a small vocal tract will overlap acoustically with [s] from a larger one.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r>
        <w:t xml:space="preserve"> </w:t>
      </w:r>
      <w:r>
        <w:t xml:space="preserve">rather than</w:t>
      </w:r>
      <w:r>
        <w:t xml:space="preserve"> </w:t>
      </w:r>
      <w:r>
        <w:t xml:space="preserve">“what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paired with a non-prototypical talker can shift perception of the [ʃ]-[s] continuum such that listeners report hearing a higher proportion of the continuum as [ʃ] when watching a female talker and a higher proportion of the same continuum as [s] when watching a male talker.</w:t>
      </w:r>
    </w:p>
    <w:bookmarkEnd w:id="23"/>
    <w:bookmarkStart w:id="24" w:name="sec-gender"/>
    <w:p>
      <w:pPr>
        <w:pStyle w:val="Heading2"/>
      </w:pPr>
      <w:r>
        <w:t xml:space="preserve">Phonetics, Speech Perception, and the Social-Construction of Gender</w:t>
      </w:r>
    </w:p>
    <w:p>
      <w:pPr>
        <w:pStyle w:val="FirstParagraph"/>
      </w:pPr>
      <w:r>
        <w:t xml:space="preserve">Phonetics has traditionally treated gender as a simple, automatic projection from biological sex onto social identity</w:t>
      </w:r>
      <w:r>
        <w:t xml:space="preserve"> </w:t>
      </w:r>
      <w:r>
        <w:t xml:space="preserve">(Daniel et al. 2007; Samoliński, Grzanka, and Gotlib 2007; Sawusch 2005)</w:t>
      </w:r>
      <w:r>
        <w:t xml:space="preserve"> </w:t>
      </w:r>
      <w:r>
        <w:t xml:space="preserve">that listeners need to normalize away</w:t>
      </w:r>
      <w:r>
        <w:t xml:space="preserve"> </w:t>
      </w:r>
      <w:r>
        <w:t xml:space="preserve">(Johnson 2005)</w:t>
      </w:r>
      <w:r>
        <w:t xml:space="preserve"> </w:t>
      </w:r>
      <w:r>
        <w:t xml:space="preserve">to facilitate linguistic perception. Even within sociolinguistics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variation within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 Barrett and Hall 2024)</w:t>
      </w:r>
      <w:r>
        <w:t xml:space="preserve">. The creation and use of stimuli that are rated as highly gender-prototypical by a large group of listeners maximizes the probability that a perception experiment will find an interpretable result.</w:t>
      </w:r>
    </w:p>
    <w:p>
      <w:pPr>
        <w:pStyle w:val="BodyText"/>
      </w:pPr>
      <w:r>
        <w:t xml:space="preserve">However, it can not be overemphasized that a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articulatory gesture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w:t>
      </w:r>
    </w:p>
    <w:p>
      <w:pPr>
        <w:pStyle w:val="BodyText"/>
      </w:pPr>
      <w:r>
        <w:t xml:space="preserve">Vowels, in both linguistic and social aspects, are the acoustic consequence of gestural control.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Pre-pubescent children perform adult-like vowel formant patterns because they are socialized to use the cultural and linguistic resources available to communicate their assigned gender to others just as adults do. Humans are meaning-making agents, not deterministically resonating meat tubes.</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rigorous review of the sociolinguistics, linguistic anthropology, and phonetics literatures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condition were briefed in the instructions about the guise manipulation. They were instructed that the man or woman in the photo was not associated with the voice they would hear.</w:t>
      </w:r>
      <w:r>
        <w:t xml:space="preserve"> </w:t>
      </w:r>
      <w:r>
        <w:t xml:space="preserve">Campbell-Kibler (2021)</w:t>
      </w:r>
      <w:r>
        <w:t xml:space="preserve">, using a similar manipulation, finds that listeners have some ability to disregard social information when making accentedness or attractiveness judgements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 either with, or without, explicit instructions to disregard the visual stimulus.</w:t>
      </w:r>
    </w:p>
    <w:bookmarkEnd w:id="24"/>
    <w:bookmarkEnd w:id="25"/>
    <w:bookmarkStart w:id="41" w:name="sec-method"/>
    <w:p>
      <w:pPr>
        <w:pStyle w:val="Heading1"/>
      </w:pPr>
      <w:r>
        <w:t xml:space="preserve">Method</w:t>
      </w:r>
    </w:p>
    <w:bookmarkStart w:id="26"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provided language history and demographic data as part of Prolific’s general pre-screening questionnaire. Participation was restricted to a standard sample of desktop computer users located in the USA, who spent their childhoods in the US, spoke English as their first and primary language, and having no known language or hearing difficulties. Additionally, due to an audio playback restriction imposed by Apple Computer, the Safari browser could not be used. Participants were urged only to accept the task if they could do so in a quiet, distraction-free space, and wearing headphones for the 6 to 10 minute duration of the experiment (average time: 6:51). Headphone usage was not verified within the instrument.</w:t>
      </w:r>
    </w:p>
    <w:p>
      <w:pPr>
        <w:pStyle w:val="BodyText"/>
      </w:pPr>
      <w:r>
        <w:t xml:space="preserve">Participants were paid $3 for their time, prorated from a projected rate of $20/hour (actual rate: $26.29/hour). This same instrument was piloted in the Speech Perception lab of The Ohio State University. While reaction times online were generally slower than in-person, results from the online administration were generally consistent with pilot results collected under laboratory conditions. Four participants were excluded for low accuracy rates (below 85%).</w:t>
      </w:r>
    </w:p>
    <w:bookmarkEnd w:id="26"/>
    <w:bookmarkStart w:id="32" w:name="sec-stimuli"/>
    <w:p>
      <w:pPr>
        <w:pStyle w:val="Heading2"/>
      </w:pPr>
      <w:r>
        <w:t xml:space="preserve">Stimulus Materials</w:t>
      </w:r>
    </w:p>
    <w:bookmarkStart w:id="31"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generously shared with us, contain two parts, both of which are drawn from synthetic continua: a fricative onset and a VC rime. The fricative onsets comprise a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by</w:t>
      </w:r>
      <w:r>
        <w:t xml:space="preserve"> </w:t>
      </w:r>
      <w:r>
        <w:t xml:space="preserve">Strand and Johnson (1996)</w:t>
      </w:r>
      <w:r>
        <w:t xml:space="preserve">). Centers of Gravity ranged from a low of 3.2 kHz (/ʃ/-like) to a high of 7 kHz (/s/-like). This continuum is essential to the design as it allowed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unmodified values in a feminizing direction. Conversely, the female talker’s /æk/ continuum decreased both parameters from unmodified productions to create a continuum in a masculinizing direction. These continua allow us to combine the designs of Strand &amp; Johnson’s experiment 1 and experiment 2 in a single task. Listeners were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an auditory stimulus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program, some of the elements of such identities are likely available to conscious reflection, but many indexical features (e.g. VOT duration, F2:F3 formant ratio, etc.) are likely implicit and unavailable for conscious control.</w:t>
      </w:r>
    </w:p>
    <w:tbl>
      <w:tblPr>
        <w:tblStyle w:val="Table"/>
        <w:tblW w:type="pct" w:w="5000"/>
        <w:tblLayout w:type="fixed"/>
        <w:tblLook w:firstRow="0" w:lastRow="0" w:firstColumn="0" w:lastColumn="0" w:noHBand="0" w:noVBand="0" w:val="0000"/>
      </w:tblPr>
      <w:tblGrid>
        <w:gridCol w:w="7920"/>
      </w:tblGrid>
      <w:tr>
        <w:tc>
          <w:tcPr/>
          <w:bookmarkStart w:id="30" w:name="fig-stimuli"/>
          <w:p>
            <w:pPr>
              <w:pStyle w:val="Compact"/>
              <w:jc w:val="center"/>
            </w:pPr>
            <w:r>
              <w:drawing>
                <wp:inline>
                  <wp:extent cx="4754880" cy="3511736"/>
                  <wp:effectExtent b="0" l="0" r="0" t="0"/>
                  <wp:docPr descr="" title="" id="28" name="Picture"/>
                  <a:graphic>
                    <a:graphicData uri="http://schemas.openxmlformats.org/drawingml/2006/picture">
                      <pic:pic>
                        <pic:nvPicPr>
                          <pic:cNvPr descr="images/figure1.png" id="29" name="Picture"/>
                          <pic:cNvPicPr>
                            <a:picLocks noChangeArrowheads="1" noChangeAspect="1"/>
                          </pic:cNvPicPr>
                        </pic:nvPicPr>
                        <pic:blipFill>
                          <a:blip r:embed="rId27"/>
                          <a:stretch>
                            <a:fillRect/>
                          </a:stretch>
                        </pic:blipFill>
                        <pic:spPr bwMode="auto">
                          <a:xfrm>
                            <a:off x="0" y="0"/>
                            <a:ext cx="4754880" cy="3511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six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 across five coda steps.</w:t>
            </w:r>
          </w:p>
          <w:bookmarkEnd w:id="30"/>
        </w:tc>
      </w:tr>
    </w:tbl>
    <w:bookmarkEnd w:id="31"/>
    <w:bookmarkEnd w:id="32"/>
    <w:bookmarkStart w:id="38" w:name="sec-stim-evals"/>
    <w:p>
      <w:pPr>
        <w:pStyle w:val="Heading2"/>
      </w:pPr>
      <w:r>
        <w:t xml:space="preserve">Explicit Evaluations of Auditory Stimuli</w:t>
      </w:r>
    </w:p>
    <w:p>
      <w:pPr>
        <w:pStyle w:val="FirstParagraph"/>
      </w:pPr>
      <w:r>
        <w:t xml:space="preserve">To better understand how the auditory stimuli might influence participants’ perceptions of the two talkers, we elicited social ratings for each voice. 40 undergraduate students at the Ohio State University (25 female, 15 male, ages 18-26) who participated in an in-person pilot version of the experiment were asked to make judgements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selected from a fixed set of responses; no free form responses were elicited.</w:t>
      </w:r>
    </w:p>
    <w:p>
      <w:pPr>
        <w:pStyle w:val="BodyText"/>
      </w:pPr>
      <w:r>
        <w:t xml:space="preserve">Participants’ judgements of the female voice indicate general agreement about this speaker’s gender identity. Most participants (93%) indicated the speaker’s gender to be female (2 participants specified</w:t>
      </w:r>
      <w:r>
        <w:t xml:space="preserve"> </w:t>
      </w:r>
      <w:r>
        <w:t xml:space="preserve">‘trans-female’</w:t>
      </w:r>
      <w:r>
        <w:t xml:space="preserve">), and 3 were unsure or otherwise unable to determine.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specified</w:t>
      </w:r>
      <w:r>
        <w:t xml:space="preserve"> </w:t>
      </w:r>
      <w:r>
        <w:t xml:space="preserve">‘trans female’</w:t>
      </w:r>
      <w:r>
        <w:t xml:space="preserve">. Judgements of the voice’s sexuality were more variable, with 54% indicating they were unsure, 40% indicating most likely heterosexual, and 1 participant each indicating most likely bisexual or another sexuality.</w:t>
      </w:r>
    </w:p>
    <w:p>
      <w:pPr>
        <w:pStyle w:val="BodyText"/>
      </w:pPr>
      <w:r>
        <w:t xml:space="preserve">Participants’ judgements of the male voice suggest similar agreement. 80% of participants indicated the speaker’s gender to be</w:t>
      </w:r>
      <w:r>
        <w:t xml:space="preserve"> </w:t>
      </w:r>
      <w:r>
        <w:t xml:space="preserve">male (1 specified</w:t>
      </w:r>
      <w:r>
        <w:t xml:space="preserve"> </w:t>
      </w:r>
      <w:r>
        <w:t xml:space="preserve">‘trans-male’</w:t>
      </w:r>
      <w:r>
        <w:t xml:space="preserve">), and 20% were unsure.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judgements of the voice’s sexuality were more variable. 65% indicated they were unsure, 14% indicated most likely heterosexual, and 16% indicated homosexual, and, again, 1 each indicating most likely bisexual or another sexuality not listed. Importantly,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7"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w:t>
      </w:r>
    </w:p>
    <w:p>
      <w:pPr>
        <w:pStyle w:val="BodyText"/>
      </w:pPr>
      <w:r>
        <w:t xml:space="preserve">Additionally, two greyscale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6" w:name="fig-visual"/>
          <w:p>
            <w:pPr>
              <w:pStyle w:val="Compact"/>
              <w:jc w:val="center"/>
            </w:pPr>
            <w:r>
              <w:drawing>
                <wp:inline>
                  <wp:extent cx="4754880" cy="4754880"/>
                  <wp:effectExtent b="0" l="0" r="0" t="0"/>
                  <wp:docPr descr="" title="" id="34" name="Picture"/>
                  <a:graphic>
                    <a:graphicData uri="http://schemas.openxmlformats.org/drawingml/2006/picture">
                      <pic:pic>
                        <pic:nvPicPr>
                          <pic:cNvPr descr="images/facesanddrawings.jpg" id="35" name="Picture"/>
                          <pic:cNvPicPr>
                            <a:picLocks noChangeArrowheads="1" noChangeAspect="1"/>
                          </pic:cNvPicPr>
                        </pic:nvPicPr>
                        <pic:blipFill>
                          <a:blip r:embed="rId33"/>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6"/>
        </w:tc>
      </w:tr>
    </w:tbl>
    <w:bookmarkEnd w:id="37"/>
    <w:bookmarkEnd w:id="38"/>
    <w:bookmarkStart w:id="40"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This experiment was hosted on a</w:t>
      </w:r>
      <w:r>
        <w:t xml:space="preserve"> </w:t>
      </w:r>
      <w:r>
        <w:t xml:space="preserve">JATOS</w:t>
      </w:r>
      <w:r>
        <w:t xml:space="preserve"> </w:t>
      </w:r>
      <w:r>
        <w:t xml:space="preserve">(Lange, Kuhn, and Filevich 2015)</w:t>
      </w:r>
      <w:r>
        <w:t xml:space="preserve"> </w:t>
      </w:r>
      <w:r>
        <w:t xml:space="preserve">instance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Participants were randomly assigned to one of two between-subjects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but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for experimental use, and that the auditory and visual stimuli were in no way related to each other. Participants were divided equally among these two conditions. Neither awareness condition was informed about the synthetic nature of the auditory stimuli.</w:t>
      </w:r>
    </w:p>
    <w:p>
      <w:pPr>
        <w:pStyle w:val="BodyText"/>
      </w:pPr>
      <w:r>
        <w:t xml:space="preserve">Participants were also assigned to one of two gender congruity</w:t>
      </w:r>
      <w:r>
        <w:t xml:space="preserve"> </w:t>
      </w:r>
      <w:r>
        <w:t xml:space="preserve">conditions. Although the manipulated rimes sounded gender ambiguous to</w:t>
      </w:r>
      <w:r>
        <w:t xml:space="preserve"> </w:t>
      </w:r>
      <w:r>
        <w:t xml:space="preserve">us and had been rated as ambiguous by pilot participants in</w:t>
      </w:r>
      <w:r>
        <w:t xml:space="preserve"> </w:t>
      </w:r>
      <w:r>
        <w:t xml:space="preserve">Bouavichith et al. (2019)</w:t>
      </w:r>
      <w:r>
        <w:t xml:space="preserve">,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9"/>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40"/>
    <w:bookmarkEnd w:id="41"/>
    <w:bookmarkStart w:id="45" w:name="sec-predictions"/>
    <w:p>
      <w:pPr>
        <w:pStyle w:val="Heading1"/>
      </w:pPr>
      <w:r>
        <w:t xml:space="preserve">Predicted Results</w:t>
      </w:r>
    </w:p>
    <w:bookmarkStart w:id="42" w:name="sec-pred-face"/>
    <w:p>
      <w:pPr>
        <w:pStyle w:val="Heading2"/>
      </w:pPr>
      <w:r>
        <w:t xml:space="preserve">Face: male or female</w:t>
      </w:r>
    </w:p>
    <w:p>
      <w:pPr>
        <w:pStyle w:val="FirstParagraph"/>
      </w:pPr>
      <w:r>
        <w:t xml:space="preserve">Consistent with previous results, when face and voice provide congruent social information, we anticipate that more of the [ʃ]-[s] continuum will be heard as [ʃ] when participants are shown the female face and more to be heard as [s] when participants are shown the male face.</w:t>
      </w:r>
    </w:p>
    <w:bookmarkEnd w:id="42"/>
    <w:bookmarkStart w:id="43" w:name="sec-pred-congruence"/>
    <w:p>
      <w:pPr>
        <w:pStyle w:val="Heading2"/>
      </w:pPr>
      <w:r>
        <w:t xml:space="preserve">Congruence: pairing of face and voice</w:t>
      </w:r>
    </w:p>
    <w:p>
      <w:pPr>
        <w:pStyle w:val="FirstParagraph"/>
      </w:pPr>
      <w:r>
        <w:t xml:space="preserve">However, when face and voice provide incongruent social information, we do not expect to replicate this shift in fricative category boundary. To our knowledge, the influence of incongruence has not been directly investigated for listeners’ joint perception of gender and fricative place.</w:t>
      </w:r>
      <w:r>
        <w:t xml:space="preserve"> </w:t>
      </w:r>
      <w:r>
        <w:t xml:space="preserve">Johnson, Strand, and D’Imperio (1999)</w:t>
      </w:r>
      <w:r>
        <w:t xml:space="preserve"> </w:t>
      </w:r>
      <w:r>
        <w:t xml:space="preserve">tests AV integration of Male and Female faces with prototypical and non-prototypical gendered voices in a vowel quality perception task. They find what may be an incongruence effect with the prototypical male voice; listeners reported no difference in perceived vowel quality with this voice in either Face condition</w:t>
      </w:r>
      <w:r>
        <w:t xml:space="preserve"> </w:t>
      </w:r>
      <w:r>
        <w:t xml:space="preserve">(Johnson, Strand, and D’Imperio 1999, 376)</w:t>
      </w:r>
      <w:r>
        <w:t xml:space="preserve">. We expect incongruity to influence perception for both voices, but the effect may be stronger with a prototypically male voice</w:t>
      </w:r>
      <w:r>
        <w:t xml:space="preserve"> </w:t>
      </w:r>
      <w:r>
        <w:t xml:space="preserve">(King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and</w:t>
      </w:r>
      <w:r>
        <w:t xml:space="preserve"> </w:t>
      </w:r>
      <w:r>
        <w:t xml:space="preserve">McGowan (2011)</w:t>
      </w:r>
      <w:r>
        <w:t xml:space="preserve"> </w:t>
      </w:r>
      <w:r>
        <w:t xml:space="preserve">reports inconsistent reaction times for incongruous trials across different tasks. However,</w:t>
      </w:r>
      <w:r>
        <w:t xml:space="preserve"> </w:t>
      </w:r>
      <w:r>
        <w:t xml:space="preserve">Whalen (1984)</w:t>
      </w:r>
      <w:r>
        <w:t xml:space="preserve"> </w:t>
      </w:r>
      <w:r>
        <w:t xml:space="preserve">finds that listeners judgements are slowed by coarticulatory mismatches. If coarticulatory and social variation are processed similarly, this should hold for listeners’ identification of fricatives on a [ʃ]-[s] continuum. Therefore, we predict longer reaction times for Incongruous conditions. Furthermore, when gender information is most clear, at gender continuum steps 1 and 2 for the Male talker and at gender steps 4 &amp; 5 for the Female talker, and in conflict with the presented Face, listeners’ response times should be</w:t>
      </w:r>
      <w:r>
        <w:t xml:space="preserve"> </w:t>
      </w:r>
      <w:r>
        <w:t xml:space="preserve">slowest.</w:t>
      </w:r>
    </w:p>
    <w:p>
      <w:pPr>
        <w:pStyle w:val="BodyText"/>
      </w:pPr>
      <w:r>
        <w:t xml:space="preserve">Since strong phonetic correlates of gender, pitch and formant spacing, have been</w:t>
      </w:r>
      <w:r>
        <w:t xml:space="preserve"> </w:t>
      </w:r>
      <w:r>
        <w:t xml:space="preserve">manipulated over the course of the VC rime continua in our auditory stimuli, we anticipate that the nullifying effect of incongruous face and voice on fricative perception should be strongest for the natural end points of the continua where the difference is most salient and should weaken as phonetically-cued gender information becomes more ambiguous. These stimuli have been independently normed for ambiguity</w:t>
      </w:r>
      <w:r>
        <w:t xml:space="preserve"> </w:t>
      </w:r>
      <w:r>
        <w:t xml:space="preserve">(Bouavichith et al. 2019, 1040)</w:t>
      </w:r>
      <w:r>
        <w:t xml:space="preserve"> </w:t>
      </w:r>
      <w:r>
        <w:t xml:space="preserve">in the 2nd and 3rd levels of the rime continua. This means we anticipate an interaction between Face and Rime step but only in the incongruous trials and only at the extremes of the rime continuum.</w:t>
      </w:r>
    </w:p>
    <w:bookmarkEnd w:id="43"/>
    <w:bookmarkStart w:id="44" w:name="sec-pred-guise"/>
    <w:p>
      <w:pPr>
        <w:pStyle w:val="Heading2"/>
      </w:pPr>
      <w:r>
        <w:t xml:space="preserve">Guise: Hidden or Unhidden</w:t>
      </w:r>
    </w:p>
    <w:p>
      <w:pPr>
        <w:pStyle w:val="FirstParagraph"/>
      </w:pPr>
      <w:r>
        <w:t xml:space="preserve">The care researchers take to ensure that the guise manipulation is hidden from participants suggests a kind of imagined fragility of 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on fricative perception is not available to introspection or deliberative control, we should see no change between the hidden and unhidden conditions.</w:t>
      </w:r>
    </w:p>
    <w:p>
      <w:pPr>
        <w:pStyle w:val="BodyText"/>
      </w:pPr>
      <w:r>
        <w:t xml:space="preserve">Additionally, we speculate that there may be a response time difference between the Hidden and Unhidden guises even if there is no apparent difference in percept between the conditions. It may be the case that participants will arrive at the same behavioral responses via different cognitive processing paths, perhaps drawing on different levels of knowledge and awareness, and that these differences may be detectable in response times between the Instruction conditions.</w:t>
      </w:r>
    </w:p>
    <w:bookmarkEnd w:id="44"/>
    <w:bookmarkEnd w:id="45"/>
    <w:bookmarkStart w:id="65"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4"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9" w:name="fig-scurve"/>
          <w:p>
            <w:pPr>
              <w:pStyle w:val="Compact"/>
              <w:jc w:val="center"/>
            </w:pPr>
            <w:r>
              <w:drawing>
                <wp:inline>
                  <wp:extent cx="4754880" cy="2937285"/>
                  <wp:effectExtent b="0" l="0" r="0" t="0"/>
                  <wp:docPr descr="" title="" id="47" name="Picture"/>
                  <a:graphic>
                    <a:graphicData uri="http://schemas.openxmlformats.org/drawingml/2006/picture">
                      <pic:pic>
                        <pic:nvPicPr>
                          <pic:cNvPr descr="images/Scurve.png" id="48" name="Picture"/>
                          <pic:cNvPicPr>
                            <a:picLocks noChangeArrowheads="1" noChangeAspect="1"/>
                          </pic:cNvPicPr>
                        </pic:nvPicPr>
                        <pic:blipFill>
                          <a:blip r:embed="rId46"/>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9"/>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3" w:name="fig-rimes"/>
          <w:p>
            <w:pPr>
              <w:pStyle w:val="Compact"/>
              <w:jc w:val="center"/>
            </w:pPr>
            <w:r>
              <w:drawing>
                <wp:inline>
                  <wp:extent cx="4754880" cy="2937285"/>
                  <wp:effectExtent b="0" l="0" r="0" t="0"/>
                  <wp:docPr descr="" title="" id="51" name="Picture"/>
                  <a:graphic>
                    <a:graphicData uri="http://schemas.openxmlformats.org/drawingml/2006/picture">
                      <pic:pic>
                        <pic:nvPicPr>
                          <pic:cNvPr descr="images/ambiguous-by-rime-step.png" id="52" name="Picture"/>
                          <pic:cNvPicPr>
                            <a:picLocks noChangeArrowheads="1" noChangeAspect="1"/>
                          </pic:cNvPicPr>
                        </pic:nvPicPr>
                        <pic:blipFill>
                          <a:blip r:embed="rId50"/>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3"/>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The main objective of this experiment was to explore the role</w:t>
      </w:r>
      <w:r>
        <w:t xml:space="preserve"> </w:t>
      </w:r>
      <w:r>
        <w:t xml:space="preserve">of listener awareness in the matched guise technique. Here again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4"/>
    <w:bookmarkStart w:id="59"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inspection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8" w:name="fig-coefs"/>
          <w:p>
            <w:pPr>
              <w:pStyle w:val="Compact"/>
              <w:jc w:val="center"/>
            </w:pPr>
            <w:r>
              <w:drawing>
                <wp:inline>
                  <wp:extent cx="4754880" cy="3169919"/>
                  <wp:effectExtent b="0" l="0" r="0" t="0"/>
                  <wp:docPr descr="" title="" id="56" name="Picture"/>
                  <a:graphic>
                    <a:graphicData uri="http://schemas.openxmlformats.org/drawingml/2006/picture">
                      <pic:pic>
                        <pic:nvPicPr>
                          <pic:cNvPr descr="images/coefs_instruction.png" id="57" name="Picture"/>
                          <pic:cNvPicPr>
                            <a:picLocks noChangeArrowheads="1" noChangeAspect="1"/>
                          </pic:cNvPicPr>
                        </pic:nvPicPr>
                        <pic:blipFill>
                          <a:blip r:embed="rId55"/>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8"/>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We can confirm that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9"/>
    <w:bookmarkStart w:id="64" w:name="sec-results-rt"/>
    <w:p>
      <w:pPr>
        <w:pStyle w:val="Heading2"/>
      </w:pPr>
      <w:r>
        <w:t xml:space="preserve">Response Times</w:t>
      </w:r>
    </w:p>
    <w:p>
      <w:pPr>
        <w:pStyle w:val="FirstParagraph"/>
      </w:pPr>
      <w:r>
        <w:t xml:space="preserve">We again opted to separate Congruence into a pair of 3-way models for linear mixed model analysis of our log-transformed response time data. Using</w:t>
      </w:r>
      <w:r>
        <w:t xml:space="preserve"> </w:t>
      </w:r>
      <w:r>
        <w:rPr>
          <w:rStyle w:val="VerbatimChar"/>
        </w:rPr>
        <w:t xml:space="preserve">lmer()</w:t>
      </w:r>
      <w:r>
        <w:t xml:space="preserve"> </w:t>
      </w:r>
      <w:r>
        <w:t xml:space="preserve">(Bates, Maechler, and Bolker 2011)</w:t>
      </w:r>
      <w:r>
        <w:t xml:space="preserve">, we reused the congruous and incongruous subsets created for the logistic regression models and fitted a linear mixed model (estimated using REML and nloptwrap optimizer) to predict logRT with Guise, Onset, Face and Rime (</w:t>
      </w:r>
      <w:r>
        <w:rPr>
          <w:rStyle w:val="VerbatimChar"/>
        </w:rPr>
        <w:t xml:space="preserve">logRT ~ Instruction * Onset * Face + Rime</w:t>
      </w:r>
      <w:r>
        <w:t xml:space="preserve">). The models included random intercepts for subject. All categorical predictors were coded using contrast coding. Beta coefficients for both models are plotted in</w:t>
      </w:r>
      <w:r>
        <w:t xml:space="preserve"> </w:t>
      </w:r>
      <w:hyperlink w:anchor="fig-coefs-logRT">
        <w:r>
          <w:rPr>
            <w:rStyle w:val="Hyperlink"/>
          </w:rPr>
          <w:t xml:space="preserve">Figure 6</w:t>
        </w:r>
      </w:hyperlink>
      <w:r>
        <w:t xml:space="preserve">. Terms plotted to the left of the zero line are associated with a decrease in log response time while terms plotted to the right of the zero line are associated with an increase in log response time. Notably, the longest response times are associated with the most ambiguous steps of the [ʃ]-[s] onset continuum. Onset step 3 is positively associated with response time and significant in both 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 ($β=0.0$7,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 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 1, 2, and 5 are all negatively associated with response time and also 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3" w:name="fig-coefs-logRT"/>
          <w:p>
            <w:pPr>
              <w:pStyle w:val="Compact"/>
              <w:jc w:val="center"/>
            </w:pPr>
            <w:r>
              <w:drawing>
                <wp:inline>
                  <wp:extent cx="4754880" cy="3169919"/>
                  <wp:effectExtent b="0" l="0" r="0" t="0"/>
                  <wp:docPr descr="" title="" id="61" name="Picture"/>
                  <a:graphic>
                    <a:graphicData uri="http://schemas.openxmlformats.org/drawingml/2006/picture">
                      <pic:pic>
                        <pic:nvPicPr>
                          <pic:cNvPr descr="images/coefs-logRT_instructions.png" id="62" name="Picture"/>
                          <pic:cNvPicPr>
                            <a:picLocks noChangeArrowheads="1" noChangeAspect="1"/>
                          </pic:cNvPicPr>
                        </pic:nvPicPr>
                        <pic:blipFill>
                          <a:blip r:embed="rId60"/>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3"/>
        </w:tc>
      </w:tr>
    </w:tbl>
    <w:p>
      <w:pPr>
        <w:pStyle w:val="BodyText"/>
      </w:pPr>
      <w:r>
        <w:t xml:space="preserve">We predicted overall slower response times in the Incongruous than</w:t>
      </w:r>
      <w:r>
        <w:t xml:space="preserve"> </w:t>
      </w:r>
      <w:r>
        <w:t xml:space="preserve">Congruous conditions, but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is</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4"/>
    <w:bookmarkEnd w:id="65"/>
    <w:bookmarkStart w:id="66" w:name="discussion"/>
    <w:p>
      <w:pPr>
        <w:pStyle w:val="Heading1"/>
      </w:pPr>
      <w:r>
        <w:t xml:space="preserve">Discussion</w:t>
      </w:r>
    </w:p>
    <w:p>
      <w:pPr>
        <w:pStyle w:val="FirstParagraph"/>
      </w:pPr>
      <w:r>
        <w:t xml:space="preserve">This study was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The careful steps researchers typically take to obscure the guise manipulation reflects long-held assumptions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congruous or incongruous conditions. Nor did this revelation have a significant influence on response times in either condition.</w:t>
      </w:r>
    </w:p>
    <w:p>
      <w:pPr>
        <w:pStyle w:val="BodyText"/>
      </w:pPr>
      <w:r>
        <w:t xml:space="preserve">The finding that guises affect perception even when revealed to participants is inconsistent with a model of processing in which social knowledge acts as a top-down filter on linguistic knowledge. Social knowledge can influence perception even when listeners are aware that it is likely false. This result</w:t>
      </w:r>
      <w:r>
        <w:t xml:space="preserve"> </w:t>
      </w:r>
      <w:r>
        <w:t xml:space="preserve">parallels previous results for accentedness and attractiveness judgements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lending support to</w:t>
      </w:r>
      <w:r>
        <w:t xml:space="preserve"> </w:t>
      </w:r>
      <w:r>
        <w:t xml:space="preserve">Drager and Kirtley (2016b)</w:t>
      </w:r>
      <w:r>
        <w:t xml:space="preserve"> </w:t>
      </w:r>
      <w:r>
        <w:t xml:space="preserve">(p.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may prove to be as resilient to</w:t>
      </w:r>
      <w:r>
        <w:t xml:space="preserve"> </w:t>
      </w:r>
      <w:r>
        <w:t xml:space="preserve">awareness as the McGurk effect</w:t>
      </w:r>
      <w:r>
        <w:t xml:space="preserve"> </w:t>
      </w:r>
      <w:r>
        <w:t xml:space="preserve">(McGurk and MacDonald 1976)</w:t>
      </w:r>
      <w:r>
        <w:t xml:space="preserve">, which is obligatory and 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Gender of the voice and face combine to make the Strand effect even stronger in the congruous condition;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through separating trials by</w:t>
      </w:r>
      <w:r>
        <w:t xml:space="preserve"> </w:t>
      </w:r>
      <w:r>
        <w:t xml:space="preserve">congruity of face and voice, we have replicated both experiments from</w:t>
      </w:r>
      <w:r>
        <w:t xml:space="preserve"> </w:t>
      </w:r>
      <w:r>
        <w:t xml:space="preserve">Strand and Johnson (1996)</w:t>
      </w:r>
      <w:r>
        <w:t xml:space="preserve"> </w:t>
      </w:r>
      <w:r>
        <w:t xml:space="preserve">simultaneously. Looking back at their experiment 2,</w:t>
      </w:r>
      <w:r>
        <w:t xml:space="preserve"> </w:t>
      </w:r>
      <w:r>
        <w:t xml:space="preserve">it is possible that this classic result was</w:t>
      </w:r>
      <w:r>
        <w:t xml:space="preserve"> </w:t>
      </w:r>
      <w:r>
        <w:rPr>
          <w:i/>
          <w:iCs/>
        </w:rPr>
        <w:t xml:space="preserve">also</w:t>
      </w:r>
      <w:r>
        <w:t xml:space="preserve"> </w:t>
      </w:r>
      <w:r>
        <w:t xml:space="preserve">a congruous condition in which listeners had sufficient gender information from the</w:t>
      </w:r>
      <w:r>
        <w:t xml:space="preserve"> </w:t>
      </w:r>
      <w:r>
        <w:t xml:space="preserve">‘non-protypical’</w:t>
      </w:r>
      <w:r>
        <w:t xml:space="preserve"> </w:t>
      </w:r>
      <w:r>
        <w:t xml:space="preserve">voice to supplement 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VC rimes for this</w:t>
      </w:r>
      <w:r>
        <w:t xml:space="preserve"> </w:t>
      </w:r>
      <w:r>
        <w:t xml:space="preserve">study are F0 and formant spacing. However, these are not the only cues</w:t>
      </w:r>
      <w:r>
        <w:t xml:space="preserve"> </w:t>
      </w:r>
      <w:r>
        <w:t xml:space="preserve">listeners draw upon with their knowledge of US English. Surely,</w:t>
      </w:r>
      <w:r>
        <w:t xml:space="preserve"> </w:t>
      </w:r>
      <w:r>
        <w:t xml:space="preserve">F0 and formant spacing</w:t>
      </w:r>
      <w:r>
        <w:t xml:space="preserve"> </w:t>
      </w:r>
      <w:r>
        <w:rPr>
          <w:i/>
          <w:iCs/>
        </w:rPr>
        <w:t xml:space="preserve">can be</w:t>
      </w:r>
      <w:r>
        <w:t xml:space="preserve"> </w:t>
      </w:r>
      <w:r>
        <w:t xml:space="preserve">important to listeners, just as</w:t>
      </w:r>
      <w:r>
        <w:t xml:space="preserve"> </w:t>
      </w:r>
      <w:r>
        <w:t xml:space="preserve">voice onset time and modal voicing can be important cues to the</w:t>
      </w:r>
      <w:r>
        <w:t xml:space="preserve"> </w:t>
      </w:r>
      <w:r>
        <w:t xml:space="preserve">voicing of /t/ and /d/. But as</w:t>
      </w:r>
      <w:r>
        <w:t xml:space="preserve"> </w:t>
      </w:r>
      <w:r>
        <w:t xml:space="preserve">Lisker (1986)</w:t>
      </w:r>
      <w:r>
        <w:t xml:space="preserve"> </w:t>
      </w:r>
      <w:r>
        <w:t xml:space="preserve">reported for those stops, there are 16 cues to this apparently simple feature in English, any of which might be</w:t>
      </w:r>
      <w:r>
        <w:t xml:space="preserve"> </w:t>
      </w:r>
      <w:r>
        <w:t xml:space="preserve">sufficient to communicate voicing, but none of which are required. In</w:t>
      </w:r>
      <w:r>
        <w:t xml:space="preserve"> </w:t>
      </w:r>
      <w:r>
        <w:t xml:space="preserve">the present study, we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 the stimuli in</w:t>
      </w:r>
      <w:r>
        <w:t xml:space="preserve"> </w:t>
      </w:r>
      <w:r>
        <w:t xml:space="preserve">Whalen (1984)</w:t>
      </w:r>
      <w:r>
        <w:t xml:space="preserve"> </w:t>
      </w:r>
      <w:r>
        <w:t xml:space="preserve">did not sound obviously mismatched. But our</w:t>
      </w:r>
      <w:r>
        <w:t xml:space="preserve"> </w:t>
      </w:r>
      <w:r>
        <w:t xml:space="preserve">perception results suggest that listeners remain aware, albeit</w:t>
      </w:r>
      <w:r>
        <w:t xml:space="preserve"> </w:t>
      </w:r>
      <w:r>
        <w:t xml:space="preserve">implicitly, of the gender identity we attempted to obscure by</w:t>
      </w:r>
      <w:r>
        <w:t xml:space="preserve"> </w:t>
      </w:r>
      <w:r>
        <w:t xml:space="preserve">altering these phonetic correlates.</w:t>
      </w:r>
    </w:p>
    <w:bookmarkEnd w:id="66"/>
    <w:bookmarkStart w:id="67" w:name="conclusion"/>
    <w:p>
      <w:pPr>
        <w:pStyle w:val="Heading1"/>
      </w:pPr>
      <w:r>
        <w:t xml:space="preserve">Conclusion</w:t>
      </w:r>
    </w:p>
    <w:p>
      <w:pPr>
        <w:pStyle w:val="FirstParagraph"/>
      </w:pPr>
      <w:r>
        <w:t xml:space="preserve">Decades of research since the original findings of</w:t>
      </w:r>
      <w:r>
        <w:t xml:space="preserve"> </w:t>
      </w:r>
      <w:r>
        <w:t xml:space="preserve">Strand and Johnson (1996)</w:t>
      </w:r>
      <w:r>
        <w:t xml:space="preserve"> </w:t>
      </w:r>
      <w:r>
        <w:t xml:space="preserve">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experiments 1 and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However, listeners’ behavior in our Congruous</w:t>
      </w:r>
      <w:r>
        <w:t xml:space="preserve"> </w:t>
      </w:r>
      <w:r>
        <w:t xml:space="preserve">and Incongruous conditions is inconsistent with such a model;</w:t>
      </w:r>
      <w:r>
        <w:t xml:space="preserve"> </w:t>
      </w:r>
      <w:r>
        <w:t xml:space="preserve">suggesting,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 segmental perception</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in this study are, perhaps, predicted by the</w:t>
      </w:r>
      <w:r>
        <w:t xml:space="preserve"> </w:t>
      </w:r>
      <w:r>
        <w:t xml:space="preserve">lack of Face effect in</w:t>
      </w:r>
      <w:r>
        <w:t xml:space="preserve"> </w:t>
      </w:r>
      <w:r>
        <w:t xml:space="preserve">Johnson, Strand, and D’Imperio (1999)</w:t>
      </w:r>
      <w:r>
        <w:t xml:space="preserve"> </w:t>
      </w:r>
      <w:r>
        <w:t xml:space="preserve">exp2 vowel perception results,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expectations of the social world and visual and other sensory information to arrive at a percept</w:t>
      </w:r>
      <w:r>
        <w:t xml:space="preserve"> </w:t>
      </w:r>
      <w:r>
        <w:t xml:space="preserve">(Babel this issue)</w:t>
      </w:r>
      <w:r>
        <w:t xml:space="preserve">.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perceptual processing.</w:t>
      </w:r>
    </w:p>
    <w:p>
      <w:pPr>
        <w:pStyle w:val="BodyText"/>
      </w:pPr>
      <w:r>
        <w:t xml:space="preserve">However, our prediction that incongruity between face and voice would slow listener judgements was not supported. Given that coarticulatory mismatches</w:t>
      </w:r>
      <w:r>
        <w:t xml:space="preserve"> </w:t>
      </w:r>
      <w:r>
        <w:rPr>
          <w:i/>
          <w:iCs/>
        </w:rPr>
        <w:t xml:space="preserve">do</w:t>
      </w:r>
      <w:r>
        <w:t xml:space="preserve"> </w:t>
      </w:r>
      <w:r>
        <w:t xml:space="preserve">slow listener judgements, this finding is inconsistent with a model of perception in which socioindexical variation and coarticulatory information are processed identically. It is possible that these sources of information are processed via different systems or, alternatively, that this difference merely reflects the diversity of gender conforming and non-conforming voices in our listeners’ experience.</w:t>
      </w:r>
      <w:r>
        <w:t xml:space="preserve"> </w:t>
      </w:r>
      <w:r>
        <w:t xml:space="preserve">Barrett (2014, 205)</w:t>
      </w:r>
      <w:r>
        <w:t xml:space="preserve"> </w:t>
      </w:r>
      <w:r>
        <w:t xml:space="preserve">writes,</w:t>
      </w:r>
      <w:r>
        <w:t xml:space="preserve"> </w:t>
      </w:r>
      <w:r>
        <w:t xml:space="preserve">“any assumption of essentialism will ultimately marginalize those individuals who do not fit the essentialist understandings of human behavior.”</w:t>
      </w:r>
      <w:r>
        <w:t xml:space="preserve"> </w:t>
      </w:r>
      <w:r>
        <w:t xml:space="preserve">It may not feel reductive to read the findings of</w:t>
      </w:r>
      <w:r>
        <w:t xml:space="preserve"> </w:t>
      </w:r>
      <w:r>
        <w:t xml:space="preserve">May (1976)</w:t>
      </w:r>
      <w:r>
        <w:t xml:space="preserve"> </w:t>
      </w:r>
      <w:r>
        <w:t xml:space="preserve">about large and small vocal tracts as if they refer to male and female vocal tracts respectively, but it does necessarily imply that tall, long-necked women and short, squat-necked men need to find some other way of labeling themselves. The idea that male voices come from large bodies and female voices come from small bodies need not be literally true for the phonetic and perceptual correlates of size to become enregistered alongside other features in the creation of gendered personae</w:t>
      </w:r>
      <w:r>
        <w:t xml:space="preserve"> </w:t>
      </w:r>
      <w:r>
        <w:t xml:space="preserve">(D’Onofrio 2020)</w:t>
      </w:r>
      <w:r>
        <w:t xml:space="preserve">. Unlike coarticulation, which is lawful and systematic</w:t>
      </w:r>
      <w:r>
        <w:t xml:space="preserve"> </w:t>
      </w:r>
      <w:r>
        <w:t xml:space="preserve">(Beddor 2009)</w:t>
      </w:r>
      <w:r>
        <w:t xml:space="preserve">, incongruence in gender cues is a normal part of the social construction of gender</w:t>
      </w:r>
      <w:r>
        <w:t xml:space="preserve"> </w:t>
      </w:r>
      <w:r>
        <w:t xml:space="preserve">(Barrett 2017)</w:t>
      </w:r>
      <w:r>
        <w:t xml:space="preserve">.</w:t>
      </w:r>
    </w:p>
    <w:bookmarkEnd w:id="67"/>
    <w:bookmarkStart w:id="198" w:name="sec-references"/>
    <w:p>
      <w:pPr>
        <w:pStyle w:val="Heading1"/>
      </w:pPr>
      <w:r>
        <w:t xml:space="preserve">References</w:t>
      </w:r>
    </w:p>
    <w:bookmarkStart w:id="197" w:name="refs"/>
    <w:bookmarkStart w:id="68"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8"/>
    <w:bookmarkStart w:id="69"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9"/>
    <w:bookmarkStart w:id="70"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70"/>
    <w:bookmarkStart w:id="71"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1"/>
    <w:bookmarkStart w:id="72"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2"/>
    <w:bookmarkStart w:id="73" w:name="ref-barrett2017"/>
    <w:p>
      <w:pPr>
        <w:pStyle w:val="Bibliography"/>
      </w:pPr>
      <w:r>
        <w:t xml:space="preserve">———. 2017.</w:t>
      </w:r>
      <w:r>
        <w:t xml:space="preserve"> </w:t>
      </w:r>
      <w:r>
        <w:rPr>
          <w:i/>
          <w:iCs/>
        </w:rPr>
        <w:t xml:space="preserve">From Drag Queens to Leathermen: Language, Gender, and Gay Male Subcultures</w:t>
      </w:r>
      <w:r>
        <w:t xml:space="preserve">. Oxford University Press.</w:t>
      </w:r>
    </w:p>
    <w:bookmarkEnd w:id="73"/>
    <w:bookmarkStart w:id="74"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4"/>
    <w:bookmarkStart w:id="76"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5">
        <w:r>
          <w:rPr>
            <w:rStyle w:val="Hyperlink"/>
          </w:rPr>
          <w:t xml:space="preserve">http://CRAN.R-project.org/package=lme4</w:t>
        </w:r>
      </w:hyperlink>
      <w:r>
        <w:t xml:space="preserve">.</w:t>
      </w:r>
    </w:p>
    <w:bookmarkEnd w:id="76"/>
    <w:bookmarkStart w:id="77" w:name="ref-Beddor2009"/>
    <w:p>
      <w:pPr>
        <w:pStyle w:val="Bibliography"/>
      </w:pPr>
      <w:r>
        <w:t xml:space="preserve">Beddor, Patrice Speeter. 2009.</w:t>
      </w:r>
      <w:r>
        <w:t xml:space="preserve"> </w:t>
      </w:r>
      <w:r>
        <w:t xml:space="preserve">“A Coarticulatory Path to Sound Change.”</w:t>
      </w:r>
      <w:r>
        <w:t xml:space="preserve"> </w:t>
      </w:r>
      <w:r>
        <w:rPr>
          <w:i/>
          <w:iCs/>
        </w:rPr>
        <w:t xml:space="preserve">Language</w:t>
      </w:r>
      <w:r>
        <w:t xml:space="preserve"> </w:t>
      </w:r>
      <w:r>
        <w:t xml:space="preserve">85 (4): 785–821.</w:t>
      </w:r>
    </w:p>
    <w:bookmarkEnd w:id="77"/>
    <w:bookmarkStart w:id="78"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8"/>
    <w:bookmarkStart w:id="79"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9"/>
    <w:bookmarkStart w:id="81"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80">
        <w:r>
          <w:rPr>
            <w:rStyle w:val="Hyperlink"/>
          </w:rPr>
          <w:t xml:space="preserve">https://doi.org/10.1121/1.5101933</w:t>
        </w:r>
      </w:hyperlink>
      <w:r>
        <w:t xml:space="preserve">.</w:t>
      </w:r>
    </w:p>
    <w:bookmarkEnd w:id="81"/>
    <w:bookmarkStart w:id="82"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2"/>
    <w:bookmarkStart w:id="83"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3"/>
    <w:bookmarkStart w:id="84"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4"/>
    <w:bookmarkStart w:id="85"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5"/>
    <w:bookmarkStart w:id="86"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6"/>
    <w:bookmarkStart w:id="87"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7"/>
    <w:bookmarkStart w:id="88"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8"/>
    <w:bookmarkStart w:id="89"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9"/>
    <w:bookmarkStart w:id="90"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90"/>
    <w:bookmarkStart w:id="92"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1">
        <w:r>
          <w:rPr>
            <w:rStyle w:val="Hyperlink"/>
          </w:rPr>
          <w:t xml:space="preserve">https://doi.org/10.4324/9781315514857-5</w:t>
        </w:r>
      </w:hyperlink>
      <w:r>
        <w:t xml:space="preserve">.</w:t>
      </w:r>
    </w:p>
    <w:bookmarkEnd w:id="92"/>
    <w:bookmarkStart w:id="93"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3"/>
    <w:bookmarkStart w:id="94"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4"/>
    <w:bookmarkStart w:id="96"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5">
        <w:r>
          <w:rPr>
            <w:rStyle w:val="Hyperlink"/>
          </w:rPr>
          <w:t xml:space="preserve">https://doi.org/10.1037/xlm0000137</w:t>
        </w:r>
      </w:hyperlink>
      <w:r>
        <w:t xml:space="preserve">.</w:t>
      </w:r>
    </w:p>
    <w:bookmarkEnd w:id="96"/>
    <w:bookmarkStart w:id="97"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7"/>
    <w:bookmarkStart w:id="98"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8"/>
    <w:bookmarkStart w:id="100" w:name="ref-donofrio2020"/>
    <w:p>
      <w:pPr>
        <w:pStyle w:val="Bibliography"/>
      </w:pPr>
      <w:r>
        <w:t xml:space="preserve">———. 2020.</w:t>
      </w:r>
      <w:r>
        <w:t xml:space="preserve"> </w:t>
      </w:r>
      <w:r>
        <w:t xml:space="preserve">“Personae in Sociolinguistic Variation.”</w:t>
      </w:r>
      <w:r>
        <w:t xml:space="preserve"> </w:t>
      </w:r>
      <w:r>
        <w:rPr>
          <w:i/>
          <w:iCs/>
        </w:rPr>
        <w:t xml:space="preserve">WIREs Cognitive Science</w:t>
      </w:r>
      <w:r>
        <w:t xml:space="preserve"> </w:t>
      </w:r>
      <w:r>
        <w:t xml:space="preserve">11 (6): e1543.</w:t>
      </w:r>
      <w:r>
        <w:t xml:space="preserve"> </w:t>
      </w:r>
      <w:hyperlink r:id="rId99">
        <w:r>
          <w:rPr>
            <w:rStyle w:val="Hyperlink"/>
          </w:rPr>
          <w:t xml:space="preserve">https://doi.org/10.1002/wcs.1543</w:t>
        </w:r>
      </w:hyperlink>
      <w:r>
        <w:t xml:space="preserve">.</w:t>
      </w:r>
    </w:p>
    <w:bookmarkEnd w:id="100"/>
    <w:bookmarkStart w:id="101"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101"/>
    <w:bookmarkStart w:id="102"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102"/>
    <w:bookmarkStart w:id="104"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3">
        <w:r>
          <w:rPr>
            <w:rStyle w:val="Hyperlink"/>
          </w:rPr>
          <w:t xml:space="preserve">https://doi.org/10.1016/s0010-0277(00)00123-2</w:t>
        </w:r>
      </w:hyperlink>
      <w:r>
        <w:t xml:space="preserve">.</w:t>
      </w:r>
    </w:p>
    <w:bookmarkEnd w:id="104"/>
    <w:bookmarkStart w:id="105"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5"/>
    <w:bookmarkStart w:id="106"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6"/>
    <w:bookmarkStart w:id="107"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7"/>
    <w:bookmarkStart w:id="108"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8"/>
    <w:bookmarkStart w:id="109" w:name="ref-eckert2012"/>
    <w:p>
      <w:pPr>
        <w:pStyle w:val="Bibliography"/>
      </w:pPr>
      <w:r>
        <w:t xml:space="preserve">Eckert, Penelope.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9"/>
    <w:bookmarkStart w:id="110"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10"/>
    <w:bookmarkStart w:id="111"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11"/>
    <w:bookmarkStart w:id="112"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2"/>
    <w:bookmarkStart w:id="113"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3"/>
    <w:bookmarkStart w:id="114"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4"/>
    <w:bookmarkStart w:id="115" w:name="ref-fuchsToda2010"/>
    <w:p>
      <w:pPr>
        <w:pStyle w:val="Bibliography"/>
      </w:pPr>
      <w:r>
        <w:t xml:space="preserve">Fuchs, Susanne, and Martine Toda. 2010.</w:t>
      </w:r>
      <w:r>
        <w:t xml:space="preserve"> </w:t>
      </w:r>
      <w:r>
        <w:t xml:space="preserve">“Do Differences in Male Versus Female /s/ Reflect Biological or Sociophonetic Factors.”</w:t>
      </w:r>
      <w:r>
        <w:t xml:space="preserve"> </w:t>
      </w:r>
      <w:r>
        <w:rPr>
          <w:i/>
          <w:iCs/>
        </w:rPr>
        <w:t xml:space="preserve">Turbulent Sounds: An Interdisciplinary Guide</w:t>
      </w:r>
      <w:r>
        <w:t xml:space="preserve"> </w:t>
      </w:r>
      <w:r>
        <w:t xml:space="preserve">21: 281–302.</w:t>
      </w:r>
    </w:p>
    <w:bookmarkEnd w:id="115"/>
    <w:bookmarkStart w:id="116"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6"/>
    <w:bookmarkStart w:id="117"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7"/>
    <w:bookmarkStart w:id="118"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8"/>
    <w:bookmarkStart w:id="119"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9"/>
    <w:bookmarkStart w:id="120"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20"/>
    <w:bookmarkStart w:id="122"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21">
        <w:r>
          <w:rPr>
            <w:rStyle w:val="Hyperlink"/>
          </w:rPr>
          <w:t xml:space="preserve">https://doi.org/10.3389/fpsyg.2015.00500</w:t>
        </w:r>
      </w:hyperlink>
      <w:r>
        <w:t xml:space="preserve">.</w:t>
      </w:r>
    </w:p>
    <w:bookmarkEnd w:id="122"/>
    <w:bookmarkStart w:id="124"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3">
        <w:r>
          <w:rPr>
            <w:rStyle w:val="Hyperlink"/>
          </w:rPr>
          <w:t xml:space="preserve">http://dx.doi.org/10.3758/BF03207536</w:t>
        </w:r>
      </w:hyperlink>
      <w:r>
        <w:t xml:space="preserve">.</w:t>
      </w:r>
    </w:p>
    <w:bookmarkEnd w:id="124"/>
    <w:bookmarkStart w:id="125"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5"/>
    <w:bookmarkStart w:id="126"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6"/>
    <w:bookmarkStart w:id="127"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7"/>
    <w:bookmarkStart w:id="128"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8"/>
    <w:bookmarkStart w:id="129"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9"/>
    <w:bookmarkStart w:id="130"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30"/>
    <w:bookmarkStart w:id="131"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31"/>
    <w:bookmarkStart w:id="132"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32"/>
    <w:bookmarkStart w:id="133"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3"/>
    <w:bookmarkStart w:id="135"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4">
        <w:r>
          <w:rPr>
            <w:rStyle w:val="Hyperlink"/>
          </w:rPr>
          <w:t xml:space="preserve">http://www.jstor.org/stable/522229</w:t>
        </w:r>
      </w:hyperlink>
      <w:r>
        <w:t xml:space="preserve">.</w:t>
      </w:r>
    </w:p>
    <w:bookmarkEnd w:id="135"/>
    <w:bookmarkStart w:id="136"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6"/>
    <w:bookmarkStart w:id="137"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7"/>
    <w:bookmarkStart w:id="138"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8"/>
    <w:bookmarkStart w:id="139"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9"/>
    <w:bookmarkStart w:id="140"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40"/>
    <w:bookmarkStart w:id="142"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41">
        <w:r>
          <w:rPr>
            <w:rStyle w:val="Hyperlink"/>
          </w:rPr>
          <w:t xml:space="preserve">https://doi.org/10.1371/journal.pone.0130834</w:t>
        </w:r>
      </w:hyperlink>
      <w:r>
        <w:t xml:space="preserve">.</w:t>
      </w:r>
    </w:p>
    <w:bookmarkEnd w:id="142"/>
    <w:bookmarkStart w:id="144"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3">
        <w:r>
          <w:rPr>
            <w:rStyle w:val="Hyperlink"/>
          </w:rPr>
          <w:t xml:space="preserve">https://doi.org/10.3109/13682826809011440</w:t>
        </w:r>
      </w:hyperlink>
      <w:r>
        <w:t xml:space="preserve">.</w:t>
      </w:r>
    </w:p>
    <w:bookmarkEnd w:id="144"/>
    <w:bookmarkStart w:id="146"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5">
        <w:r>
          <w:rPr>
            <w:rStyle w:val="Hyperlink"/>
          </w:rPr>
          <w:t xml:space="preserve">https://doi.org/10.1177/0075424214531487</w:t>
        </w:r>
      </w:hyperlink>
      <w:r>
        <w:t xml:space="preserve">.</w:t>
      </w:r>
    </w:p>
    <w:bookmarkEnd w:id="146"/>
    <w:bookmarkStart w:id="147"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7"/>
    <w:bookmarkStart w:id="149"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8">
        <w:r>
          <w:rPr>
            <w:rStyle w:val="Hyperlink"/>
          </w:rPr>
          <w:t xml:space="preserve">https://doi.org/10.3758/s13428-014-0532-5</w:t>
        </w:r>
      </w:hyperlink>
      <w:r>
        <w:t xml:space="preserve">.</w:t>
      </w:r>
    </w:p>
    <w:bookmarkEnd w:id="149"/>
    <w:bookmarkStart w:id="150"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50"/>
    <w:bookmarkStart w:id="152"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1">
        <w:r>
          <w:rPr>
            <w:rStyle w:val="Hyperlink"/>
          </w:rPr>
          <w:t xml:space="preserve">https://doi.org/10.1016/j.wocn.2011.10.002</w:t>
        </w:r>
      </w:hyperlink>
      <w:r>
        <w:t xml:space="preserve">.</w:t>
      </w:r>
    </w:p>
    <w:bookmarkEnd w:id="152"/>
    <w:bookmarkStart w:id="153"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3"/>
    <w:bookmarkStart w:id="154"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4"/>
    <w:bookmarkStart w:id="155"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5"/>
    <w:bookmarkStart w:id="156"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6"/>
    <w:bookmarkStart w:id="157"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7"/>
    <w:bookmarkStart w:id="158"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8"/>
    <w:bookmarkStart w:id="159"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9"/>
    <w:bookmarkStart w:id="160"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60"/>
    <w:bookmarkStart w:id="161"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1"/>
    <w:bookmarkStart w:id="162"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2"/>
    <w:bookmarkStart w:id="163"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3"/>
    <w:bookmarkStart w:id="164"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4"/>
    <w:bookmarkStart w:id="165"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5"/>
    <w:bookmarkStart w:id="166"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6"/>
    <w:bookmarkStart w:id="167"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7"/>
    <w:bookmarkStart w:id="168"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68"/>
    <w:bookmarkStart w:id="169"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69"/>
    <w:bookmarkStart w:id="170"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70"/>
    <w:bookmarkStart w:id="171"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1"/>
    <w:bookmarkStart w:id="172"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2"/>
    <w:bookmarkStart w:id="173"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3"/>
    <w:bookmarkStart w:id="175"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4">
        <w:r>
          <w:rPr>
            <w:rStyle w:val="Hyperlink"/>
          </w:rPr>
          <w:t xml:space="preserve">https://doi.org/10.1093/oxfordhb/9780199600472.001.0001</w:t>
        </w:r>
      </w:hyperlink>
      <w:r>
        <w:t xml:space="preserve">.</w:t>
      </w:r>
    </w:p>
    <w:bookmarkEnd w:id="175"/>
    <w:bookmarkStart w:id="176"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6"/>
    <w:bookmarkStart w:id="177"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7"/>
    <w:bookmarkStart w:id="178"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78"/>
    <w:bookmarkStart w:id="179"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79"/>
    <w:bookmarkStart w:id="180"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80"/>
    <w:bookmarkStart w:id="182"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1">
        <w:r>
          <w:rPr>
            <w:rStyle w:val="Hyperlink"/>
          </w:rPr>
          <w:t xml:space="preserve">https://doi.org/10.3758/BF03197491</w:t>
        </w:r>
      </w:hyperlink>
      <w:r>
        <w:t xml:space="preserve">.</w:t>
      </w:r>
    </w:p>
    <w:bookmarkEnd w:id="182"/>
    <w:bookmarkStart w:id="183"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3"/>
    <w:bookmarkStart w:id="184"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4"/>
    <w:bookmarkStart w:id="185"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5"/>
    <w:bookmarkStart w:id="186"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6"/>
    <w:bookmarkStart w:id="187"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7"/>
    <w:bookmarkStart w:id="188"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88"/>
    <w:bookmarkStart w:id="189"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89"/>
    <w:bookmarkStart w:id="190"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90"/>
    <w:bookmarkStart w:id="191"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1"/>
    <w:bookmarkStart w:id="192"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2"/>
    <w:bookmarkStart w:id="193"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3"/>
    <w:bookmarkStart w:id="194"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4"/>
    <w:bookmarkStart w:id="195"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5"/>
    <w:bookmarkStart w:id="196"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6"/>
    <w:bookmarkEnd w:id="197"/>
    <w:bookmarkEnd w:id="198"/>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9">
    <w:p>
      <w:pPr>
        <w:pStyle w:val="FootnoteText"/>
      </w:pPr>
      <w:r>
        <w:rPr>
          <w:rStyle w:val="FootnoteReference"/>
        </w:rPr>
        <w:footnoteRef/>
      </w:r>
      <w:r>
        <w:t xml:space="preserve"> </w:t>
      </w:r>
      <w:r>
        <w:t xml:space="preserve">We use</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intrinsic way.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33" Target="media/rId33.jpg" /><Relationship Type="http://schemas.openxmlformats.org/officeDocument/2006/relationships/image" Id="rId27" Target="media/rId27.png" /><Relationship Type="http://schemas.openxmlformats.org/officeDocument/2006/relationships/hyperlink" Id="rId75" Target="http://CRAN.R-project.org/package=lme4" TargetMode="External" /><Relationship Type="http://schemas.openxmlformats.org/officeDocument/2006/relationships/hyperlink" Id="rId123" Target="http://dx.doi.org/10.3758/BF03207536" TargetMode="External" /><Relationship Type="http://schemas.openxmlformats.org/officeDocument/2006/relationships/hyperlink" Id="rId134" Target="http://www.jstor.org/stable/522229" TargetMode="External" /><Relationship Type="http://schemas.openxmlformats.org/officeDocument/2006/relationships/hyperlink" Id="rId99" Target="https://doi.org/10.1002/wcs.1543" TargetMode="External" /><Relationship Type="http://schemas.openxmlformats.org/officeDocument/2006/relationships/hyperlink" Id="rId151" Target="https://doi.org/10.1016/j.wocn.2011.10.002" TargetMode="External" /><Relationship Type="http://schemas.openxmlformats.org/officeDocument/2006/relationships/hyperlink" Id="rId103" Target="https://doi.org/10.1016/s0010-0277(00)00123-2" TargetMode="External" /><Relationship Type="http://schemas.openxmlformats.org/officeDocument/2006/relationships/hyperlink" Id="rId95" Target="https://doi.org/10.1037/xlm0000137" TargetMode="External" /><Relationship Type="http://schemas.openxmlformats.org/officeDocument/2006/relationships/hyperlink" Id="rId174" Target="https://doi.org/10.1093/oxfordhb/9780199600472.001.0001" TargetMode="External" /><Relationship Type="http://schemas.openxmlformats.org/officeDocument/2006/relationships/hyperlink" Id="rId80" Target="https://doi.org/10.1121/1.5101933" TargetMode="External" /><Relationship Type="http://schemas.openxmlformats.org/officeDocument/2006/relationships/hyperlink" Id="rId145" Target="https://doi.org/10.1177/0075424214531487" TargetMode="External" /><Relationship Type="http://schemas.openxmlformats.org/officeDocument/2006/relationships/hyperlink" Id="rId141" Target="https://doi.org/10.1371/journal.pone.0130834" TargetMode="External" /><Relationship Type="http://schemas.openxmlformats.org/officeDocument/2006/relationships/hyperlink" Id="rId143" Target="https://doi.org/10.3109/13682826809011440" TargetMode="External" /><Relationship Type="http://schemas.openxmlformats.org/officeDocument/2006/relationships/hyperlink" Id="rId121" Target="https://doi.org/10.3389/fpsyg.2015.00500" TargetMode="External" /><Relationship Type="http://schemas.openxmlformats.org/officeDocument/2006/relationships/hyperlink" Id="rId181"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91" Target="https://doi.org/10.4324/9781315514857-5" TargetMode="External" /></Relationships>
</file>

<file path=word/_rels/footnotes.xml.rels><?xml version="1.0" encoding="UTF-8"?><Relationships xmlns="http://schemas.openxmlformats.org/package/2006/relationships"><Relationship Type="http://schemas.openxmlformats.org/officeDocument/2006/relationships/hyperlink" Id="rId75" Target="http://CRAN.R-project.org/package=lme4" TargetMode="External" /><Relationship Type="http://schemas.openxmlformats.org/officeDocument/2006/relationships/hyperlink" Id="rId123" Target="http://dx.doi.org/10.3758/BF03207536" TargetMode="External" /><Relationship Type="http://schemas.openxmlformats.org/officeDocument/2006/relationships/hyperlink" Id="rId134" Target="http://www.jstor.org/stable/522229" TargetMode="External" /><Relationship Type="http://schemas.openxmlformats.org/officeDocument/2006/relationships/hyperlink" Id="rId99" Target="https://doi.org/10.1002/wcs.1543" TargetMode="External" /><Relationship Type="http://schemas.openxmlformats.org/officeDocument/2006/relationships/hyperlink" Id="rId151" Target="https://doi.org/10.1016/j.wocn.2011.10.002" TargetMode="External" /><Relationship Type="http://schemas.openxmlformats.org/officeDocument/2006/relationships/hyperlink" Id="rId103" Target="https://doi.org/10.1016/s0010-0277(00)00123-2" TargetMode="External" /><Relationship Type="http://schemas.openxmlformats.org/officeDocument/2006/relationships/hyperlink" Id="rId95" Target="https://doi.org/10.1037/xlm0000137" TargetMode="External" /><Relationship Type="http://schemas.openxmlformats.org/officeDocument/2006/relationships/hyperlink" Id="rId174" Target="https://doi.org/10.1093/oxfordhb/9780199600472.001.0001" TargetMode="External" /><Relationship Type="http://schemas.openxmlformats.org/officeDocument/2006/relationships/hyperlink" Id="rId80" Target="https://doi.org/10.1121/1.5101933" TargetMode="External" /><Relationship Type="http://schemas.openxmlformats.org/officeDocument/2006/relationships/hyperlink" Id="rId145" Target="https://doi.org/10.1177/0075424214531487" TargetMode="External" /><Relationship Type="http://schemas.openxmlformats.org/officeDocument/2006/relationships/hyperlink" Id="rId141" Target="https://doi.org/10.1371/journal.pone.0130834" TargetMode="External" /><Relationship Type="http://schemas.openxmlformats.org/officeDocument/2006/relationships/hyperlink" Id="rId143" Target="https://doi.org/10.3109/13682826809011440" TargetMode="External" /><Relationship Type="http://schemas.openxmlformats.org/officeDocument/2006/relationships/hyperlink" Id="rId121" Target="https://doi.org/10.3389/fpsyg.2015.00500" TargetMode="External" /><Relationship Type="http://schemas.openxmlformats.org/officeDocument/2006/relationships/hyperlink" Id="rId181"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91" Target="https://doi.org/10.4324/9781315514857-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2024-12-12T19:09:41Z</dcterms:created>
  <dcterms:modified xsi:type="dcterms:W3CDTF">2024-12-12T19:09:41Z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2024-12-12</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