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1.png" ContentType="image/png"/>
  <Override PartName="/word/media/rId61.png" ContentType="image/png"/>
  <Override PartName="/word/media/rId56.png" ContentType="image/png"/>
  <Override PartName="/word/media/rId34.jpg" ContentType="image/jpe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Kevin B. McGowan</w:t>
      </w:r>
    </w:p>
    <w:p>
      <w:pPr>
        <w:pStyle w:val="Date"/>
      </w:pPr>
      <w:r>
        <w:t xml:space="preserve">2025-04-13</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1999; Strand &amp; Johnson, 1996)</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6" w:name="sec-intro"/>
    <w:p>
      <w:pPr>
        <w:pStyle w:val="Heading1"/>
      </w:pPr>
      <w:r>
        <w:t xml:space="preserve">Introduction</w:t>
      </w:r>
    </w:p>
    <w:p>
      <w:pPr>
        <w:pStyle w:val="FirstParagraph"/>
      </w:pPr>
      <w:r>
        <w:t xml:space="preserve">It is well established that social information can influence how listeners perceive</w:t>
      </w:r>
      <w:r>
        <w:t xml:space="preserve"> </w:t>
      </w:r>
      <w:r>
        <w:t xml:space="preserve">(Foulkes &amp; Docherty, 2006)</w:t>
      </w:r>
      <w:r>
        <w:t xml:space="preserve">, retrieve</w:t>
      </w:r>
      <w:r>
        <w:t xml:space="preserve"> </w:t>
      </w:r>
      <w:r>
        <w:t xml:space="preserve">(Walker &amp; Hay, 2011)</w:t>
      </w:r>
      <w:r>
        <w:t xml:space="preserve">, and even remember</w:t>
      </w:r>
      <w:r>
        <w:t xml:space="preserve"> </w:t>
      </w:r>
      <w:r>
        <w:t xml:space="preserve">(Nygaard et al., 1994)</w:t>
      </w:r>
      <w:r>
        <w:t xml:space="preserve"> </w:t>
      </w:r>
      <w:r>
        <w:t xml:space="preserve">the linguistic aspect of the speech signal. There is also abundant, converging evidence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(Bucholtz &amp; Hall, 2016; Hall et al., 2021; Podesva &amp; Kajino, 2014;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&amp; Munson, 2012a; Pharao et al., 2014; Strand, 1999)</w:t>
      </w:r>
      <w:r>
        <w:t xml:space="preserve">. To investigate the role of awareness in sociophonetic perception, this paper reports an audiovisual matched guise experiment, modeled on</w:t>
      </w:r>
      <w:r>
        <w:t xml:space="preserve"> </w:t>
      </w:r>
      <w:r>
        <w:t xml:space="preserve">Strand &amp;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2025)</w:t>
      </w:r>
      <w:r>
        <w:t xml:space="preserve">. It is our hope that one key contribution of this paper will be to build on the general framing provided by (Babel, Campbell-Kibler, and McGowan, this issue) and to bridge gaps between research in segmental speech perception and research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2025; Bakhtin, 1981; D’Onofrio, 2021)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&amp;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puberty, can do precisely this</w:t>
      </w:r>
      <w:r>
        <w:t xml:space="preserve"> </w:t>
      </w:r>
      <w:r>
        <w:t xml:space="preserve">(Perry et al.,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&amp; Docherty, 2006, p. 411)</w:t>
      </w:r>
      <w:r>
        <w:t xml:space="preserve">; but this cue is neither necessary nor sufficient for the production and perception of gender identity</w:t>
      </w:r>
      <w:r>
        <w:t xml:space="preserve"> </w:t>
      </w:r>
      <w:r>
        <w:t xml:space="preserve">(Johnson, 2005; Zimman, 2017)</w:t>
      </w:r>
      <w:r>
        <w:t xml:space="preserve">.</w:t>
      </w:r>
    </w:p>
    <w:p>
      <w:pPr>
        <w:pStyle w:val="BodyText"/>
      </w:pPr>
      <w:r>
        <w:t xml:space="preserve">In perception, the concept of control is less intuitive. We stipulate that the ability to link a social label to its phonetic reflexes is just as clearly a task for the listener as it is for the speaker</w:t>
      </w:r>
      <w:r>
        <w:t xml:space="preserve"> </w:t>
      </w:r>
      <w:r>
        <w:t xml:space="preserve">(Babel, 2025; D’Onofrio, 2021)</w:t>
      </w:r>
      <w:r>
        <w:t xml:space="preserve">. For social meaning making to occur in interaction</w:t>
      </w:r>
      <w:r>
        <w:t xml:space="preserve"> </w:t>
      </w:r>
      <w:r>
        <w:t xml:space="preserve">(Sharma, 2025)</w:t>
      </w:r>
      <w:r>
        <w:t xml:space="preserve">, a listener must be able to control, to link, the auditory cues of a performed gender identity to the cognitive representation of that identity just as much as a speaker must be capable of the gestural control required to implement the phonetics. None of this control requires introspective awareness as perception and attention are both possible without awareness</w:t>
      </w:r>
      <w:r>
        <w:t xml:space="preserve"> </w:t>
      </w:r>
      <w:r>
        <w:t xml:space="preserve">(Craik et al., 2015; Dehaene &amp; Naccache, 2001; Prinz, 2015)</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rPr>
          <w:i/>
          <w:iCs/>
        </w:rPr>
        <w:t xml:space="preserve">perception</w:t>
      </w:r>
      <w:r>
        <w:t xml:space="preserve"> </w:t>
      </w:r>
      <w:r>
        <w:t xml:space="preserve">(Drager &amp; Kirtley, 2016a; McGowan &amp; Babel, 2020)</w:t>
      </w:r>
      <w:r>
        <w:t xml:space="preserve">.</w:t>
      </w:r>
    </w:p>
    <w:p>
      <w:pPr>
        <w:pStyle w:val="BodyText"/>
      </w:pPr>
      <w:r>
        <w:t xml:space="preserve">Within phonetics and psycholinguistics, speech perception is construed as the processing of sensory input</w:t>
      </w:r>
      <w:r>
        <w:t xml:space="preserve"> </w:t>
      </w:r>
      <w:r>
        <w:t xml:space="preserve">(cf. Evans, 2008, pp.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&amp; Marslen-Wilson, 2002; Goldinger, 1998)</w:t>
      </w:r>
      <w:r>
        <w:t xml:space="preserve">. Perception, thus construed, is typically assumed to be automatic and to occur largely below the level of conscious awareness</w:t>
      </w:r>
      <w:r>
        <w:t xml:space="preserve"> </w:t>
      </w:r>
      <w:r>
        <w:t xml:space="preserve">(Joos, 1948, p.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p. 40)</w:t>
      </w:r>
      <w:r>
        <w:t xml:space="preserve">, perceptual weighting of acoustic cues (p. 174), and phoneme restoration</w:t>
      </w:r>
      <w:r>
        <w:t xml:space="preserve"> </w:t>
      </w:r>
      <w:r>
        <w:t xml:space="preserve">(Ganong, 1980, p. 1)</w:t>
      </w:r>
      <w:r>
        <w:t xml:space="preserve">.</w:t>
      </w:r>
    </w:p>
    <w:p>
      <w:pPr>
        <w:pStyle w:val="BodyText"/>
      </w:pPr>
      <w:r>
        <w:t xml:space="preserve">The other meaning of speech perception in common use describes a higher-level, sometimes implicit, evaluative judgement of talkers and voices</w:t>
      </w:r>
      <w:r>
        <w:t xml:space="preserve"> </w:t>
      </w:r>
      <w:r>
        <w:t xml:space="preserve">(cf. Evans, 2008, pp. ‘type 2’ processing)</w:t>
      </w:r>
      <w:r>
        <w:t xml:space="preserve">. This is the meaning of perception employed in folk linguistics</w:t>
      </w:r>
      <w:r>
        <w:t xml:space="preserve"> </w:t>
      </w:r>
      <w:r>
        <w:t xml:space="preserve">(Niedzielski &amp;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&amp; Babel (2020)</w:t>
      </w:r>
      <w:r>
        <w:t xml:space="preserve">, for example, found that listeners’ performance on a vowel discrimination task and subsequent commentaries on the voices in that task sometimes agreed but more typically diverged. Furthermore, when they diverged, segmental perception tracked vowel categories established by the listeners’ previous experience with the voice, but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2025)</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vowel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This recurring disjunction in listeners’ implicit and explicit responses, even within a speaker evaluation paradigm, points to what</w:t>
      </w:r>
      <w:r>
        <w:t xml:space="preserve"> </w:t>
      </w:r>
      <w:r>
        <w:t xml:space="preserve">Kristiansen (2009, p.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(2025)</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anticipated socioindexical vocal properties.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bookmarkEnd w:id="21"/>
    <w:bookmarkStart w:id="22" w:name="sec-mgt"/>
    <w:p>
      <w:pPr>
        <w:pStyle w:val="Heading2"/>
      </w:pPr>
      <w:r>
        <w:t xml:space="preserve">Matched Guise: Perception, Evaluation, and Awareness</w:t>
      </w:r>
    </w:p>
    <w:p>
      <w:pPr>
        <w:pStyle w:val="FirstParagraph"/>
      </w:pPr>
      <w:r>
        <w:t xml:space="preserve">Originally, the MGT used the same talkers across guises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(Lambert et al., 1960; 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p. 44)</w:t>
      </w:r>
      <w:r>
        <w:t xml:space="preserve">.</w:t>
      </w:r>
      <w:r>
        <w:t xml:space="preserve"> </w:t>
      </w:r>
      <w:r>
        <w:t xml:space="preserve">Pharao &amp; Kristiansen (2019, p. 2)</w:t>
      </w:r>
      <w:r>
        <w:t xml:space="preserve"> </w:t>
      </w:r>
      <w:r>
        <w:t xml:space="preserve">note that researchers, across both psychology of language and sociolinguistic traditions, go to great lengths to ensure this lack of awareness.</w:t>
      </w:r>
    </w:p>
    <w:p>
      <w:pPr>
        <w:pStyle w:val="BodyText"/>
      </w:pPr>
      <w:r>
        <w:t xml:space="preserve">Matched Guise studies do not always employ the same talker across guises, but this too appears to be motivated by awareness and control.</w:t>
      </w:r>
      <w:r>
        <w:t xml:space="preserve"> </w:t>
      </w:r>
      <w:r>
        <w:t xml:space="preserve">Milroy &amp;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 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Implicit here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2025; Clopper &amp; Pisoni, 2004)</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&amp;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(Chan, 2021; Hadodo, 2025)</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Hay, Warren, et al., 2006; McGowan, 2015)</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&amp;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&amp;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(Eckert, 2012; Ohala, 1994)</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&amp;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(Munson, 2011; Strand &amp; Johnson, 1996)</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&amp;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&amp;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&amp; miles-hercules, 2021, p.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&amp; Podesva, 2021)</w:t>
      </w:r>
      <w:r>
        <w:t xml:space="preserve">. Listeners can only make use of phonetic variation if it is indexed for them in experience or ideology</w:t>
      </w:r>
      <w:r>
        <w:t xml:space="preserve"> </w:t>
      </w:r>
      <w:r>
        <w:t xml:space="preserve">(Barrett &amp; Hall, 2024; Drager, 2010)</w:t>
      </w:r>
      <w:r>
        <w:t xml:space="preserve">. The creation and use of stimuli that are controlled by a large group of listeners maximizes the probability that a perception experiment will find an interpretable result.</w:t>
      </w:r>
    </w:p>
    <w:p>
      <w:pPr>
        <w:pStyle w:val="BodyText"/>
      </w:pPr>
      <w:r>
        <w:t xml:space="preserve">However,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must also adopt masculinizing alternations to their speech gestures if their goal is to produce a masculine-sounding voice</w:t>
      </w:r>
      <w:r>
        <w:t xml:space="preserve"> </w:t>
      </w:r>
      <w:r>
        <w:t xml:space="preserve">(Zimman, 2018)</w:t>
      </w:r>
      <w:r>
        <w:t xml:space="preserve">. Gender is more likely the product of, rather than an explanation for, linguistic variation</w:t>
      </w:r>
      <w:r>
        <w:t xml:space="preserve"> </w:t>
      </w:r>
      <w:r>
        <w:t xml:space="preserve">(Eckert &amp; Podesva, 2021)</w:t>
      </w:r>
      <w:r>
        <w:t xml:space="preserve">.</w:t>
      </w:r>
    </w:p>
    <w:p>
      <w:pPr>
        <w:pStyle w:val="BodyText"/>
      </w:pPr>
      <w:r>
        <w:t xml:space="preserve">Vowels, for example, in both their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(Alpert, 2014; Käng, 2013)</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bookmarkEnd w:id="24"/>
    <w:bookmarkStart w:id="25" w:name="the-present-study"/>
    <w:p>
      <w:pPr>
        <w:pStyle w:val="Heading2"/>
      </w:pPr>
      <w:r>
        <w:t xml:space="preserve">The present study</w:t>
      </w:r>
    </w:p>
    <w:p>
      <w:pPr>
        <w:pStyle w:val="FirstParagraph"/>
      </w:pPr>
      <w:r>
        <w:t xml:space="preserve">Here we take advantage of the sociophonetic trading relation between listeners’ gender and fricative categories to explore the role of awareness and control in socioindexical speech perception. We report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&amp;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(Stecker &amp; D’Onofrio, 2025; Tripp &amp; Munson, 2022)</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w:t>
      </w:r>
    </w:p>
    <w:p>
      <w:pPr>
        <w:pStyle w:val="BodyText"/>
      </w:pPr>
      <w:r>
        <w:t xml:space="preserve">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w:t>
      </w:r>
      <w:r>
        <w:t xml:space="preserve"> </w:t>
      </w:r>
    </w:p>
    <w:bookmarkEnd w:id="25"/>
    <w:bookmarkEnd w:id="26"/>
    <w:bookmarkStart w:id="42" w:name="sec-method"/>
    <w:p>
      <w:pPr>
        <w:pStyle w:val="Heading1"/>
      </w:pPr>
      <w:r>
        <w:t xml:space="preserve">Method</w:t>
      </w:r>
    </w:p>
    <w:bookmarkStart w:id="27"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7"/>
    <w:bookmarkStart w:id="33" w:name="sec-stimuli"/>
    <w:p>
      <w:pPr>
        <w:pStyle w:val="Heading2"/>
      </w:pPr>
      <w:r>
        <w:t xml:space="preserve">Stimulus Materials</w:t>
      </w:r>
    </w:p>
    <w:bookmarkStart w:id="32"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&amp;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VC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1" w:name="fig-stimuli"/>
          <w:p>
            <w:pPr>
              <w:pStyle w:val="Compact"/>
              <w:jc w:val="center"/>
            </w:pPr>
            <w:r>
              <w:drawing>
                <wp:inline>
                  <wp:extent cx="4754880" cy="3511736"/>
                  <wp:effectExtent b="0" l="0" r="0" t="0"/>
                  <wp:docPr descr="" title="" id="29" name="Picture"/>
                  <a:graphic>
                    <a:graphicData uri="http://schemas.openxmlformats.org/drawingml/2006/picture">
                      <pic:pic>
                        <pic:nvPicPr>
                          <pic:cNvPr descr="images/figure1.png" id="30" name="Picture"/>
                          <pic:cNvPicPr>
                            <a:picLocks noChangeArrowheads="1" noChangeAspect="1"/>
                          </pic:cNvPicPr>
                        </pic:nvPicPr>
                        <pic:blipFill>
                          <a:blip r:embed="rId28"/>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1"/>
        </w:tc>
      </w:tr>
    </w:tbl>
    <w:bookmarkEnd w:id="32"/>
    <w:bookmarkEnd w:id="33"/>
    <w:bookmarkStart w:id="39"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8"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et al.,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7" w:name="fig-visual"/>
          <w:p>
            <w:pPr>
              <w:pStyle w:val="Compact"/>
              <w:jc w:val="center"/>
            </w:pPr>
            <w:r>
              <w:drawing>
                <wp:inline>
                  <wp:extent cx="4754880" cy="4754880"/>
                  <wp:effectExtent b="0" l="0" r="0" t="0"/>
                  <wp:docPr descr="" title="" id="35" name="Picture"/>
                  <a:graphic>
                    <a:graphicData uri="http://schemas.openxmlformats.org/drawingml/2006/picture">
                      <pic:pic>
                        <pic:nvPicPr>
                          <pic:cNvPr descr="images/facesanddrawings.jpg" id="36" name="Picture"/>
                          <pic:cNvPicPr>
                            <a:picLocks noChangeArrowheads="1" noChangeAspect="1"/>
                          </pic:cNvPicPr>
                        </pic:nvPicPr>
                        <pic:blipFill>
                          <a:blip r:embed="rId34"/>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gender-protypical</w:t>
            </w:r>
            <w:r>
              <w:t xml:space="preserve"> </w:t>
            </w:r>
            <w:r>
              <w:t xml:space="preserve">‘male’</w:t>
            </w:r>
            <w:r>
              <w:t xml:space="preserve"> </w:t>
            </w:r>
            <w:r>
              <w:t xml:space="preserve">and</w:t>
            </w:r>
            <w:r>
              <w:t xml:space="preserve"> </w:t>
            </w:r>
            <w:r>
              <w:t xml:space="preserve">‘female’</w:t>
            </w:r>
            <w:r>
              <w:t xml:space="preserve"> </w:t>
            </w:r>
            <w:r>
              <w:t xml:space="preserve">faces (bottom)</w:t>
            </w:r>
          </w:p>
          <w:bookmarkEnd w:id="37"/>
        </w:tc>
      </w:tr>
    </w:tbl>
    <w:bookmarkEnd w:id="38"/>
    <w:bookmarkEnd w:id="39"/>
    <w:bookmarkStart w:id="41" w:name="sec-procedure"/>
    <w:p>
      <w:pPr>
        <w:pStyle w:val="Heading2"/>
      </w:pPr>
      <w:r>
        <w:t xml:space="preserve">Procedure</w:t>
      </w:r>
    </w:p>
    <w:p>
      <w:pPr>
        <w:pStyle w:val="FirstParagraph"/>
      </w:pPr>
      <w:r>
        <w:t xml:space="preserve">The experiment was created in OpenSesame v3.3</w:t>
      </w:r>
      <w:r>
        <w:t xml:space="preserve"> </w:t>
      </w:r>
      <w:r>
        <w:t xml:space="preserve">(Mathôt et al.,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et al.,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w:t>
      </w:r>
      <w:r>
        <w:t xml:space="preserve"> </w:t>
      </w:r>
      <w:r>
        <w:t xml:space="preserve">(McGowan, 2015)</w:t>
      </w:r>
      <w:r>
        <w:rPr>
          <w:rStyle w:val="FootnoteReference"/>
        </w:rPr>
        <w:footnoteReference w:id="40"/>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1"/>
    <w:bookmarkEnd w:id="42"/>
    <w:bookmarkStart w:id="46" w:name="sec-predictions"/>
    <w:p>
      <w:pPr>
        <w:pStyle w:val="Heading1"/>
      </w:pPr>
      <w:r>
        <w:t xml:space="preserve">Predicted Results</w:t>
      </w:r>
    </w:p>
    <w:bookmarkStart w:id="43"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3"/>
    <w:bookmarkStart w:id="44"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et al.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et al., 1999, p.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et al.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p.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4"/>
    <w:bookmarkStart w:id="45"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5"/>
    <w:bookmarkEnd w:id="46"/>
    <w:bookmarkStart w:id="66"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5"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50" w:name="fig-scurve"/>
          <w:p>
            <w:pPr>
              <w:pStyle w:val="Compact"/>
              <w:jc w:val="center"/>
            </w:pPr>
            <w:r>
              <w:drawing>
                <wp:inline>
                  <wp:extent cx="4754880" cy="2937285"/>
                  <wp:effectExtent b="0" l="0" r="0" t="0"/>
                  <wp:docPr descr="" title="" id="48" name="Picture"/>
                  <a:graphic>
                    <a:graphicData uri="http://schemas.openxmlformats.org/drawingml/2006/picture">
                      <pic:pic>
                        <pic:nvPicPr>
                          <pic:cNvPr descr="images/Scurve.png" id="49" name="Picture"/>
                          <pic:cNvPicPr>
                            <a:picLocks noChangeArrowheads="1" noChangeAspect="1"/>
                          </pic:cNvPicPr>
                        </pic:nvPicPr>
                        <pic:blipFill>
                          <a:blip r:embed="rId47"/>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onset continuum steps and purported gender of the face.</w:t>
            </w:r>
          </w:p>
          <w:bookmarkEnd w:id="50"/>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VC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4" w:name="fig-rimes"/>
          <w:p>
            <w:pPr>
              <w:pStyle w:val="Compact"/>
              <w:jc w:val="center"/>
            </w:pPr>
            <w:r>
              <w:drawing>
                <wp:inline>
                  <wp:extent cx="4754880" cy="2937285"/>
                  <wp:effectExtent b="0" l="0" r="0" t="0"/>
                  <wp:docPr descr="" title="" id="52" name="Picture"/>
                  <a:graphic>
                    <a:graphicData uri="http://schemas.openxmlformats.org/drawingml/2006/picture">
                      <pic:pic>
                        <pic:nvPicPr>
                          <pic:cNvPr descr="images/ambiguous-by-rime-step.png" id="53" name="Picture"/>
                          <pic:cNvPicPr>
                            <a:picLocks noChangeArrowheads="1" noChangeAspect="1"/>
                          </pic:cNvPicPr>
                        </pic:nvPicPr>
                        <pic:blipFill>
                          <a:blip r:embed="rId51"/>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to ambiguous fricative trials</w:t>
            </w:r>
            <w:r>
              <w:t xml:space="preserve"> </w:t>
            </w:r>
            <w:r>
              <w:t xml:space="preserve">plotted as a function of VC rime continuum steps and gender of</w:t>
            </w:r>
            <w:r>
              <w:t xml:space="preserve"> </w:t>
            </w:r>
            <w:r>
              <w:t xml:space="preserve">stimulus talker.</w:t>
            </w:r>
          </w:p>
          <w:bookmarkEnd w:id="54"/>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5"/>
    <w:bookmarkStart w:id="60"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et al.,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9" w:name="fig-coefs"/>
          <w:p>
            <w:pPr>
              <w:pStyle w:val="Compact"/>
              <w:jc w:val="center"/>
            </w:pPr>
            <w:r>
              <w:drawing>
                <wp:inline>
                  <wp:extent cx="4754880" cy="3169919"/>
                  <wp:effectExtent b="0" l="0" r="0" t="0"/>
                  <wp:docPr descr="" title="" id="57" name="Picture"/>
                  <a:graphic>
                    <a:graphicData uri="http://schemas.openxmlformats.org/drawingml/2006/picture">
                      <pic:pic>
                        <pic:nvPicPr>
                          <pic:cNvPr descr="images/coefs_instruction.png" id="58" name="Picture"/>
                          <pic:cNvPicPr>
                            <a:picLocks noChangeArrowheads="1" noChangeAspect="1"/>
                          </pic:cNvPicPr>
                        </pic:nvPicPr>
                        <pic:blipFill>
                          <a:blip r:embed="rId56"/>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responses in the</w:t>
            </w:r>
            <w:r>
              <w:t xml:space="preserve"> </w:t>
            </w:r>
            <w:r>
              <w:t xml:space="preserve">Congruous (black) and Incongruous (gray) logistic regression models</w:t>
            </w:r>
            <w:r>
              <w:t xml:space="preserve"> </w:t>
            </w:r>
            <w:r>
              <w:t xml:space="preserve">plotted with 95% confidence intervals.</w:t>
            </w:r>
          </w:p>
          <w:bookmarkEnd w:id="59"/>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60"/>
    <w:bookmarkStart w:id="65"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et al.,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coefs-logRT"/>
          <w:p>
            <w:pPr>
              <w:pStyle w:val="Compact"/>
              <w:jc w:val="center"/>
            </w:pPr>
            <w:r>
              <w:drawing>
                <wp:inline>
                  <wp:extent cx="4754880" cy="3169919"/>
                  <wp:effectExtent b="0" l="0" r="0" t="0"/>
                  <wp:docPr descr="" title="" id="62" name="Picture"/>
                  <a:graphic>
                    <a:graphicData uri="http://schemas.openxmlformats.org/drawingml/2006/picture">
                      <pic:pic>
                        <pic:nvPicPr>
                          <pic:cNvPr descr="images/coefs-logRT_instructions.png" id="63" name="Picture"/>
                          <pic:cNvPicPr>
                            <a:picLocks noChangeArrowheads="1" noChangeAspect="1"/>
                          </pic:cNvPicPr>
                        </pic:nvPicPr>
                        <pic:blipFill>
                          <a:blip r:embed="rId61"/>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Congruous (black) and Incongruous (gray) linear regression</w:t>
            </w:r>
            <w:r>
              <w:t xml:space="preserve"> </w:t>
            </w:r>
            <w:r>
              <w:t xml:space="preserve">models plotted with 95% confidence intervals.</w:t>
            </w:r>
          </w:p>
          <w:bookmarkEnd w:id="64"/>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5"/>
    <w:bookmarkEnd w:id="66"/>
    <w:bookmarkStart w:id="67"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&amp;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&amp;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&amp;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(Hay, Nolan, et al., 2006; Hay &amp; Drager, 2010; Niedzielski, 1999)</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&amp;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&amp;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et al.,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7"/>
    <w:bookmarkStart w:id="68" w:name="conclusion"/>
    <w:p>
      <w:pPr>
        <w:pStyle w:val="Heading1"/>
      </w:pPr>
      <w:r>
        <w:t xml:space="preserve">Conclusion</w:t>
      </w:r>
    </w:p>
    <w:p>
      <w:pPr>
        <w:pStyle w:val="FirstParagraph"/>
      </w:pPr>
      <w:r>
        <w:t xml:space="preserve">Decades of research since the original findings of</w:t>
      </w:r>
      <w:r>
        <w:t xml:space="preserve"> </w:t>
      </w:r>
      <w:r>
        <w:t xml:space="preserve">Strand &amp;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&amp;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et al.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2025)</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p.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8"/>
    <w:bookmarkStart w:id="192" w:name="sec-references"/>
    <w:p>
      <w:pPr>
        <w:pStyle w:val="Heading1"/>
      </w:pPr>
      <w:r>
        <w:t xml:space="preserve">References</w:t>
      </w:r>
    </w:p>
    <w:bookmarkStart w:id="191" w:name="refs"/>
    <w:bookmarkStart w:id="69" w:name="ref-alpert2014"/>
    <w:p>
      <w:pPr>
        <w:pStyle w:val="Bibliography"/>
      </w:pPr>
      <w:r>
        <w:t xml:space="preserve">Alpert, E. R. (2014).</w:t>
      </w:r>
      <w:r>
        <w:t xml:space="preserve"> </w:t>
      </w:r>
      <w:r>
        <w:rPr>
          <w:i/>
          <w:iCs/>
        </w:rPr>
        <w:t xml:space="preserve">Language, gender, and ideology in japanese professional matchmaking.</w:t>
      </w:r>
      <w:r>
        <w:t xml:space="preserve"> </w:t>
      </w:r>
      <w:r>
        <w:t xml:space="preserve">[PhD thesis]. University of Michigan, Department of Anthropology.</w:t>
      </w:r>
    </w:p>
    <w:bookmarkEnd w:id="69"/>
    <w:bookmarkStart w:id="70" w:name="ref-BabelIssue"/>
    <w:p>
      <w:pPr>
        <w:pStyle w:val="Bibliography"/>
      </w:pPr>
      <w:r>
        <w:t xml:space="preserve">Babel, A. M. (2025). A semiotic approach to awareness and control.</w:t>
      </w:r>
      <w:r>
        <w:t xml:space="preserve"> </w:t>
      </w:r>
      <w:r>
        <w:rPr>
          <w:i/>
          <w:iCs/>
        </w:rPr>
        <w:t xml:space="preserve">Journal of Sociolinguistics</w:t>
      </w:r>
      <w:r>
        <w:t xml:space="preserve">,</w:t>
      </w:r>
      <w:r>
        <w:t xml:space="preserve"> </w:t>
      </w:r>
      <w:r>
        <w:rPr>
          <w:i/>
          <w:iCs/>
        </w:rPr>
        <w:t xml:space="preserve">29</w:t>
      </w:r>
      <w:r>
        <w:t xml:space="preserve">(1).</w:t>
      </w:r>
    </w:p>
    <w:bookmarkEnd w:id="70"/>
    <w:bookmarkStart w:id="71" w:name="ref-bakhtin1981"/>
    <w:p>
      <w:pPr>
        <w:pStyle w:val="Bibliography"/>
      </w:pPr>
      <w:r>
        <w:t xml:space="preserve">Bakhtin, M. M.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 (2014). The emergence of the unmarked. In L. Zimman, J. Davis, &amp; J. Raclaw (Eds.),</w:t>
      </w:r>
      <w:r>
        <w:t xml:space="preserve"> </w:t>
      </w:r>
      <w:r>
        <w:rPr>
          <w:i/>
          <w:iCs/>
        </w:rPr>
        <w:t xml:space="preserve">Queer excursions: Retheorizing binaries in language, gender, and sexuality</w:t>
      </w:r>
      <w:r>
        <w:t xml:space="preserve"> </w:t>
      </w:r>
      <w:r>
        <w:t xml:space="preserve">(pp. 195–223). Oxford University Press.</w:t>
      </w:r>
    </w:p>
    <w:bookmarkEnd w:id="72"/>
    <w:bookmarkStart w:id="73" w:name="ref-barrett2017"/>
    <w:p>
      <w:pPr>
        <w:pStyle w:val="Bibliography"/>
      </w:pPr>
      <w:r>
        <w:t xml:space="preserve">Barrett, R.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 &amp; Hall, K. (2024). Sexuality discourses: Indexical misrecognition and the politics of sex.</w:t>
      </w:r>
      <w:r>
        <w:t xml:space="preserve"> </w:t>
      </w:r>
      <w:r>
        <w:rPr>
          <w:i/>
          <w:iCs/>
        </w:rPr>
        <w:t xml:space="preserve">Annual Review of Anthropology</w:t>
      </w:r>
      <w:r>
        <w:t xml:space="preserve">,</w:t>
      </w:r>
      <w:r>
        <w:t xml:space="preserve"> </w:t>
      </w:r>
      <w:r>
        <w:rPr>
          <w:i/>
          <w:iCs/>
        </w:rPr>
        <w:t xml:space="preserve">53</w:t>
      </w:r>
      <w:r>
        <w:t xml:space="preserve">.</w:t>
      </w:r>
    </w:p>
    <w:bookmarkEnd w:id="74"/>
    <w:bookmarkStart w:id="76" w:name="ref-lme4"/>
    <w:p>
      <w:pPr>
        <w:pStyle w:val="Bibliography"/>
      </w:pPr>
      <w:r>
        <w:t xml:space="preserve">Bates, D., Maechler, M., &amp; Bolker, B.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p>
    <w:bookmarkEnd w:id="76"/>
    <w:bookmarkStart w:id="77" w:name="ref-Beddor2009"/>
    <w:p>
      <w:pPr>
        <w:pStyle w:val="Bibliography"/>
      </w:pPr>
      <w:r>
        <w:t xml:space="preserve">Beddor, P. S. (2009). A coarticulatory path to sound change.</w:t>
      </w:r>
      <w:r>
        <w:t xml:space="preserve"> </w:t>
      </w:r>
      <w:r>
        <w:rPr>
          <w:i/>
          <w:iCs/>
        </w:rPr>
        <w:t xml:space="preserve">Language</w:t>
      </w:r>
      <w:r>
        <w:t xml:space="preserve">,</w:t>
      </w:r>
      <w:r>
        <w:t xml:space="preserve"> </w:t>
      </w:r>
      <w:r>
        <w:rPr>
          <w:i/>
          <w:iCs/>
        </w:rPr>
        <w:t xml:space="preserve">85</w:t>
      </w:r>
      <w:r>
        <w:t xml:space="preserve">(4), 785–821.</w:t>
      </w:r>
    </w:p>
    <w:bookmarkEnd w:id="77"/>
    <w:bookmarkStart w:id="78" w:name="ref-Bender2005"/>
    <w:p>
      <w:pPr>
        <w:pStyle w:val="Bibliography"/>
      </w:pPr>
      <w:r>
        <w:t xml:space="preserve">Bender, E. M. (2005). On the boundaries of linguistic competence: Matched-guise experiments as evidence of knowledge of grammar.</w:t>
      </w:r>
      <w:r>
        <w:t xml:space="preserve"> </w:t>
      </w:r>
      <w:r>
        <w:rPr>
          <w:i/>
          <w:iCs/>
        </w:rPr>
        <w:t xml:space="preserve">Lingua</w:t>
      </w:r>
      <w:r>
        <w:t xml:space="preserve">,</w:t>
      </w:r>
      <w:r>
        <w:t xml:space="preserve"> </w:t>
      </w:r>
      <w:r>
        <w:rPr>
          <w:i/>
          <w:iCs/>
        </w:rPr>
        <w:t xml:space="preserve">115</w:t>
      </w:r>
      <w:r>
        <w:t xml:space="preserve">(11), 1579–1598.</w:t>
      </w:r>
    </w:p>
    <w:bookmarkEnd w:id="78"/>
    <w:bookmarkStart w:id="79" w:name="ref-praat2001"/>
    <w:p>
      <w:pPr>
        <w:pStyle w:val="Bibliography"/>
      </w:pPr>
      <w:r>
        <w:t xml:space="preserve">Boersma, P. (2001). 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341–345.</w:t>
      </w:r>
    </w:p>
    <w:bookmarkEnd w:id="79"/>
    <w:bookmarkStart w:id="81" w:name="ref-bouavichithEtAl2019"/>
    <w:p>
      <w:pPr>
        <w:pStyle w:val="Bibliography"/>
      </w:pPr>
      <w:r>
        <w:t xml:space="preserve">Bouavichith, D. A., Calloway, I. C., Craft, J. T., Hildebrandt, T., Tobin, S. J., &amp; Beddor, P. S. (2019). Bidirectional effects of priming in speech perception: Social-to-lexical and lexical-to-social.</w:t>
      </w:r>
      <w:r>
        <w:t xml:space="preserve"> </w:t>
      </w:r>
      <w:r>
        <w:rPr>
          <w:i/>
          <w:iCs/>
        </w:rPr>
        <w:t xml:space="preserve">The Journal of the Acoustical Society of America</w:t>
      </w:r>
      <w:r>
        <w:t xml:space="preserve">,</w:t>
      </w:r>
      <w:r>
        <w:t xml:space="preserve"> </w:t>
      </w:r>
      <w:r>
        <w:rPr>
          <w:i/>
          <w:iCs/>
        </w:rPr>
        <w:t xml:space="preserve">145</w:t>
      </w:r>
      <w:r>
        <w:t xml:space="preserve">.</w:t>
      </w:r>
      <w:r>
        <w:t xml:space="preserve"> </w:t>
      </w:r>
      <w:hyperlink r:id="rId80">
        <w:r>
          <w:rPr>
            <w:rStyle w:val="Hyperlink"/>
          </w:rPr>
          <w:t xml:space="preserve">https://doi.org/10.1121/1.5101933</w:t>
        </w:r>
      </w:hyperlink>
    </w:p>
    <w:bookmarkEnd w:id="81"/>
    <w:bookmarkStart w:id="82" w:name="ref-bucholtz2002"/>
    <w:p>
      <w:pPr>
        <w:pStyle w:val="Bibliography"/>
      </w:pPr>
      <w:r>
        <w:t xml:space="preserve">Bucholtz, M. (2002). 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w:t>
      </w:r>
      <w:r>
        <w:t xml:space="preserve"> </w:t>
      </w:r>
      <w:r>
        <w:rPr>
          <w:i/>
          <w:iCs/>
        </w:rPr>
        <w:t xml:space="preserve">8</w:t>
      </w:r>
      <w:r>
        <w:t xml:space="preserve">(3), 33–45.</w:t>
      </w:r>
    </w:p>
    <w:bookmarkEnd w:id="82"/>
    <w:bookmarkStart w:id="83" w:name="ref-bucholtzHall2016"/>
    <w:p>
      <w:pPr>
        <w:pStyle w:val="Bibliography"/>
      </w:pPr>
      <w:r>
        <w:t xml:space="preserve">Bucholtz, M., &amp; Hall, K. (2016). Embodied sociolinguistics.</w:t>
      </w:r>
      <w:r>
        <w:t xml:space="preserve"> </w:t>
      </w:r>
      <w:r>
        <w:rPr>
          <w:i/>
          <w:iCs/>
        </w:rPr>
        <w:t xml:space="preserve">Sociolinguistics: Theoretical Debates</w:t>
      </w:r>
      <w:r>
        <w:t xml:space="preserve">,</w:t>
      </w:r>
      <w:r>
        <w:t xml:space="preserve"> </w:t>
      </w:r>
      <w:r>
        <w:rPr>
          <w:i/>
          <w:iCs/>
        </w:rPr>
        <w:t xml:space="preserve">1</w:t>
      </w:r>
      <w:r>
        <w:t xml:space="preserve">(1), 173–200.</w:t>
      </w:r>
    </w:p>
    <w:bookmarkEnd w:id="83"/>
    <w:bookmarkStart w:id="84" w:name="ref-calder2018"/>
    <w:p>
      <w:pPr>
        <w:pStyle w:val="Bibliography"/>
      </w:pPr>
      <w:r>
        <w:t xml:space="preserve">Calder, J. (2018). From</w:t>
      </w:r>
      <w:r>
        <w:t xml:space="preserve"> </w:t>
      </w:r>
      <w:r>
        <w:t xml:space="preserve">“gay lisp”</w:t>
      </w:r>
      <w:r>
        <w:t xml:space="preserve"> </w:t>
      </w:r>
      <w:r>
        <w:t xml:space="preserve">to</w:t>
      </w:r>
      <w:r>
        <w:t xml:space="preserve"> </w:t>
      </w:r>
      <w:r>
        <w:t xml:space="preserve">“fierce queen”</w:t>
      </w:r>
      <w:r>
        <w:t xml:space="preserve">: The sociophonetics of sexuality’s most iconic variable. In K. Hall &amp; R. Barrett (Eds.),</w:t>
      </w:r>
      <w:r>
        <w:t xml:space="preserve"> </w:t>
      </w:r>
      <w:r>
        <w:rPr>
          <w:i/>
          <w:iCs/>
        </w:rPr>
        <w:t xml:space="preserve">The oxford handbook of language and sexuality</w:t>
      </w:r>
      <w:r>
        <w:t xml:space="preserve"> </w:t>
      </w:r>
      <w:r>
        <w:t xml:space="preserve">(pp. 1–23).</w:t>
      </w:r>
    </w:p>
    <w:bookmarkEnd w:id="84"/>
    <w:bookmarkStart w:id="85" w:name="ref-campbell-kibler2005"/>
    <w:p>
      <w:pPr>
        <w:pStyle w:val="Bibliography"/>
      </w:pPr>
      <w:r>
        <w:t xml:space="preserve">Campbell-Kibler, K. (2005).</w:t>
      </w:r>
      <w:r>
        <w:t xml:space="preserve"> </w:t>
      </w:r>
      <w:r>
        <w:rPr>
          <w:i/>
          <w:iCs/>
        </w:rP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Campbell-Kibler, K. (2007). Accent,(ING), and the social logic of listener perceptions.</w:t>
      </w:r>
      <w:r>
        <w:t xml:space="preserve"> </w:t>
      </w:r>
      <w:r>
        <w:rPr>
          <w:i/>
          <w:iCs/>
        </w:rPr>
        <w:t xml:space="preserve">American Speech</w:t>
      </w:r>
      <w:r>
        <w:t xml:space="preserve">,</w:t>
      </w:r>
      <w:r>
        <w:t xml:space="preserve"> </w:t>
      </w:r>
      <w:r>
        <w:rPr>
          <w:i/>
          <w:iCs/>
        </w:rPr>
        <w:t xml:space="preserve">82</w:t>
      </w:r>
      <w:r>
        <w:t xml:space="preserve">(1), 32–64.</w:t>
      </w:r>
    </w:p>
    <w:bookmarkEnd w:id="86"/>
    <w:bookmarkStart w:id="87" w:name="ref-campbell-kibler2012"/>
    <w:p>
      <w:pPr>
        <w:pStyle w:val="Bibliography"/>
      </w:pPr>
      <w:r>
        <w:t xml:space="preserve">Campbell-Kibler, K. (2012). The implicit association test and sociolinguistic meaning.</w:t>
      </w:r>
      <w:r>
        <w:t xml:space="preserve"> </w:t>
      </w:r>
      <w:r>
        <w:rPr>
          <w:i/>
          <w:iCs/>
        </w:rPr>
        <w:t xml:space="preserve">Lingua</w:t>
      </w:r>
      <w:r>
        <w:t xml:space="preserve">,</w:t>
      </w:r>
      <w:r>
        <w:t xml:space="preserve"> </w:t>
      </w:r>
      <w:r>
        <w:rPr>
          <w:i/>
          <w:iCs/>
        </w:rPr>
        <w:t xml:space="preserve">122</w:t>
      </w:r>
      <w:r>
        <w:t xml:space="preserve">(7), 753–763.</w:t>
      </w:r>
    </w:p>
    <w:bookmarkEnd w:id="87"/>
    <w:bookmarkStart w:id="88" w:name="ref-campbell-kibler2016"/>
    <w:p>
      <w:pPr>
        <w:pStyle w:val="Bibliography"/>
      </w:pPr>
      <w:r>
        <w:t xml:space="preserve">Campbell-Kibler, K. (2016). Toward a cognitively realistic model of meaningful sociolinguistic variation. In A. M. Babel (Ed.),</w:t>
      </w:r>
      <w:r>
        <w:t xml:space="preserve"> </w:t>
      </w:r>
      <w:r>
        <w:rPr>
          <w:i/>
          <w:iCs/>
        </w:rPr>
        <w:t xml:space="preserve">Awareness and control in sociolinguistic research</w:t>
      </w:r>
      <w:r>
        <w:t xml:space="preserve"> </w:t>
      </w:r>
      <w:r>
        <w:t xml:space="preserve">(pp. 123–151). Cambridge University Press Cambridge.</w:t>
      </w:r>
    </w:p>
    <w:bookmarkEnd w:id="88"/>
    <w:bookmarkStart w:id="89" w:name="ref-campbell-kibler2020"/>
    <w:p>
      <w:pPr>
        <w:pStyle w:val="Bibliography"/>
      </w:pPr>
      <w:r>
        <w:t xml:space="preserve">Campbell-Kibler, K. (2021). Deliberative control in audiovisual sociolinguistic perception.</w:t>
      </w:r>
      <w:r>
        <w:t xml:space="preserve"> </w:t>
      </w:r>
      <w:r>
        <w:rPr>
          <w:i/>
          <w:iCs/>
        </w:rPr>
        <w:t xml:space="preserve">Journal of Sociolinguistics</w:t>
      </w:r>
      <w:r>
        <w:t xml:space="preserve">,</w:t>
      </w:r>
      <w:r>
        <w:t xml:space="preserve"> </w:t>
      </w:r>
      <w:r>
        <w:rPr>
          <w:i/>
          <w:iCs/>
        </w:rPr>
        <w:t xml:space="preserve">25</w:t>
      </w:r>
      <w:r>
        <w:t xml:space="preserve">(2), 253–271.</w:t>
      </w:r>
    </w:p>
    <w:bookmarkEnd w:id="89"/>
    <w:bookmarkStart w:id="90" w:name="ref-campbell-kiblerIssue"/>
    <w:p>
      <w:pPr>
        <w:pStyle w:val="Bibliography"/>
      </w:pPr>
      <w:r>
        <w:t xml:space="preserve">Campbell-Kibler, K. (2025). Accentedness ratings do not predict sensitivity to regional variation in vowel quality.</w:t>
      </w:r>
      <w:r>
        <w:t xml:space="preserve"> </w:t>
      </w:r>
      <w:r>
        <w:rPr>
          <w:i/>
          <w:iCs/>
        </w:rPr>
        <w:t xml:space="preserve">Journal of Sociolinguistics</w:t>
      </w:r>
      <w:r>
        <w:t xml:space="preserve">,</w:t>
      </w:r>
      <w:r>
        <w:t xml:space="preserve"> </w:t>
      </w:r>
      <w:r>
        <w:rPr>
          <w:i/>
          <w:iCs/>
        </w:rPr>
        <w:t xml:space="preserve">29</w:t>
      </w:r>
      <w:r>
        <w:t xml:space="preserve">(1).</w:t>
      </w:r>
    </w:p>
    <w:bookmarkEnd w:id="90"/>
    <w:bookmarkStart w:id="92" w:name="ref-campbell-kibler-miles-hercules2021"/>
    <w:p>
      <w:pPr>
        <w:pStyle w:val="Bibliography"/>
      </w:pPr>
      <w:r>
        <w:t xml:space="preserve">Campbell-Kibler, K., &amp; miles-hercules, deandre. (2021). Perception of gender and sexuality. In J. Angouri &amp; J. Baxter (Eds.),</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w:t>
      </w:r>
      <w:r>
        <w:t xml:space="preserve">(1st ed., pp. 52–68). Routledge.</w:t>
      </w:r>
      <w:r>
        <w:t xml:space="preserve"> </w:t>
      </w:r>
      <w:hyperlink r:id="rId91">
        <w:r>
          <w:rPr>
            <w:rStyle w:val="Hyperlink"/>
          </w:rPr>
          <w:t xml:space="preserve">https://doi.org/10.4324/9781315514857-5</w:t>
        </w:r>
      </w:hyperlink>
    </w:p>
    <w:bookmarkEnd w:id="92"/>
    <w:bookmarkStart w:id="93" w:name="ref-chan2021"/>
    <w:p>
      <w:pPr>
        <w:pStyle w:val="Bibliography"/>
      </w:pPr>
      <w:r>
        <w:t xml:space="preserve">Chan, K. L. R. (2021). 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 G., &amp; Pisoni, D. B. (2004). Effects of talker variability on perceptual learning of dialects.</w:t>
      </w:r>
      <w:r>
        <w:t xml:space="preserve"> </w:t>
      </w:r>
      <w:r>
        <w:rPr>
          <w:i/>
          <w:iCs/>
        </w:rPr>
        <w:t xml:space="preserve">Language and Speech</w:t>
      </w:r>
      <w:r>
        <w:t xml:space="preserve">,</w:t>
      </w:r>
      <w:r>
        <w:t xml:space="preserve"> </w:t>
      </w:r>
      <w:r>
        <w:rPr>
          <w:i/>
          <w:iCs/>
        </w:rPr>
        <w:t xml:space="preserve">47</w:t>
      </w:r>
      <w:r>
        <w:t xml:space="preserve">(3), 207–238.</w:t>
      </w:r>
    </w:p>
    <w:bookmarkEnd w:id="94"/>
    <w:bookmarkStart w:id="96" w:name="ref-craik_recognition_2015"/>
    <w:p>
      <w:pPr>
        <w:pStyle w:val="Bibliography"/>
      </w:pPr>
      <w:r>
        <w:t xml:space="preserve">Craik, F. I. M., Rose, N. S., &amp; Gopie, N. (2015). 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w:t>
      </w:r>
      <w:r>
        <w:t xml:space="preserve"> </w:t>
      </w:r>
      <w:r>
        <w:rPr>
          <w:i/>
          <w:iCs/>
        </w:rPr>
        <w:t xml:space="preserve">41</w:t>
      </w:r>
      <w:r>
        <w:t xml:space="preserve">(5), 1271–1281.</w:t>
      </w:r>
      <w:r>
        <w:t xml:space="preserve"> </w:t>
      </w:r>
      <w:hyperlink r:id="rId95">
        <w:r>
          <w:rPr>
            <w:rStyle w:val="Hyperlink"/>
          </w:rPr>
          <w:t xml:space="preserve">https://doi.org/10.1037/xlm0000137</w:t>
        </w:r>
      </w:hyperlink>
    </w:p>
    <w:bookmarkEnd w:id="96"/>
    <w:bookmarkStart w:id="97" w:name="ref-cramer2021"/>
    <w:p>
      <w:pPr>
        <w:pStyle w:val="Bibliography"/>
      </w:pPr>
      <w:r>
        <w:t xml:space="preserve">Cramer, J. (2021). Mental maps and perceptual dialectology.</w:t>
      </w:r>
      <w:r>
        <w:t xml:space="preserve"> </w:t>
      </w:r>
      <w:r>
        <w:rPr>
          <w:i/>
          <w:iCs/>
        </w:rPr>
        <w:t xml:space="preserve">Language and Linguistics Compass</w:t>
      </w:r>
      <w:r>
        <w:t xml:space="preserve">,</w:t>
      </w:r>
      <w:r>
        <w:t xml:space="preserve"> </w:t>
      </w:r>
      <w:r>
        <w:rPr>
          <w:i/>
          <w:iCs/>
        </w:rPr>
        <w:t xml:space="preserve">15</w:t>
      </w:r>
      <w:r>
        <w:t xml:space="preserve">(2), e12405.</w:t>
      </w:r>
    </w:p>
    <w:bookmarkEnd w:id="97"/>
    <w:bookmarkStart w:id="98" w:name="ref-Donofrio2018"/>
    <w:p>
      <w:pPr>
        <w:pStyle w:val="Bibliography"/>
      </w:pPr>
      <w:r>
        <w:t xml:space="preserve">D’Onofrio, A. (2018). Controlled and automatic perceptions of a sociolinguistic marker.</w:t>
      </w:r>
      <w:r>
        <w:t xml:space="preserve"> </w:t>
      </w:r>
      <w:r>
        <w:rPr>
          <w:i/>
          <w:iCs/>
        </w:rPr>
        <w:t xml:space="preserve">Language Variation and Change</w:t>
      </w:r>
      <w:r>
        <w:t xml:space="preserve">,</w:t>
      </w:r>
      <w:r>
        <w:t xml:space="preserve"> </w:t>
      </w:r>
      <w:r>
        <w:rPr>
          <w:i/>
          <w:iCs/>
        </w:rPr>
        <w:t xml:space="preserve">30</w:t>
      </w:r>
      <w:r>
        <w:t xml:space="preserve">(2), 261–285.</w:t>
      </w:r>
    </w:p>
    <w:bookmarkEnd w:id="98"/>
    <w:bookmarkStart w:id="100" w:name="ref-donofrio2020"/>
    <w:p>
      <w:pPr>
        <w:pStyle w:val="Bibliography"/>
      </w:pPr>
      <w:r>
        <w:t xml:space="preserve">D’Onofrio, A. (2020). Personae in sociolinguistic variation.</w:t>
      </w:r>
      <w:r>
        <w:t xml:space="preserve"> </w:t>
      </w:r>
      <w:r>
        <w:rPr>
          <w:i/>
          <w:iCs/>
        </w:rPr>
        <w:t xml:space="preserve">WIREs Cognitive Science</w:t>
      </w:r>
      <w:r>
        <w:t xml:space="preserve">,</w:t>
      </w:r>
      <w:r>
        <w:t xml:space="preserve"> </w:t>
      </w:r>
      <w:r>
        <w:rPr>
          <w:i/>
          <w:iCs/>
        </w:rPr>
        <w:t xml:space="preserve">11</w:t>
      </w:r>
      <w:r>
        <w:t xml:space="preserve">(6), e1543.</w:t>
      </w:r>
      <w:r>
        <w:t xml:space="preserve"> </w:t>
      </w:r>
      <w:hyperlink r:id="rId99">
        <w:r>
          <w:rPr>
            <w:rStyle w:val="Hyperlink"/>
          </w:rPr>
          <w:t xml:space="preserve">https://doi.org/10.1002/wcs.1543</w:t>
        </w:r>
      </w:hyperlink>
    </w:p>
    <w:bookmarkEnd w:id="100"/>
    <w:bookmarkStart w:id="101" w:name="ref-donofrio2021"/>
    <w:p>
      <w:pPr>
        <w:pStyle w:val="Bibliography"/>
      </w:pPr>
      <w:r>
        <w:t xml:space="preserve">D’Onofrio, A. (2021). Sociolinguistic signs as cognitive representations.</w:t>
      </w:r>
      <w:r>
        <w:t xml:space="preserve"> </w:t>
      </w:r>
      <w:r>
        <w:rPr>
          <w:i/>
          <w:iCs/>
        </w:rPr>
        <w:t xml:space="preserve">Social Meaning in Linguistic Variation: Theorizing the Third Wave</w:t>
      </w:r>
      <w:r>
        <w:t xml:space="preserve">, 153–175.</w:t>
      </w:r>
    </w:p>
    <w:bookmarkEnd w:id="101"/>
    <w:bookmarkStart w:id="102" w:name="ref-daniel2007"/>
    <w:p>
      <w:pPr>
        <w:pStyle w:val="Bibliography"/>
      </w:pPr>
      <w:r>
        <w:t xml:space="preserve">Daniel, M. M., Lorenzi, M. C., Costa Leite, C. da, &amp; Lorenzi-Filho, G. (2007). Pharyngeal dimensions in healthy men and women.</w:t>
      </w:r>
      <w:r>
        <w:t xml:space="preserve"> </w:t>
      </w:r>
      <w:r>
        <w:rPr>
          <w:i/>
          <w:iCs/>
        </w:rPr>
        <w:t xml:space="preserve">Clinics</w:t>
      </w:r>
      <w:r>
        <w:t xml:space="preserve">,</w:t>
      </w:r>
      <w:r>
        <w:t xml:space="preserve"> </w:t>
      </w:r>
      <w:r>
        <w:rPr>
          <w:i/>
          <w:iCs/>
        </w:rPr>
        <w:t xml:space="preserve">62</w:t>
      </w:r>
      <w:r>
        <w:t xml:space="preserve">(1), 5–10.</w:t>
      </w:r>
    </w:p>
    <w:bookmarkEnd w:id="102"/>
    <w:bookmarkStart w:id="104" w:name="ref-dehaene_towards_2001"/>
    <w:p>
      <w:pPr>
        <w:pStyle w:val="Bibliography"/>
      </w:pPr>
      <w:r>
        <w:t xml:space="preserve">Dehaene, S., &amp; Naccache, L. (2001). Towards a cognitive neuroscience of consciousness: Basic evidence and a workspace framework.</w:t>
      </w:r>
      <w:r>
        <w:t xml:space="preserve"> </w:t>
      </w:r>
      <w:r>
        <w:rPr>
          <w:i/>
          <w:iCs/>
        </w:rPr>
        <w:t xml:space="preserve">Cognition</w:t>
      </w:r>
      <w:r>
        <w:t xml:space="preserve">,</w:t>
      </w:r>
      <w:r>
        <w:t xml:space="preserve"> </w:t>
      </w:r>
      <w:r>
        <w:rPr>
          <w:i/>
          <w:iCs/>
        </w:rPr>
        <w:t xml:space="preserve">79</w:t>
      </w:r>
      <w:r>
        <w:t xml:space="preserve">(1-2), 1–37.</w:t>
      </w:r>
      <w:r>
        <w:t xml:space="preserve"> </w:t>
      </w:r>
      <w:hyperlink r:id="rId103">
        <w:r>
          <w:rPr>
            <w:rStyle w:val="Hyperlink"/>
          </w:rPr>
          <w:t xml:space="preserve">https://doi.org/10.1016/s0010-0277(00)00123-2</w:t>
        </w:r>
      </w:hyperlink>
    </w:p>
    <w:bookmarkEnd w:id="104"/>
    <w:bookmarkStart w:id="105" w:name="ref-Drager2010b"/>
    <w:p>
      <w:pPr>
        <w:pStyle w:val="Bibliography"/>
      </w:pPr>
      <w:r>
        <w:t xml:space="preserve">Drager, K. (2010). Sensitivity to grammatical and sociophonetic variability in perception.</w:t>
      </w:r>
      <w:r>
        <w:t xml:space="preserve"> </w:t>
      </w:r>
      <w:r>
        <w:rPr>
          <w:i/>
          <w:iCs/>
        </w:rPr>
        <w:t xml:space="preserve">Laboratory Phonology</w:t>
      </w:r>
      <w:r>
        <w:t xml:space="preserve">,</w:t>
      </w:r>
      <w:r>
        <w:t xml:space="preserve"> </w:t>
      </w:r>
      <w:r>
        <w:rPr>
          <w:i/>
          <w:iCs/>
        </w:rPr>
        <w:t xml:space="preserve">1</w:t>
      </w:r>
      <w:r>
        <w:t xml:space="preserve">(1), 93–120.</w:t>
      </w:r>
    </w:p>
    <w:bookmarkEnd w:id="105"/>
    <w:bookmarkStart w:id="106" w:name="ref-drager2013"/>
    <w:p>
      <w:pPr>
        <w:pStyle w:val="Bibliography"/>
      </w:pPr>
      <w:r>
        <w:t xml:space="preserve">Drager, K. (2013). Experimental methods in sociolinguistics. In J. Holmes &amp; K. Hazen (Eds.),</w:t>
      </w:r>
      <w:r>
        <w:t xml:space="preserve"> </w:t>
      </w:r>
      <w:r>
        <w:rPr>
          <w:i/>
          <w:iCs/>
        </w:rPr>
        <w:t xml:space="preserve">Research methods in sociolinguistics: A practical guide</w:t>
      </w:r>
      <w:r>
        <w:t xml:space="preserve"> </w:t>
      </w:r>
      <w:r>
        <w:t xml:space="preserve">(pp. 58–73). Wiley Blackwell.</w:t>
      </w:r>
    </w:p>
    <w:bookmarkEnd w:id="106"/>
    <w:bookmarkStart w:id="107" w:name="ref-drager2016a"/>
    <w:p>
      <w:pPr>
        <w:pStyle w:val="Bibliography"/>
      </w:pPr>
      <w:r>
        <w:t xml:space="preserve">Drager, K., &amp; Kirtley, J. (2016a).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7"/>
    <w:bookmarkStart w:id="108" w:name="ref-DragerKirtley2016"/>
    <w:p>
      <w:pPr>
        <w:pStyle w:val="Bibliography"/>
      </w:pPr>
      <w:r>
        <w:t xml:space="preserve">Drager, K., &amp; Kirtley, J. (2016b).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8"/>
    <w:bookmarkStart w:id="109" w:name="ref-eckert2012"/>
    <w:p>
      <w:pPr>
        <w:pStyle w:val="Bibliography"/>
      </w:pPr>
      <w:r>
        <w:t xml:space="preserve">Eckert, P. (2012). 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w:t>
      </w:r>
      <w:r>
        <w:t xml:space="preserve"> </w:t>
      </w:r>
      <w:r>
        <w:rPr>
          <w:i/>
          <w:iCs/>
        </w:rPr>
        <w:t xml:space="preserve">41</w:t>
      </w:r>
      <w:r>
        <w:t xml:space="preserve">(1), 87–100.</w:t>
      </w:r>
    </w:p>
    <w:bookmarkEnd w:id="109"/>
    <w:bookmarkStart w:id="110" w:name="ref-eckertPodesva2021"/>
    <w:p>
      <w:pPr>
        <w:pStyle w:val="Bibliography"/>
      </w:pPr>
      <w:r>
        <w:t xml:space="preserve">Eckert, P., &amp; Podesva, R. J. (2021). 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 S. B. (2008). Dual-processing accounts of reasoning, judgment, and social cognition.</w:t>
      </w:r>
      <w:r>
        <w:t xml:space="preserve"> </w:t>
      </w:r>
      <w:r>
        <w:rPr>
          <w:i/>
          <w:iCs/>
        </w:rPr>
        <w:t xml:space="preserve">Annu. Rev. Psychol.</w:t>
      </w:r>
      <w:r>
        <w:t xml:space="preserve">,</w:t>
      </w:r>
      <w:r>
        <w:t xml:space="preserve"> </w:t>
      </w:r>
      <w:r>
        <w:rPr>
          <w:i/>
          <w:iCs/>
        </w:rPr>
        <w:t xml:space="preserve">59</w:t>
      </w:r>
      <w:r>
        <w:t xml:space="preserve">, 255–278.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Mouton.</w:t>
      </w:r>
    </w:p>
    <w:bookmarkEnd w:id="112"/>
    <w:bookmarkStart w:id="113" w:name="ref-foulkesDocherty2006"/>
    <w:p>
      <w:pPr>
        <w:pStyle w:val="Bibliography"/>
      </w:pPr>
      <w:r>
        <w:t xml:space="preserve">Foulkes, P., &amp; Docherty, G. (2006). The social life of phonetics and phonology.</w:t>
      </w:r>
      <w:r>
        <w:t xml:space="preserve"> </w:t>
      </w:r>
      <w:r>
        <w:rPr>
          <w:i/>
          <w:iCs/>
        </w:rPr>
        <w:t xml:space="preserve">Journal of Phonetics</w:t>
      </w:r>
      <w:r>
        <w:t xml:space="preserve">,</w:t>
      </w:r>
      <w:r>
        <w:t xml:space="preserve"> </w:t>
      </w:r>
      <w:r>
        <w:rPr>
          <w:i/>
          <w:iCs/>
        </w:rPr>
        <w:t xml:space="preserve">34</w:t>
      </w:r>
      <w:r>
        <w:t xml:space="preserve">, 409–438.</w:t>
      </w:r>
    </w:p>
    <w:bookmarkEnd w:id="113"/>
    <w:bookmarkStart w:id="114" w:name="ref-Fowler1986"/>
    <w:p>
      <w:pPr>
        <w:pStyle w:val="Bibliography"/>
      </w:pPr>
      <w:r>
        <w:t xml:space="preserve">Fowler, C. A. (1986). An event approach to the study of speech perception from a direct— realist perspective.</w:t>
      </w:r>
      <w:r>
        <w:t xml:space="preserve"> </w:t>
      </w:r>
      <w:r>
        <w:rPr>
          <w:i/>
          <w:iCs/>
        </w:rPr>
        <w:t xml:space="preserve">Journal of Phonetics</w:t>
      </w:r>
      <w:r>
        <w:t xml:space="preserve">,</w:t>
      </w:r>
      <w:r>
        <w:t xml:space="preserve"> </w:t>
      </w:r>
      <w:r>
        <w:rPr>
          <w:i/>
          <w:iCs/>
        </w:rPr>
        <w:t xml:space="preserve">14</w:t>
      </w:r>
      <w:r>
        <w:t xml:space="preserve">, 3–28.</w:t>
      </w:r>
    </w:p>
    <w:bookmarkEnd w:id="114"/>
    <w:bookmarkStart w:id="115" w:name="ref-fuchsToda2010"/>
    <w:p>
      <w:pPr>
        <w:pStyle w:val="Bibliography"/>
      </w:pPr>
      <w:r>
        <w:t xml:space="preserve">Fuchs, S., &amp; Toda, M. (2010). Do differences in male versus female /s/ reflect biological or sociophonetic factors.</w:t>
      </w:r>
      <w:r>
        <w:t xml:space="preserve"> </w:t>
      </w:r>
      <w:r>
        <w:rPr>
          <w:i/>
          <w:iCs/>
        </w:rPr>
        <w:t xml:space="preserve">Turbulent Sounds: An Interdisciplinary Guide</w:t>
      </w:r>
      <w:r>
        <w:t xml:space="preserve">,</w:t>
      </w:r>
      <w:r>
        <w:t xml:space="preserve"> </w:t>
      </w:r>
      <w:r>
        <w:rPr>
          <w:i/>
          <w:iCs/>
        </w:rPr>
        <w:t xml:space="preserve">21</w:t>
      </w:r>
      <w:r>
        <w:t xml:space="preserve">, 281–302.</w:t>
      </w:r>
    </w:p>
    <w:bookmarkEnd w:id="115"/>
    <w:bookmarkStart w:id="116" w:name="ref-Ganong1980"/>
    <w:p>
      <w:pPr>
        <w:pStyle w:val="Bibliography"/>
      </w:pPr>
      <w:r>
        <w:t xml:space="preserve">Ganong, W. F. (1980). Phonetic categorization in auditory word perception.</w:t>
      </w:r>
      <w:r>
        <w:t xml:space="preserve"> </w:t>
      </w:r>
      <w:r>
        <w:rPr>
          <w:i/>
          <w:iCs/>
        </w:rPr>
        <w:t xml:space="preserve">Journal of Experimental Psychology: Human Perception and Performance</w:t>
      </w:r>
      <w:r>
        <w:t xml:space="preserve">,</w:t>
      </w:r>
      <w:r>
        <w:t xml:space="preserve"> </w:t>
      </w:r>
      <w:r>
        <w:rPr>
          <w:i/>
          <w:iCs/>
        </w:rPr>
        <w:t xml:space="preserve">6</w:t>
      </w:r>
      <w:r>
        <w:t xml:space="preserve">, 110–125.</w:t>
      </w:r>
    </w:p>
    <w:bookmarkEnd w:id="116"/>
    <w:bookmarkStart w:id="117" w:name="ref-gaskell2002representation"/>
    <w:p>
      <w:pPr>
        <w:pStyle w:val="Bibliography"/>
      </w:pPr>
      <w:r>
        <w:t xml:space="preserve">Gaskell, M. G., &amp; Marslen-Wilson, W. D. (2002). Representation and competition in the perception of spoken words.</w:t>
      </w:r>
      <w:r>
        <w:t xml:space="preserve"> </w:t>
      </w:r>
      <w:r>
        <w:rPr>
          <w:i/>
          <w:iCs/>
        </w:rPr>
        <w:t xml:space="preserve">Cognitive Psychology</w:t>
      </w:r>
      <w:r>
        <w:t xml:space="preserve">,</w:t>
      </w:r>
      <w:r>
        <w:t xml:space="preserve"> </w:t>
      </w:r>
      <w:r>
        <w:rPr>
          <w:i/>
          <w:iCs/>
        </w:rPr>
        <w:t xml:space="preserve">45</w:t>
      </w:r>
      <w:r>
        <w:t xml:space="preserve">(2), 220–266.</w:t>
      </w:r>
    </w:p>
    <w:bookmarkEnd w:id="117"/>
    <w:bookmarkStart w:id="118" w:name="ref-giles1970"/>
    <w:p>
      <w:pPr>
        <w:pStyle w:val="Bibliography"/>
      </w:pPr>
      <w:r>
        <w:t xml:space="preserve">Giles, H. (1970). Evaluative reactions to accents.</w:t>
      </w:r>
      <w:r>
        <w:t xml:space="preserve"> </w:t>
      </w:r>
      <w:r>
        <w:rPr>
          <w:i/>
          <w:iCs/>
        </w:rPr>
        <w:t xml:space="preserve">Educational Review</w:t>
      </w:r>
      <w:r>
        <w:t xml:space="preserve">,</w:t>
      </w:r>
      <w:r>
        <w:t xml:space="preserve"> </w:t>
      </w:r>
      <w:r>
        <w:rPr>
          <w:i/>
          <w:iCs/>
        </w:rPr>
        <w:t xml:space="preserve">22</w:t>
      </w:r>
      <w:r>
        <w:t xml:space="preserve">(3), 211–227.</w:t>
      </w:r>
    </w:p>
    <w:bookmarkEnd w:id="118"/>
    <w:bookmarkStart w:id="119" w:name="ref-gnevsheva2017"/>
    <w:p>
      <w:pPr>
        <w:pStyle w:val="Bibliography"/>
      </w:pPr>
      <w:r>
        <w:t xml:space="preserve">Gnevsheva, K. (2017). Within-speaker variation in passing for a native speaker.</w:t>
      </w:r>
      <w:r>
        <w:t xml:space="preserve"> </w:t>
      </w:r>
      <w:r>
        <w:rPr>
          <w:i/>
          <w:iCs/>
        </w:rPr>
        <w:t xml:space="preserve">International Journal of Bilingualism</w:t>
      </w:r>
      <w:r>
        <w:t xml:space="preserve">,</w:t>
      </w:r>
      <w:r>
        <w:t xml:space="preserve"> </w:t>
      </w:r>
      <w:r>
        <w:rPr>
          <w:i/>
          <w:iCs/>
        </w:rPr>
        <w:t xml:space="preserve">21</w:t>
      </w:r>
      <w:r>
        <w:t xml:space="preserve">(2), 213–227.</w:t>
      </w:r>
    </w:p>
    <w:bookmarkEnd w:id="119"/>
    <w:bookmarkStart w:id="120" w:name="ref-Goldinger1998"/>
    <w:p>
      <w:pPr>
        <w:pStyle w:val="Bibliography"/>
      </w:pPr>
      <w:r>
        <w:t xml:space="preserve">Goldinger, S. D. (1998). Echoes of echoes? An episodic theory of lexical access.</w:t>
      </w:r>
      <w:r>
        <w:t xml:space="preserve"> </w:t>
      </w:r>
      <w:r>
        <w:rPr>
          <w:i/>
          <w:iCs/>
        </w:rPr>
        <w:t xml:space="preserve">Psychological Review</w:t>
      </w:r>
      <w:r>
        <w:t xml:space="preserve">,</w:t>
      </w:r>
      <w:r>
        <w:t xml:space="preserve"> </w:t>
      </w:r>
      <w:r>
        <w:rPr>
          <w:i/>
          <w:iCs/>
        </w:rPr>
        <w:t xml:space="preserve">105</w:t>
      </w:r>
      <w:r>
        <w:t xml:space="preserve">(2), 251–279.</w:t>
      </w:r>
    </w:p>
    <w:bookmarkEnd w:id="120"/>
    <w:bookmarkStart w:id="121" w:name="ref-GreenEtAl1991"/>
    <w:p>
      <w:pPr>
        <w:pStyle w:val="Bibliography"/>
      </w:pPr>
      <w:r>
        <w:t xml:space="preserve">Green, K., Kuhl, P., Meltzoff, A., &amp; Stevens, E. (1991). Integrating speech information across talkers, gender, and sensory modality: Female faces and male voices in the McGurk effect.</w:t>
      </w:r>
      <w:r>
        <w:t xml:space="preserve"> </w:t>
      </w:r>
      <w:r>
        <w:rPr>
          <w:i/>
          <w:iCs/>
        </w:rPr>
        <w:t xml:space="preserve">Attention, Perception, &amp; Psychophysics</w:t>
      </w:r>
      <w:r>
        <w:t xml:space="preserve">,</w:t>
      </w:r>
      <w:r>
        <w:t xml:space="preserve"> </w:t>
      </w:r>
      <w:r>
        <w:rPr>
          <w:i/>
          <w:iCs/>
        </w:rPr>
        <w:t xml:space="preserve">50</w:t>
      </w:r>
      <w:r>
        <w:t xml:space="preserve">, 524–536.</w:t>
      </w:r>
    </w:p>
    <w:bookmarkEnd w:id="121"/>
    <w:bookmarkStart w:id="122" w:name="ref-hadodoIssue"/>
    <w:p>
      <w:pPr>
        <w:pStyle w:val="Bibliography"/>
      </w:pPr>
      <w:r>
        <w:t xml:space="preserve">Hadodo, M. (2025). Situating experience in social meaning: Ethnography, experiments and exemplars in the enregisterment of istanbul greek.</w:t>
      </w:r>
      <w:r>
        <w:t xml:space="preserve"> </w:t>
      </w:r>
      <w:r>
        <w:rPr>
          <w:i/>
          <w:iCs/>
        </w:rPr>
        <w:t xml:space="preserve">Journal of Sociolinguistics</w:t>
      </w:r>
      <w:r>
        <w:t xml:space="preserve">,</w:t>
      </w:r>
      <w:r>
        <w:t xml:space="preserve"> </w:t>
      </w:r>
      <w:r>
        <w:rPr>
          <w:i/>
          <w:iCs/>
        </w:rPr>
        <w:t xml:space="preserve">29</w:t>
      </w:r>
      <w:r>
        <w:t xml:space="preserve">(2).</w:t>
      </w:r>
    </w:p>
    <w:bookmarkEnd w:id="122"/>
    <w:bookmarkStart w:id="123" w:name="ref-hall2021language"/>
    <w:p>
      <w:pPr>
        <w:pStyle w:val="Bibliography"/>
      </w:pPr>
      <w:r>
        <w:t xml:space="preserve">Hall, K., Borba, R., &amp; Hiramoto, M. (2021). 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&amp; Drager, K. (2010). Stuffed toys and speech perception.</w:t>
      </w:r>
      <w:r>
        <w:t xml:space="preserve"> </w:t>
      </w:r>
      <w:r>
        <w:rPr>
          <w:i/>
          <w:iCs/>
        </w:rPr>
        <w:t xml:space="preserve">Linguistics</w:t>
      </w:r>
      <w:r>
        <w:t xml:space="preserve">,</w:t>
      </w:r>
      <w:r>
        <w:t xml:space="preserve"> </w:t>
      </w:r>
      <w:r>
        <w:rPr>
          <w:i/>
          <w:iCs/>
        </w:rPr>
        <w:t xml:space="preserve">48</w:t>
      </w:r>
      <w:r>
        <w:t xml:space="preserve">(4), 865–892.</w:t>
      </w:r>
    </w:p>
    <w:bookmarkEnd w:id="124"/>
    <w:bookmarkStart w:id="125" w:name="ref-haynolandrager2006"/>
    <w:p>
      <w:pPr>
        <w:pStyle w:val="Bibliography"/>
      </w:pPr>
      <w:r>
        <w:t xml:space="preserve">Hay, J., Nolan, A., &amp; Drager, K. (2006). From fush to feesh: Exemplar priming in speech perception.</w:t>
      </w:r>
      <w:r>
        <w:t xml:space="preserve"> </w:t>
      </w:r>
      <w:r>
        <w:rPr>
          <w:i/>
          <w:iCs/>
        </w:rPr>
        <w:t xml:space="preserve">The Linguistic Review</w:t>
      </w:r>
      <w:r>
        <w:t xml:space="preserve">,</w:t>
      </w:r>
      <w:r>
        <w:t xml:space="preserve"> </w:t>
      </w:r>
      <w:r>
        <w:rPr>
          <w:i/>
          <w:iCs/>
        </w:rPr>
        <w:t xml:space="preserve">23</w:t>
      </w:r>
      <w:r>
        <w:t xml:space="preserve">(3), 351–379.</w:t>
      </w:r>
    </w:p>
    <w:bookmarkEnd w:id="125"/>
    <w:bookmarkStart w:id="126" w:name="ref-haywarrendrager2006"/>
    <w:p>
      <w:pPr>
        <w:pStyle w:val="Bibliography"/>
      </w:pPr>
      <w:r>
        <w:t xml:space="preserve">Hay, J., Warren, P., &amp; Drager, K. (2006). Factors influencing speech perception in the context of a merger-in-progress.</w:t>
      </w:r>
      <w:r>
        <w:t xml:space="preserve"> </w:t>
      </w:r>
      <w:r>
        <w:rPr>
          <w:i/>
          <w:iCs/>
        </w:rPr>
        <w:t xml:space="preserve">Journal of Phonetics</w:t>
      </w:r>
      <w:r>
        <w:t xml:space="preserve">,</w:t>
      </w:r>
      <w:r>
        <w:t xml:space="preserve"> </w:t>
      </w:r>
      <w:r>
        <w:rPr>
          <w:i/>
          <w:iCs/>
        </w:rPr>
        <w:t xml:space="preserve">34</w:t>
      </w:r>
      <w:r>
        <w:t xml:space="preserve">(4), 458–484.</w:t>
      </w:r>
    </w:p>
    <w:bookmarkEnd w:id="126"/>
    <w:bookmarkStart w:id="127" w:name="ref-inoue2003"/>
    <w:p>
      <w:pPr>
        <w:pStyle w:val="Bibliography"/>
      </w:pPr>
      <w:r>
        <w:t xml:space="preserve">Inoue, M. (2003). Speech without a speaking body:</w:t>
      </w:r>
      <w:r>
        <w:t xml:space="preserve"> </w:t>
      </w:r>
      <w:r>
        <w:t xml:space="preserve">“Japanese women’s language”</w:t>
      </w:r>
      <w:r>
        <w:t xml:space="preserve"> </w:t>
      </w:r>
      <w:r>
        <w:t xml:space="preserve">in translation.</w:t>
      </w:r>
      <w:r>
        <w:t xml:space="preserve"> </w:t>
      </w:r>
      <w:r>
        <w:rPr>
          <w:i/>
          <w:iCs/>
        </w:rPr>
        <w:t xml:space="preserve">Language &amp; Communication</w:t>
      </w:r>
      <w:r>
        <w:t xml:space="preserve">,</w:t>
      </w:r>
      <w:r>
        <w:t xml:space="preserve"> </w:t>
      </w:r>
      <w:r>
        <w:rPr>
          <w:i/>
          <w:iCs/>
        </w:rPr>
        <w:t xml:space="preserve">23</w:t>
      </w:r>
      <w:r>
        <w:t xml:space="preserve">(3-4), 315–330.</w:t>
      </w:r>
    </w:p>
    <w:bookmarkEnd w:id="127"/>
    <w:bookmarkStart w:id="128" w:name="ref-johnson2005"/>
    <w:p>
      <w:pPr>
        <w:pStyle w:val="Bibliography"/>
      </w:pPr>
      <w:r>
        <w:t xml:space="preserve">Johnson, K. (2005). Speaker normalization in speech perception. In D. B. Pisoni &amp; R. Remez (Eds.),</w:t>
      </w:r>
      <w:r>
        <w:t xml:space="preserve"> </w:t>
      </w:r>
      <w:r>
        <w:rPr>
          <w:i/>
          <w:iCs/>
        </w:rPr>
        <w:t xml:space="preserve">The handbook of speech perception</w:t>
      </w:r>
      <w:r>
        <w:t xml:space="preserve"> </w:t>
      </w:r>
      <w:r>
        <w:t xml:space="preserve">(pp. 363–389).</w:t>
      </w:r>
    </w:p>
    <w:bookmarkEnd w:id="128"/>
    <w:bookmarkStart w:id="129" w:name="ref-Johnson2006"/>
    <w:p>
      <w:pPr>
        <w:pStyle w:val="Bibliography"/>
      </w:pPr>
      <w:r>
        <w:t xml:space="preserve">Johnson, K. (2006).</w:t>
      </w:r>
      <w:r>
        <w:t xml:space="preserve"> </w:t>
      </w:r>
      <w:r>
        <w:t xml:space="preserve">Resonance in an exemplar-based lexicon: The emergence of social identity and phonology.</w:t>
      </w:r>
      <w:r>
        <w:t xml:space="preserve"> </w:t>
      </w:r>
      <w:r>
        <w:rPr>
          <w:i/>
          <w:iCs/>
        </w:rPr>
        <w:t xml:space="preserve">Journal of Phonetics</w:t>
      </w:r>
      <w:r>
        <w:t xml:space="preserve">,</w:t>
      </w:r>
      <w:r>
        <w:t xml:space="preserve"> </w:t>
      </w:r>
      <w:r>
        <w:rPr>
          <w:i/>
          <w:iCs/>
        </w:rPr>
        <w:t xml:space="preserve">34</w:t>
      </w:r>
      <w:r>
        <w:t xml:space="preserve">, 485–499.</w:t>
      </w:r>
    </w:p>
    <w:bookmarkEnd w:id="129"/>
    <w:bookmarkStart w:id="130" w:name="ref-johnsonstranddimperio1999"/>
    <w:p>
      <w:pPr>
        <w:pStyle w:val="Bibliography"/>
      </w:pPr>
      <w:r>
        <w:t xml:space="preserve">Johnson, K., Strand, E. A., &amp; D’Imperio, M. (1999). Auditory–visual integration of talker gender in vowel perception.</w:t>
      </w:r>
      <w:r>
        <w:t xml:space="preserve"> </w:t>
      </w:r>
      <w:r>
        <w:rPr>
          <w:i/>
          <w:iCs/>
        </w:rPr>
        <w:t xml:space="preserve">Journal of Phonetics</w:t>
      </w:r>
      <w:r>
        <w:t xml:space="preserve">,</w:t>
      </w:r>
      <w:r>
        <w:t xml:space="preserve"> </w:t>
      </w:r>
      <w:r>
        <w:rPr>
          <w:i/>
          <w:iCs/>
        </w:rPr>
        <w:t xml:space="preserve">27</w:t>
      </w:r>
      <w:r>
        <w:t xml:space="preserve">(4), 359–384.</w:t>
      </w:r>
    </w:p>
    <w:bookmarkEnd w:id="130"/>
    <w:bookmarkStart w:id="131" w:name="ref-Joos1948"/>
    <w:p>
      <w:pPr>
        <w:pStyle w:val="Bibliography"/>
      </w:pPr>
      <w:r>
        <w:t xml:space="preserve">Joos, M. (1948). Acoustic phonetics.</w:t>
      </w:r>
      <w:r>
        <w:t xml:space="preserve"> </w:t>
      </w:r>
      <w:r>
        <w:rPr>
          <w:i/>
          <w:iCs/>
        </w:rPr>
        <w:t xml:space="preserve">Language</w:t>
      </w:r>
      <w:r>
        <w:t xml:space="preserve">,</w:t>
      </w:r>
      <w:r>
        <w:t xml:space="preserve"> </w:t>
      </w:r>
      <w:r>
        <w:rPr>
          <w:i/>
          <w:iCs/>
        </w:rPr>
        <w:t xml:space="preserve">24</w:t>
      </w:r>
      <w:r>
        <w:t xml:space="preserve">(2), 5–136.</w:t>
      </w:r>
    </w:p>
    <w:bookmarkEnd w:id="131"/>
    <w:bookmarkStart w:id="132" w:name="ref-kang2013"/>
    <w:p>
      <w:pPr>
        <w:pStyle w:val="Bibliography"/>
      </w:pPr>
      <w:r>
        <w:t xml:space="preserve">Käng, D. B. (2013). Conceptualizing thai genderscapes: Transformation and continuity in the thai sex/gender system. In</w:t>
      </w:r>
      <w:r>
        <w:t xml:space="preserve"> </w:t>
      </w:r>
      <w:r>
        <w:rPr>
          <w:i/>
          <w:iCs/>
        </w:rPr>
        <w:t xml:space="preserve">Contemporary socio-cultural and political perspectives in thailand</w:t>
      </w:r>
      <w:r>
        <w:t xml:space="preserve"> </w:t>
      </w:r>
      <w:r>
        <w:t xml:space="preserve">(pp. 409–429). Springer.</w:t>
      </w:r>
    </w:p>
    <w:bookmarkEnd w:id="132"/>
    <w:bookmarkStart w:id="133" w:name="ref-king2021"/>
    <w:p>
      <w:pPr>
        <w:pStyle w:val="Bibliography"/>
      </w:pPr>
      <w:r>
        <w:t xml:space="preserve">King, E. T. (2021).</w:t>
      </w:r>
      <w:r>
        <w:t xml:space="preserve"> </w:t>
      </w:r>
      <w:r>
        <w:rPr>
          <w:i/>
          <w:iCs/>
        </w:rPr>
        <w:t xml:space="preserve">Speaker and group specificity in spoken word recognition</w:t>
      </w:r>
      <w:r>
        <w:t xml:space="preserve"> </w:t>
      </w:r>
      <w:r>
        <w:t xml:space="preserve">[PhD thesis]. Stanford University.</w:t>
      </w:r>
    </w:p>
    <w:bookmarkEnd w:id="133"/>
    <w:bookmarkStart w:id="134" w:name="ref-kristiansen2009"/>
    <w:p>
      <w:pPr>
        <w:pStyle w:val="Bibliography"/>
      </w:pPr>
      <w:r>
        <w:t xml:space="preserve">Kristiansen, T. (2009). The macro-level social meanings of late-modern danish accents.</w:t>
      </w:r>
      <w:r>
        <w:t xml:space="preserve"> </w:t>
      </w:r>
      <w:r>
        <w:rPr>
          <w:i/>
          <w:iCs/>
        </w:rPr>
        <w:t xml:space="preserve">Acta Linguistica Hafniensia</w:t>
      </w:r>
      <w:r>
        <w:t xml:space="preserve">,</w:t>
      </w:r>
      <w:r>
        <w:t xml:space="preserve"> </w:t>
      </w:r>
      <w:r>
        <w:rPr>
          <w:i/>
          <w:iCs/>
        </w:rPr>
        <w:t xml:space="preserve">41</w:t>
      </w:r>
      <w:r>
        <w:t xml:space="preserve">(1), 167–192.</w:t>
      </w:r>
    </w:p>
    <w:bookmarkEnd w:id="134"/>
    <w:bookmarkStart w:id="135" w:name="ref-labovEtAl2011"/>
    <w:p>
      <w:pPr>
        <w:pStyle w:val="Bibliography"/>
      </w:pPr>
      <w:r>
        <w:t xml:space="preserve">Labov, W., Ash, S., Ravindranath, M., Weldon, T., Baranowski, M., &amp; Nagy, N. (2011). Properties of the sociolinguistic monitor.</w:t>
      </w:r>
      <w:r>
        <w:t xml:space="preserve"> </w:t>
      </w:r>
      <w:r>
        <w:rPr>
          <w:i/>
          <w:iCs/>
        </w:rPr>
        <w:t xml:space="preserve">Journal of Sociolinguistics</w:t>
      </w:r>
      <w:r>
        <w:t xml:space="preserve">,</w:t>
      </w:r>
      <w:r>
        <w:t xml:space="preserve"> </w:t>
      </w:r>
      <w:r>
        <w:rPr>
          <w:i/>
          <w:iCs/>
        </w:rPr>
        <w:t xml:space="preserve">15</w:t>
      </w:r>
      <w:r>
        <w:t xml:space="preserve">(4), 431–463.</w:t>
      </w:r>
    </w:p>
    <w:bookmarkEnd w:id="135"/>
    <w:bookmarkStart w:id="136" w:name="ref-lambertEtAl1960"/>
    <w:p>
      <w:pPr>
        <w:pStyle w:val="Bibliography"/>
      </w:pPr>
      <w:r>
        <w:t xml:space="preserve">Lambert, W. E., Hodgson, R. C., Gardner, R. C., &amp; Fillenbaum, S. (1960). Evaluational reactions to spoken languages.</w:t>
      </w:r>
      <w:r>
        <w:t xml:space="preserve"> </w:t>
      </w:r>
      <w:r>
        <w:rPr>
          <w:i/>
          <w:iCs/>
        </w:rPr>
        <w:t xml:space="preserve">The Journal of Abnormal and Social Psychology</w:t>
      </w:r>
      <w:r>
        <w:t xml:space="preserve">,</w:t>
      </w:r>
      <w:r>
        <w:t xml:space="preserve"> </w:t>
      </w:r>
      <w:r>
        <w:rPr>
          <w:i/>
          <w:iCs/>
        </w:rPr>
        <w:t xml:space="preserve">60</w:t>
      </w:r>
      <w:r>
        <w:t xml:space="preserve">(1), 44.</w:t>
      </w:r>
    </w:p>
    <w:bookmarkEnd w:id="136"/>
    <w:bookmarkStart w:id="138" w:name="ref-JATOS"/>
    <w:p>
      <w:pPr>
        <w:pStyle w:val="Bibliography"/>
      </w:pPr>
      <w:r>
        <w:t xml:space="preserve">Lange, K., Kuhn, S., &amp; Filevich, E. (2015). "Just another tool for online studies” (JATOS): An easy solution for setup and management of web servers supporting online studies.</w:t>
      </w:r>
      <w:r>
        <w:t xml:space="preserve"> </w:t>
      </w:r>
      <w:r>
        <w:rPr>
          <w:i/>
          <w:iCs/>
        </w:rPr>
        <w:t xml:space="preserve">PLOS ONE</w:t>
      </w:r>
      <w:r>
        <w:t xml:space="preserve">,</w:t>
      </w:r>
      <w:r>
        <w:t xml:space="preserve"> </w:t>
      </w:r>
      <w:r>
        <w:rPr>
          <w:i/>
          <w:iCs/>
        </w:rPr>
        <w:t xml:space="preserve">10</w:t>
      </w:r>
      <w:r>
        <w:t xml:space="preserve">(6), 1–14.</w:t>
      </w:r>
      <w:r>
        <w:t xml:space="preserve"> </w:t>
      </w:r>
      <w:hyperlink r:id="rId137">
        <w:r>
          <w:rPr>
            <w:rStyle w:val="Hyperlink"/>
          </w:rPr>
          <w:t xml:space="preserve">https://doi.org/10.1371/journal.pone.0130834</w:t>
        </w:r>
      </w:hyperlink>
    </w:p>
    <w:bookmarkEnd w:id="138"/>
    <w:bookmarkStart w:id="140" w:name="ref-laver1968"/>
    <w:p>
      <w:pPr>
        <w:pStyle w:val="Bibliography"/>
      </w:pPr>
      <w:r>
        <w:t xml:space="preserve">Laver, J. D. M. (1968). Voice quality and indexical information.</w:t>
      </w:r>
      <w:r>
        <w:t xml:space="preserve"> </w:t>
      </w:r>
      <w:r>
        <w:rPr>
          <w:i/>
          <w:iCs/>
        </w:rPr>
        <w:t xml:space="preserve">British Journal of Disorders of Communication</w:t>
      </w:r>
      <w:r>
        <w:t xml:space="preserve">,</w:t>
      </w:r>
      <w:r>
        <w:t xml:space="preserve"> </w:t>
      </w:r>
      <w:r>
        <w:rPr>
          <w:i/>
          <w:iCs/>
        </w:rPr>
        <w:t xml:space="preserve">3</w:t>
      </w:r>
      <w:r>
        <w:t xml:space="preserve">(1), 43–54.</w:t>
      </w:r>
      <w:r>
        <w:t xml:space="preserve"> </w:t>
      </w:r>
      <w:hyperlink r:id="rId139">
        <w:r>
          <w:rPr>
            <w:rStyle w:val="Hyperlink"/>
          </w:rPr>
          <w:t xml:space="preserve">https://doi.org/10.3109/13682826809011440</w:t>
        </w:r>
      </w:hyperlink>
    </w:p>
    <w:bookmarkEnd w:id="140"/>
    <w:bookmarkStart w:id="142" w:name="ref-levonFox2014"/>
    <w:p>
      <w:pPr>
        <w:pStyle w:val="Bibliography"/>
      </w:pPr>
      <w:r>
        <w:t xml:space="preserve">Levon, E., &amp; Fox, S. (2014). 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w:t>
      </w:r>
      <w:r>
        <w:t xml:space="preserve"> </w:t>
      </w:r>
      <w:r>
        <w:rPr>
          <w:i/>
          <w:iCs/>
        </w:rPr>
        <w:t xml:space="preserve">42</w:t>
      </w:r>
      <w:r>
        <w:t xml:space="preserve">(3), 185–217.</w:t>
      </w:r>
      <w:r>
        <w:t xml:space="preserve"> </w:t>
      </w:r>
      <w:hyperlink r:id="rId141">
        <w:r>
          <w:rPr>
            <w:rStyle w:val="Hyperlink"/>
          </w:rPr>
          <w:t xml:space="preserve">https://doi.org/10.1177/0075424214531487</w:t>
        </w:r>
      </w:hyperlink>
    </w:p>
    <w:bookmarkEnd w:id="142"/>
    <w:bookmarkStart w:id="143" w:name="ref-lisker1986"/>
    <w:p>
      <w:pPr>
        <w:pStyle w:val="Bibliography"/>
      </w:pPr>
      <w:r>
        <w:t xml:space="preserve">Lisker, L. (1986).</w:t>
      </w:r>
      <w:r>
        <w:t xml:space="preserve"> </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w:t>
      </w:r>
      <w:r>
        <w:t xml:space="preserve"> </w:t>
      </w:r>
      <w:r>
        <w:rPr>
          <w:i/>
          <w:iCs/>
        </w:rPr>
        <w:t xml:space="preserve">29</w:t>
      </w:r>
      <w:r>
        <w:t xml:space="preserve">(1), 3–11.</w:t>
      </w:r>
    </w:p>
    <w:bookmarkEnd w:id="143"/>
    <w:bookmarkStart w:id="144" w:name="ref-ChicagoFaceDatabase"/>
    <w:p>
      <w:pPr>
        <w:pStyle w:val="Bibliography"/>
      </w:pPr>
      <w:r>
        <w:t xml:space="preserve">Ma, D. S., Correll, J., &amp; Wittenbrink, B. (2015). The chicago face database: A free stimulus set of faces and norming data.</w:t>
      </w:r>
      <w:r>
        <w:t xml:space="preserve"> </w:t>
      </w:r>
      <w:r>
        <w:rPr>
          <w:i/>
          <w:iCs/>
        </w:rPr>
        <w:t xml:space="preserve">Behavior Research Methods</w:t>
      </w:r>
      <w:r>
        <w:t xml:space="preserve">,</w:t>
      </w:r>
      <w:r>
        <w:t xml:space="preserve"> </w:t>
      </w:r>
      <w:r>
        <w:rPr>
          <w:i/>
          <w:iCs/>
        </w:rPr>
        <w:t xml:space="preserve">47</w:t>
      </w:r>
      <w:r>
        <w:t xml:space="preserve">(4), 1122–1135.</w:t>
      </w:r>
    </w:p>
    <w:bookmarkEnd w:id="144"/>
    <w:bookmarkStart w:id="145" w:name="ref-mackMunson2012b"/>
    <w:p>
      <w:pPr>
        <w:pStyle w:val="Bibliography"/>
      </w:pPr>
      <w:r>
        <w:t xml:space="preserve">Mack, S., &amp; Munson, B. (2012a). The association between/s/quality and perceived sexual orientation of men’s voices: Implicit and explicit measures.</w:t>
      </w:r>
      <w:r>
        <w:t xml:space="preserve"> </w:t>
      </w:r>
      <w:r>
        <w:rPr>
          <w:i/>
          <w:iCs/>
        </w:rPr>
        <w:t xml:space="preserve">Journal of Phonetics</w:t>
      </w:r>
      <w:r>
        <w:t xml:space="preserve">,</w:t>
      </w:r>
      <w:r>
        <w:t xml:space="preserve"> </w:t>
      </w:r>
      <w:r>
        <w:rPr>
          <w:i/>
          <w:iCs/>
        </w:rPr>
        <w:t xml:space="preserve">40</w:t>
      </w:r>
      <w:r>
        <w:t xml:space="preserve">(1), 198–212.</w:t>
      </w:r>
    </w:p>
    <w:bookmarkEnd w:id="145"/>
    <w:bookmarkStart w:id="147" w:name="ref-mackmunson2012"/>
    <w:p>
      <w:pPr>
        <w:pStyle w:val="Bibliography"/>
      </w:pPr>
      <w:r>
        <w:t xml:space="preserve">Mack, S., &amp; Munson, B. (2012b). 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w:t>
      </w:r>
      <w:r>
        <w:t xml:space="preserve"> </w:t>
      </w:r>
      <w:r>
        <w:rPr>
          <w:i/>
          <w:iCs/>
        </w:rPr>
        <w:t xml:space="preserve">40</w:t>
      </w:r>
      <w:r>
        <w:t xml:space="preserve">(1), 198–212. https://doi.org/</w:t>
      </w:r>
      <w:hyperlink r:id="rId146">
        <w:r>
          <w:rPr>
            <w:rStyle w:val="Hyperlink"/>
          </w:rPr>
          <w:t xml:space="preserve">https://doi.org/10.1016/j.wocn.2011.10.002</w:t>
        </w:r>
      </w:hyperlink>
    </w:p>
    <w:bookmarkEnd w:id="147"/>
    <w:bookmarkStart w:id="148" w:name="ref-MannRepp1980"/>
    <w:p>
      <w:pPr>
        <w:pStyle w:val="Bibliography"/>
      </w:pPr>
      <w:r>
        <w:t xml:space="preserve">Mann, V. A., &amp; Repp, B. H. (1980). Influence of vocalic context on perception of the [∫]-[s] distinction.</w:t>
      </w:r>
      <w:r>
        <w:t xml:space="preserve"> </w:t>
      </w:r>
      <w:r>
        <w:rPr>
          <w:i/>
          <w:iCs/>
        </w:rPr>
        <w:t xml:space="preserve">Perception &amp; Psychophysics</w:t>
      </w:r>
      <w:r>
        <w:t xml:space="preserve">,</w:t>
      </w:r>
      <w:r>
        <w:t xml:space="preserve"> </w:t>
      </w:r>
      <w:r>
        <w:rPr>
          <w:i/>
          <w:iCs/>
        </w:rPr>
        <w:t xml:space="preserve">28</w:t>
      </w:r>
      <w:r>
        <w:t xml:space="preserve">(3), 213–228.</w:t>
      </w:r>
    </w:p>
    <w:bookmarkEnd w:id="148"/>
    <w:bookmarkStart w:id="149" w:name="ref-opensesame"/>
    <w:p>
      <w:pPr>
        <w:pStyle w:val="Bibliography"/>
      </w:pPr>
      <w:r>
        <w:t xml:space="preserve">Mathôt, S., Schreij, D., &amp; Theeuwes, J. (2012). Opensesame: An 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p>
    <w:bookmarkEnd w:id="149"/>
    <w:bookmarkStart w:id="150" w:name="ref-may1976"/>
    <w:p>
      <w:pPr>
        <w:pStyle w:val="Bibliography"/>
      </w:pPr>
      <w:r>
        <w:t xml:space="preserve">May, J. (1976).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150"/>
    <w:bookmarkStart w:id="151" w:name="ref-McGowan2011"/>
    <w:p>
      <w:pPr>
        <w:pStyle w:val="Bibliography"/>
      </w:pPr>
      <w:r>
        <w:t xml:space="preserve">McGowan, K. B. (2011).</w:t>
      </w:r>
      <w:r>
        <w:t xml:space="preserve"> </w:t>
      </w:r>
      <w:r>
        <w:rPr>
          <w:i/>
          <w:iCs/>
        </w:rPr>
        <w:t xml:space="preserve">The role of socioindexical expectation in speech perception</w:t>
      </w:r>
      <w:r>
        <w:t xml:space="preserve"> </w:t>
      </w:r>
      <w:r>
        <w:t xml:space="preserve">[PhD thesis]. University of Michigan.</w:t>
      </w:r>
    </w:p>
    <w:bookmarkEnd w:id="151"/>
    <w:bookmarkStart w:id="152" w:name="ref-McGowan2015"/>
    <w:p>
      <w:pPr>
        <w:pStyle w:val="Bibliography"/>
      </w:pPr>
      <w:r>
        <w:t xml:space="preserve">McGowan, K. B. (2015). Social expectation improves speech perception in noise.</w:t>
      </w:r>
      <w:r>
        <w:t xml:space="preserve"> </w:t>
      </w:r>
      <w:r>
        <w:rPr>
          <w:i/>
          <w:iCs/>
        </w:rPr>
        <w:t xml:space="preserve">Language and Speech</w:t>
      </w:r>
      <w:r>
        <w:t xml:space="preserve">,</w:t>
      </w:r>
      <w:r>
        <w:t xml:space="preserve"> </w:t>
      </w:r>
      <w:r>
        <w:rPr>
          <w:i/>
          <w:iCs/>
        </w:rPr>
        <w:t xml:space="preserve">58</w:t>
      </w:r>
      <w:r>
        <w:t xml:space="preserve">(4), 502–521.</w:t>
      </w:r>
    </w:p>
    <w:bookmarkEnd w:id="152"/>
    <w:bookmarkStart w:id="153" w:name="ref-mcgowan2016"/>
    <w:p>
      <w:pPr>
        <w:pStyle w:val="Bibliography"/>
      </w:pPr>
      <w:r>
        <w:t xml:space="preserve">McGowan, K. B. (2016). Sounding chinese and listening chinese: Awareness and knowledge in the laboratory. In A. M. Babel (Ed.),</w:t>
      </w:r>
      <w:r>
        <w:t xml:space="preserve"> </w:t>
      </w:r>
      <w:r>
        <w:rPr>
          <w:i/>
          <w:iCs/>
        </w:rPr>
        <w:t xml:space="preserve">Awareness and control in sociolinguistic research</w:t>
      </w:r>
      <w:r>
        <w:t xml:space="preserve"> </w:t>
      </w:r>
      <w:r>
        <w:t xml:space="preserve">(pp. 25–61). Cambridge University Press Cambridge.</w:t>
      </w:r>
    </w:p>
    <w:bookmarkEnd w:id="153"/>
    <w:bookmarkStart w:id="154" w:name="ref-mcgowanBabel2020"/>
    <w:p>
      <w:pPr>
        <w:pStyle w:val="Bibliography"/>
      </w:pPr>
      <w:r>
        <w:t xml:space="preserve">McGowan, K. B., &amp; Babel, A. M. (2020). Perceiving isn’t believing: Divergence in levels of sociolinguistic awareness.</w:t>
      </w:r>
      <w:r>
        <w:t xml:space="preserve"> </w:t>
      </w:r>
      <w:r>
        <w:rPr>
          <w:i/>
          <w:iCs/>
        </w:rPr>
        <w:t xml:space="preserve">Language in Society</w:t>
      </w:r>
      <w:r>
        <w:t xml:space="preserve">,</w:t>
      </w:r>
      <w:r>
        <w:t xml:space="preserve"> </w:t>
      </w:r>
      <w:r>
        <w:rPr>
          <w:i/>
          <w:iCs/>
        </w:rPr>
        <w:t xml:space="preserve">49</w:t>
      </w:r>
      <w:r>
        <w:t xml:space="preserve">(2), 231–256.</w:t>
      </w:r>
    </w:p>
    <w:bookmarkEnd w:id="154"/>
    <w:bookmarkStart w:id="155" w:name="ref-McGurkMacDonald1976"/>
    <w:p>
      <w:pPr>
        <w:pStyle w:val="Bibliography"/>
      </w:pPr>
      <w:r>
        <w:t xml:space="preserve">McGurk, H., &amp; MacDonald, J. (1976). Hearing lips and seeing voices.</w:t>
      </w:r>
      <w:r>
        <w:t xml:space="preserve"> </w:t>
      </w:r>
      <w:r>
        <w:rPr>
          <w:i/>
          <w:iCs/>
        </w:rPr>
        <w:t xml:space="preserve">Nature</w:t>
      </w:r>
      <w:r>
        <w:t xml:space="preserve">,</w:t>
      </w:r>
      <w:r>
        <w:t xml:space="preserve"> </w:t>
      </w:r>
      <w:r>
        <w:rPr>
          <w:i/>
          <w:iCs/>
        </w:rPr>
        <w:t xml:space="preserve">264</w:t>
      </w:r>
      <w:r>
        <w:t xml:space="preserve">, 746–748.</w:t>
      </w:r>
    </w:p>
    <w:bookmarkEnd w:id="155"/>
    <w:bookmarkStart w:id="156" w:name="ref-milroyMcClenaghan1977"/>
    <w:p>
      <w:pPr>
        <w:pStyle w:val="Bibliography"/>
      </w:pPr>
      <w:r>
        <w:t xml:space="preserve">Milroy, L., &amp; McClenaghan, P. (1977). Stereotyped reactions to four educated accents in ulster.</w:t>
      </w:r>
      <w:r>
        <w:t xml:space="preserve"> </w:t>
      </w:r>
      <w:r>
        <w:rPr>
          <w:i/>
          <w:iCs/>
        </w:rPr>
        <w:t xml:space="preserve">Belfast Working Papers in Language and Linguistics</w:t>
      </w:r>
      <w:r>
        <w:t xml:space="preserve">,</w:t>
      </w:r>
      <w:r>
        <w:t xml:space="preserve"> </w:t>
      </w:r>
      <w:r>
        <w:rPr>
          <w:i/>
          <w:iCs/>
        </w:rPr>
        <w:t xml:space="preserve">2</w:t>
      </w:r>
      <w:r>
        <w:t xml:space="preserve">(4), 1–11.</w:t>
      </w:r>
    </w:p>
    <w:bookmarkEnd w:id="156"/>
    <w:bookmarkStart w:id="157" w:name="ref-munson2011"/>
    <w:p>
      <w:pPr>
        <w:pStyle w:val="Bibliography"/>
      </w:pPr>
      <w:r>
        <w:t xml:space="preserve">Munson, B. (2011). The influence of actual and imputed talker gender on fricative perception, revisited (l).</w:t>
      </w:r>
      <w:r>
        <w:t xml:space="preserve"> </w:t>
      </w:r>
      <w:r>
        <w:rPr>
          <w:i/>
          <w:iCs/>
        </w:rPr>
        <w:t xml:space="preserve">The Journal of the Acoustical Society of America</w:t>
      </w:r>
      <w:r>
        <w:t xml:space="preserve">,</w:t>
      </w:r>
      <w:r>
        <w:t xml:space="preserve"> </w:t>
      </w:r>
      <w:r>
        <w:rPr>
          <w:i/>
          <w:iCs/>
        </w:rPr>
        <w:t xml:space="preserve">130</w:t>
      </w:r>
      <w:r>
        <w:t xml:space="preserve">(5), 2631–2634.</w:t>
      </w:r>
    </w:p>
    <w:bookmarkEnd w:id="157"/>
    <w:bookmarkStart w:id="158" w:name="ref-Niedzielski1999"/>
    <w:p>
      <w:pPr>
        <w:pStyle w:val="Bibliography"/>
      </w:pPr>
      <w:r>
        <w:t xml:space="preserve">Niedzielski, N. (1999). The effect of social information on the perception of sociolinguistic variables.</w:t>
      </w:r>
      <w:r>
        <w:t xml:space="preserve"> </w:t>
      </w:r>
      <w:r>
        <w:rPr>
          <w:i/>
          <w:iCs/>
        </w:rPr>
        <w:t xml:space="preserve">Journal of Language and Social Psychology</w:t>
      </w:r>
      <w:r>
        <w:t xml:space="preserve">,</w:t>
      </w:r>
      <w:r>
        <w:t xml:space="preserve"> </w:t>
      </w:r>
      <w:r>
        <w:rPr>
          <w:i/>
          <w:iCs/>
        </w:rPr>
        <w:t xml:space="preserve">18</w:t>
      </w:r>
      <w:r>
        <w:t xml:space="preserve">(1), 62–85.</w:t>
      </w:r>
    </w:p>
    <w:bookmarkEnd w:id="158"/>
    <w:bookmarkStart w:id="159" w:name="ref-niedzielskiPreston2000"/>
    <w:p>
      <w:pPr>
        <w:pStyle w:val="Bibliography"/>
      </w:pPr>
      <w:r>
        <w:t xml:space="preserve">Niedzielski, N., &amp; Preston, D. R. (2000).</w:t>
      </w:r>
      <w:r>
        <w:t xml:space="preserve"> </w:t>
      </w:r>
      <w:r>
        <w:rPr>
          <w:i/>
          <w:iCs/>
        </w:rPr>
        <w:t xml:space="preserve">Folk linguistics</w:t>
      </w:r>
      <w:r>
        <w:t xml:space="preserve"> </w:t>
      </w:r>
      <w:r>
        <w:t xml:space="preserve">(Vol. 122). Walter de Gruyter.</w:t>
      </w:r>
    </w:p>
    <w:bookmarkEnd w:id="159"/>
    <w:bookmarkStart w:id="160" w:name="ref-nygaard1994"/>
    <w:p>
      <w:pPr>
        <w:pStyle w:val="Bibliography"/>
      </w:pPr>
      <w:r>
        <w:t xml:space="preserve">Nygaard, L. C., Sommers, M. S., &amp; Pisoni, D. B. (1994). Speech perception as a talker-contingent process.</w:t>
      </w:r>
      <w:r>
        <w:t xml:space="preserve"> </w:t>
      </w:r>
      <w:r>
        <w:rPr>
          <w:i/>
          <w:iCs/>
        </w:rPr>
        <w:t xml:space="preserve">Psychological Science</w:t>
      </w:r>
      <w:r>
        <w:t xml:space="preserve">,</w:t>
      </w:r>
      <w:r>
        <w:t xml:space="preserve"> </w:t>
      </w:r>
      <w:r>
        <w:rPr>
          <w:i/>
          <w:iCs/>
        </w:rPr>
        <w:t xml:space="preserve">5</w:t>
      </w:r>
      <w:r>
        <w:t xml:space="preserve">(1), 42–46.</w:t>
      </w:r>
    </w:p>
    <w:bookmarkEnd w:id="160"/>
    <w:bookmarkStart w:id="161" w:name="ref-ohala1994"/>
    <w:p>
      <w:pPr>
        <w:pStyle w:val="Bibliography"/>
      </w:pPr>
      <w:r>
        <w:t xml:space="preserve">Ohala, J. J. (1994). The frequency code underlies the sound-symbolic use of voice pitch.</w:t>
      </w:r>
      <w:r>
        <w:t xml:space="preserve"> </w:t>
      </w:r>
      <w:r>
        <w:rPr>
          <w:i/>
          <w:iCs/>
        </w:rPr>
        <w:t xml:space="preserve">Sound Symbolism</w:t>
      </w:r>
      <w:r>
        <w:t xml:space="preserve">, 325–347.</w:t>
      </w:r>
    </w:p>
    <w:bookmarkEnd w:id="161"/>
    <w:bookmarkStart w:id="162" w:name="ref-perryOhdeAshmead2001"/>
    <w:p>
      <w:pPr>
        <w:pStyle w:val="Bibliography"/>
      </w:pPr>
      <w:r>
        <w:t xml:space="preserve">Perry, T. L., Ohde, R. N., &amp; Ashmead, D. H. (2001). The acoustic bases for gender identification from children’s voices.</w:t>
      </w:r>
      <w:r>
        <w:t xml:space="preserve"> </w:t>
      </w:r>
      <w:r>
        <w:rPr>
          <w:i/>
          <w:iCs/>
        </w:rPr>
        <w:t xml:space="preserve">The Journal of the Acoustical Society of America</w:t>
      </w:r>
      <w:r>
        <w:t xml:space="preserve">,</w:t>
      </w:r>
      <w:r>
        <w:t xml:space="preserve"> </w:t>
      </w:r>
      <w:r>
        <w:rPr>
          <w:i/>
          <w:iCs/>
        </w:rPr>
        <w:t xml:space="preserve">109</w:t>
      </w:r>
      <w:r>
        <w:t xml:space="preserve">(6), 2988–2998.</w:t>
      </w:r>
    </w:p>
    <w:bookmarkEnd w:id="162"/>
    <w:bookmarkStart w:id="163" w:name="ref-pharaoKristiansen2019"/>
    <w:p>
      <w:pPr>
        <w:pStyle w:val="Bibliography"/>
      </w:pPr>
      <w:r>
        <w:t xml:space="preserve">Pharao, N., &amp; Kristiansen, T. (2019). Reflections on the relation between direct/indirect methods and explicit/implicit attitudes.</w:t>
      </w:r>
      <w:r>
        <w:t xml:space="preserve"> </w:t>
      </w:r>
      <w:r>
        <w:rPr>
          <w:i/>
          <w:iCs/>
        </w:rPr>
        <w:t xml:space="preserve">Linguistics Vanguard</w:t>
      </w:r>
      <w:r>
        <w:t xml:space="preserve">,</w:t>
      </w:r>
      <w:r>
        <w:t xml:space="preserve"> </w:t>
      </w:r>
      <w:r>
        <w:rPr>
          <w:i/>
          <w:iCs/>
        </w:rPr>
        <w:t xml:space="preserve">5</w:t>
      </w:r>
      <w:r>
        <w:t xml:space="preserve">(s1).</w:t>
      </w:r>
    </w:p>
    <w:bookmarkEnd w:id="163"/>
    <w:bookmarkStart w:id="164" w:name="ref-pharao2014"/>
    <w:p>
      <w:pPr>
        <w:pStyle w:val="Bibliography"/>
      </w:pPr>
      <w:r>
        <w:t xml:space="preserve">Pharao, N., Maegaard, M., Møller, J. S., &amp; Kristiansen, T. (2014). Indexical meanings of [s+] among copenhagen youth: Social perception of a phonetic variant in different prosodic contexts.</w:t>
      </w:r>
      <w:r>
        <w:t xml:space="preserve"> </w:t>
      </w:r>
      <w:r>
        <w:rPr>
          <w:i/>
          <w:iCs/>
        </w:rPr>
        <w:t xml:space="preserve">Language in Society</w:t>
      </w:r>
      <w:r>
        <w:t xml:space="preserve">,</w:t>
      </w:r>
      <w:r>
        <w:t xml:space="preserve"> </w:t>
      </w:r>
      <w:r>
        <w:rPr>
          <w:i/>
          <w:iCs/>
        </w:rPr>
        <w:t xml:space="preserve">43</w:t>
      </w:r>
      <w:r>
        <w:t xml:space="preserve">(1), 1–31.</w:t>
      </w:r>
    </w:p>
    <w:bookmarkEnd w:id="164"/>
    <w:bookmarkStart w:id="165" w:name="ref-pierrehumbert2003phonetic"/>
    <w:p>
      <w:pPr>
        <w:pStyle w:val="Bibliography"/>
      </w:pPr>
      <w:r>
        <w:t xml:space="preserve">Pierrehumbert, J. B. (2003). Phonetic diversity, statistical learning, and acquisition of phonology.</w:t>
      </w:r>
      <w:r>
        <w:t xml:space="preserve"> </w:t>
      </w:r>
      <w:r>
        <w:rPr>
          <w:i/>
          <w:iCs/>
        </w:rPr>
        <w:t xml:space="preserve">Language and Speech</w:t>
      </w:r>
      <w:r>
        <w:t xml:space="preserve">,</w:t>
      </w:r>
      <w:r>
        <w:t xml:space="preserve"> </w:t>
      </w:r>
      <w:r>
        <w:rPr>
          <w:i/>
          <w:iCs/>
        </w:rPr>
        <w:t xml:space="preserve">46</w:t>
      </w:r>
      <w:r>
        <w:t xml:space="preserve">(2-3), 115–154.</w:t>
      </w:r>
    </w:p>
    <w:bookmarkEnd w:id="165"/>
    <w:bookmarkStart w:id="166" w:name="ref-podesvaKajino2014"/>
    <w:p>
      <w:pPr>
        <w:pStyle w:val="Bibliography"/>
      </w:pPr>
      <w:r>
        <w:t xml:space="preserve">Podesva, R. J., &amp; Kajino, S. (2014). Sociophonetics, gender, and sexuality.</w:t>
      </w:r>
      <w:r>
        <w:t xml:space="preserve"> </w:t>
      </w:r>
      <w:r>
        <w:rPr>
          <w:i/>
          <w:iCs/>
        </w:rPr>
        <w:t xml:space="preserve">The Handbook of Language, Gender, and Sexuality</w:t>
      </w:r>
      <w:r>
        <w:t xml:space="preserve">, 103–122.</w:t>
      </w:r>
    </w:p>
    <w:bookmarkEnd w:id="166"/>
    <w:bookmarkStart w:id="167" w:name="ref-preston1996"/>
    <w:p>
      <w:pPr>
        <w:pStyle w:val="Bibliography"/>
      </w:pPr>
      <w:r>
        <w:t xml:space="preserve">Preston, D. R. (1996). Whaddayaknow?: The modes of folk linguistic awareness.</w:t>
      </w:r>
      <w:r>
        <w:t xml:space="preserve"> </w:t>
      </w:r>
      <w:r>
        <w:rPr>
          <w:i/>
          <w:iCs/>
        </w:rPr>
        <w:t xml:space="preserve">Language Awareness</w:t>
      </w:r>
      <w:r>
        <w:t xml:space="preserve">,</w:t>
      </w:r>
      <w:r>
        <w:t xml:space="preserve"> </w:t>
      </w:r>
      <w:r>
        <w:rPr>
          <w:i/>
          <w:iCs/>
        </w:rPr>
        <w:t xml:space="preserve">5</w:t>
      </w:r>
      <w:r>
        <w:t xml:space="preserve">(1), 40–74.</w:t>
      </w:r>
    </w:p>
    <w:bookmarkEnd w:id="167"/>
    <w:bookmarkStart w:id="169" w:name="ref-prinz_unconscious_2015"/>
    <w:p>
      <w:pPr>
        <w:pStyle w:val="Bibliography"/>
      </w:pPr>
      <w:r>
        <w:t xml:space="preserve">Prinz, J. J. (2015). Unconscious perception. 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w:t>
      </w:r>
      <w:r>
        <w:t xml:space="preserve">(pp. 371–389). Oxford University Press.</w:t>
      </w:r>
      <w:r>
        <w:t xml:space="preserve"> </w:t>
      </w:r>
      <w:hyperlink r:id="rId168">
        <w:r>
          <w:rPr>
            <w:rStyle w:val="Hyperlink"/>
          </w:rPr>
          <w:t xml:space="preserve">https://doi.org/10.1093/oxfordhb/9780199600472.001.0001</w:t>
        </w:r>
      </w:hyperlink>
    </w:p>
    <w:bookmarkEnd w:id="169"/>
    <w:bookmarkStart w:id="170" w:name="ref-repp1982"/>
    <w:p>
      <w:pPr>
        <w:pStyle w:val="Bibliography"/>
      </w:pPr>
      <w:r>
        <w:t xml:space="preserve">Repp, B. H. (1982). Phonetic trading relations and context effects: New experimental evidence for a speech mode of perception.</w:t>
      </w:r>
      <w:r>
        <w:t xml:space="preserve"> </w:t>
      </w:r>
      <w:r>
        <w:rPr>
          <w:i/>
          <w:iCs/>
        </w:rPr>
        <w:t xml:space="preserve">Psychological Bulletin</w:t>
      </w:r>
      <w:r>
        <w:t xml:space="preserve">,</w:t>
      </w:r>
      <w:r>
        <w:t xml:space="preserve"> </w:t>
      </w:r>
      <w:r>
        <w:rPr>
          <w:i/>
          <w:iCs/>
        </w:rPr>
        <w:t xml:space="preserve">92</w:t>
      </w:r>
      <w:r>
        <w:t xml:space="preserve">(1), 81.</w:t>
      </w:r>
    </w:p>
    <w:bookmarkEnd w:id="170"/>
    <w:bookmarkStart w:id="171" w:name="ref-rosseelGrondelaers2019"/>
    <w:p>
      <w:pPr>
        <w:pStyle w:val="Bibliography"/>
      </w:pPr>
      <w:r>
        <w:t xml:space="preserve">Rosseel, L., &amp; Grondelaers, S. (2019). Implicitness and experimental methods in language variation research.</w:t>
      </w:r>
      <w:r>
        <w:t xml:space="preserve"> </w:t>
      </w:r>
      <w:r>
        <w:rPr>
          <w:i/>
          <w:iCs/>
        </w:rPr>
        <w:t xml:space="preserve">Linguistics Vanguard</w:t>
      </w:r>
      <w:r>
        <w:t xml:space="preserve">,</w:t>
      </w:r>
      <w:r>
        <w:t xml:space="preserve"> </w:t>
      </w:r>
      <w:r>
        <w:rPr>
          <w:i/>
          <w:iCs/>
        </w:rPr>
        <w:t xml:space="preserve">5</w:t>
      </w:r>
      <w:r>
        <w:t xml:space="preserve">(s1).</w:t>
      </w:r>
    </w:p>
    <w:bookmarkEnd w:id="171"/>
    <w:bookmarkStart w:id="172" w:name="ref-sawusch2005"/>
    <w:p>
      <w:pPr>
        <w:pStyle w:val="Bibliography"/>
      </w:pPr>
      <w:r>
        <w:t xml:space="preserve">Sawusch, J. R. (2005). Acoustic analysis and synthesis of speech.</w:t>
      </w:r>
      <w:r>
        <w:t xml:space="preserve"> </w:t>
      </w:r>
      <w:r>
        <w:rPr>
          <w:i/>
          <w:iCs/>
        </w:rPr>
        <w:t xml:space="preserve">The Handbook of Speech Perception</w:t>
      </w:r>
      <w:r>
        <w:t xml:space="preserve">, 6–27.</w:t>
      </w:r>
    </w:p>
    <w:bookmarkEnd w:id="172"/>
    <w:bookmarkStart w:id="173" w:name="ref-schellingerMunsonEdwards2017"/>
    <w:p>
      <w:pPr>
        <w:pStyle w:val="Bibliography"/>
      </w:pPr>
      <w:r>
        <w:t xml:space="preserve">Schellinger, S. K., Munson, B., &amp; Edwards, J. (2017). 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w:t>
      </w:r>
      <w:r>
        <w:t xml:space="preserve"> </w:t>
      </w:r>
      <w:r>
        <w:rPr>
          <w:i/>
          <w:iCs/>
        </w:rPr>
        <w:t xml:space="preserve">31</w:t>
      </w:r>
      <w:r>
        <w:t xml:space="preserve">(1), 80–103.</w:t>
      </w:r>
    </w:p>
    <w:bookmarkEnd w:id="173"/>
    <w:bookmarkStart w:id="175" w:name="ref-schulman1974"/>
    <w:p>
      <w:pPr>
        <w:pStyle w:val="Bibliography"/>
      </w:pPr>
      <w:r>
        <w:t xml:space="preserve">Schulman, A. I. (1974). Memory for words recently classified.</w:t>
      </w:r>
      <w:r>
        <w:t xml:space="preserve"> </w:t>
      </w:r>
      <w:r>
        <w:rPr>
          <w:i/>
          <w:iCs/>
        </w:rPr>
        <w:t xml:space="preserve">Memory &amp; Cognition</w:t>
      </w:r>
      <w:r>
        <w:t xml:space="preserve">,</w:t>
      </w:r>
      <w:r>
        <w:t xml:space="preserve"> </w:t>
      </w:r>
      <w:r>
        <w:rPr>
          <w:i/>
          <w:iCs/>
        </w:rPr>
        <w:t xml:space="preserve">2</w:t>
      </w:r>
      <w:r>
        <w:t xml:space="preserve">(1), 47–52.</w:t>
      </w:r>
      <w:r>
        <w:t xml:space="preserve"> </w:t>
      </w:r>
      <w:hyperlink r:id="rId174">
        <w:r>
          <w:rPr>
            <w:rStyle w:val="Hyperlink"/>
          </w:rPr>
          <w:t xml:space="preserve">https://doi.org/10.3758/BF03197491</w:t>
        </w:r>
      </w:hyperlink>
    </w:p>
    <w:bookmarkEnd w:id="175"/>
    <w:bookmarkStart w:id="176" w:name="ref-shadle1991"/>
    <w:p>
      <w:pPr>
        <w:pStyle w:val="Bibliography"/>
      </w:pPr>
      <w:r>
        <w:t xml:space="preserve">Shadle, C. H. (1991). The effect of geometry on source mechanisms of fricative consonants.</w:t>
      </w:r>
      <w:r>
        <w:t xml:space="preserve"> </w:t>
      </w:r>
      <w:r>
        <w:rPr>
          <w:i/>
          <w:iCs/>
        </w:rPr>
        <w:t xml:space="preserve">Journal of Phonetics</w:t>
      </w:r>
      <w:r>
        <w:t xml:space="preserve">,</w:t>
      </w:r>
      <w:r>
        <w:t xml:space="preserve"> </w:t>
      </w:r>
      <w:r>
        <w:rPr>
          <w:i/>
          <w:iCs/>
        </w:rPr>
        <w:t xml:space="preserve">19</w:t>
      </w:r>
      <w:r>
        <w:t xml:space="preserve">(3-4), 409–424.</w:t>
      </w:r>
    </w:p>
    <w:bookmarkEnd w:id="176"/>
    <w:bookmarkStart w:id="177" w:name="ref-SharmaIssue"/>
    <w:p>
      <w:pPr>
        <w:pStyle w:val="Bibliography"/>
      </w:pPr>
      <w:r>
        <w:t xml:space="preserve">Sharma, D. (2025). The style game: A socio-cognitive approach to accommodation in real time.</w:t>
      </w:r>
      <w:r>
        <w:t xml:space="preserve"> </w:t>
      </w:r>
      <w:r>
        <w:rPr>
          <w:i/>
          <w:iCs/>
        </w:rPr>
        <w:t xml:space="preserve">Journal of Sociolinguistics</w:t>
      </w:r>
      <w:r>
        <w:t xml:space="preserve">,</w:t>
      </w:r>
      <w:r>
        <w:t xml:space="preserve"> </w:t>
      </w:r>
      <w:r>
        <w:rPr>
          <w:i/>
          <w:iCs/>
        </w:rPr>
        <w:t xml:space="preserve">29</w:t>
      </w:r>
      <w:r>
        <w:t xml:space="preserve">(3).</w:t>
      </w:r>
    </w:p>
    <w:bookmarkEnd w:id="177"/>
    <w:bookmarkStart w:id="178" w:name="ref-Squires2013"/>
    <w:p>
      <w:pPr>
        <w:pStyle w:val="Bibliography"/>
      </w:pPr>
      <w:r>
        <w:t xml:space="preserve">Squires, L. (2013). It don’t go both ways: Limited bidirectionality in sociolinguistic perception.</w:t>
      </w:r>
      <w:r>
        <w:t xml:space="preserve"> </w:t>
      </w:r>
      <w:r>
        <w:rPr>
          <w:i/>
          <w:iCs/>
        </w:rPr>
        <w:t xml:space="preserve">Journal of Sociolinguistics</w:t>
      </w:r>
      <w:r>
        <w:t xml:space="preserve">,</w:t>
      </w:r>
      <w:r>
        <w:t xml:space="preserve"> </w:t>
      </w:r>
      <w:r>
        <w:rPr>
          <w:i/>
          <w:iCs/>
        </w:rPr>
        <w:t xml:space="preserve">17</w:t>
      </w:r>
      <w:r>
        <w:t xml:space="preserve">(2), 200–237.</w:t>
      </w:r>
    </w:p>
    <w:bookmarkEnd w:id="178"/>
    <w:bookmarkStart w:id="179" w:name="ref-steckerDOnofrioIssue"/>
    <w:p>
      <w:pPr>
        <w:pStyle w:val="Bibliography"/>
      </w:pPr>
      <w:r>
        <w:t xml:space="preserve">Stecker, A., &amp; D’Onofrio, A. (2025). Recognizing uptalk: Memory and metalinguistic commentary for a sociolinguistic feature.</w:t>
      </w:r>
      <w:r>
        <w:t xml:space="preserve"> </w:t>
      </w:r>
      <w:r>
        <w:rPr>
          <w:i/>
          <w:iCs/>
        </w:rPr>
        <w:t xml:space="preserve">Journal of Sociolinguistics</w:t>
      </w:r>
      <w:r>
        <w:t xml:space="preserve">,</w:t>
      </w:r>
      <w:r>
        <w:t xml:space="preserve"> </w:t>
      </w:r>
      <w:r>
        <w:rPr>
          <w:i/>
          <w:iCs/>
        </w:rPr>
        <w:t xml:space="preserve">29</w:t>
      </w:r>
      <w:r>
        <w:t xml:space="preserve">(2).</w:t>
      </w:r>
    </w:p>
    <w:bookmarkEnd w:id="179"/>
    <w:bookmarkStart w:id="180" w:name="ref-strand1999"/>
    <w:p>
      <w:pPr>
        <w:pStyle w:val="Bibliography"/>
      </w:pPr>
      <w:r>
        <w:t xml:space="preserve">Strand, E. A. (1999). Uncovering the role of gender stereotypes in speech perception.</w:t>
      </w:r>
      <w:r>
        <w:t xml:space="preserve"> </w:t>
      </w:r>
      <w:r>
        <w:rPr>
          <w:i/>
          <w:iCs/>
        </w:rPr>
        <w:t xml:space="preserve">Journal of Language and Social Psychology</w:t>
      </w:r>
      <w:r>
        <w:t xml:space="preserve">,</w:t>
      </w:r>
      <w:r>
        <w:t xml:space="preserve"> </w:t>
      </w:r>
      <w:r>
        <w:rPr>
          <w:i/>
          <w:iCs/>
        </w:rPr>
        <w:t xml:space="preserve">18</w:t>
      </w:r>
      <w:r>
        <w:t xml:space="preserve">(1), 86–100.</w:t>
      </w:r>
    </w:p>
    <w:bookmarkEnd w:id="180"/>
    <w:bookmarkStart w:id="182" w:name="ref-strandJohnson1996"/>
    <w:p>
      <w:pPr>
        <w:pStyle w:val="Bibliography"/>
      </w:pPr>
      <w:r>
        <w:t xml:space="preserve">Strand, E. A., &amp; Johnson, K. (1996). 2. Gradient and visual speaker normalization in the perception of fricatives. In D. Gibbon (Ed.),</w:t>
      </w:r>
      <w:r>
        <w:t xml:space="preserve"> </w:t>
      </w:r>
      <w:r>
        <w:rPr>
          <w:i/>
          <w:iCs/>
        </w:rPr>
        <w:t xml:space="preserve">Results of the 3rd KONVENS conference, bielefeld, october 1996</w:t>
      </w:r>
      <w:r>
        <w:t xml:space="preserve"> </w:t>
      </w:r>
      <w:r>
        <w:t xml:space="preserve">(pp. 14–26). De Gruyter Mouton.</w:t>
      </w:r>
      <w:r>
        <w:t xml:space="preserve"> </w:t>
      </w:r>
      <w:hyperlink r:id="rId181">
        <w:r>
          <w:rPr>
            <w:rStyle w:val="Hyperlink"/>
          </w:rPr>
          <w:t xml:space="preserve">https://doi.org/doi:10.1515/9783110821895-003</w:t>
        </w:r>
      </w:hyperlink>
    </w:p>
    <w:bookmarkEnd w:id="182"/>
    <w:bookmarkStart w:id="183" w:name="ref-sumner2014"/>
    <w:p>
      <w:pPr>
        <w:pStyle w:val="Bibliography"/>
      </w:pPr>
      <w:r>
        <w:t xml:space="preserve">Sumner, M., Kim, S. K., King, E., &amp; McGowan, K. B. (2014). The socially weighted encoding of spoken words: A dual-route approach to speech perception.</w:t>
      </w:r>
      <w:r>
        <w:t xml:space="preserve"> </w:t>
      </w:r>
      <w:r>
        <w:rPr>
          <w:i/>
          <w:iCs/>
        </w:rPr>
        <w:t xml:space="preserve">Frontiers in Psychology</w:t>
      </w:r>
      <w:r>
        <w:t xml:space="preserve">,</w:t>
      </w:r>
      <w:r>
        <w:t xml:space="preserve"> </w:t>
      </w:r>
      <w:r>
        <w:rPr>
          <w:i/>
          <w:iCs/>
        </w:rPr>
        <w:t xml:space="preserve">4</w:t>
      </w:r>
      <w:r>
        <w:t xml:space="preserve">, 1015.</w:t>
      </w:r>
    </w:p>
    <w:bookmarkEnd w:id="183"/>
    <w:bookmarkStart w:id="184" w:name="ref-trippMunson2022"/>
    <w:p>
      <w:pPr>
        <w:pStyle w:val="Bibliography"/>
      </w:pPr>
      <w:r>
        <w:t xml:space="preserve">Tripp, A., &amp; Munson, B. (2022). Perceiving gender while perceiving language: Integrating psycholinguistics and gender theory.</w:t>
      </w:r>
      <w:r>
        <w:t xml:space="preserve"> </w:t>
      </w:r>
      <w:r>
        <w:rPr>
          <w:i/>
          <w:iCs/>
        </w:rPr>
        <w:t xml:space="preserve">Wiley Interdisciplinary Reviews: Cognitive Science</w:t>
      </w:r>
      <w:r>
        <w:t xml:space="preserve">,</w:t>
      </w:r>
      <w:r>
        <w:t xml:space="preserve"> </w:t>
      </w:r>
      <w:r>
        <w:rPr>
          <w:i/>
          <w:iCs/>
        </w:rPr>
        <w:t xml:space="preserve">13</w:t>
      </w:r>
      <w:r>
        <w:t xml:space="preserve">(2), e1583.</w:t>
      </w:r>
    </w:p>
    <w:bookmarkEnd w:id="184"/>
    <w:bookmarkStart w:id="185" w:name="ref-walkerHay2011"/>
    <w:p>
      <w:pPr>
        <w:pStyle w:val="Bibliography"/>
      </w:pPr>
      <w:r>
        <w:t xml:space="preserve">Walker, A., &amp; Hay, J. (2011). Congruence between ‘word age’and ‘voice age’facilitates lexical access.</w:t>
      </w:r>
      <w:r>
        <w:t xml:space="preserve"> </w:t>
      </w:r>
      <w:r>
        <w:rPr>
          <w:i/>
          <w:iCs/>
        </w:rPr>
        <w:t xml:space="preserve">Laboratory Phonology</w:t>
      </w:r>
      <w:r>
        <w:t xml:space="preserve">,</w:t>
      </w:r>
      <w:r>
        <w:t xml:space="preserve"> </w:t>
      </w:r>
      <w:r>
        <w:rPr>
          <w:i/>
          <w:iCs/>
        </w:rPr>
        <w:t xml:space="preserve">2</w:t>
      </w:r>
      <w:r>
        <w:t xml:space="preserve">(1), 219–237.</w:t>
      </w:r>
    </w:p>
    <w:bookmarkEnd w:id="185"/>
    <w:bookmarkStart w:id="186" w:name="ref-whalen1984"/>
    <w:p>
      <w:pPr>
        <w:pStyle w:val="Bibliography"/>
      </w:pPr>
      <w:r>
        <w:t xml:space="preserve">Whalen, D. H. (1984). 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w:t>
      </w:r>
      <w:r>
        <w:t xml:space="preserve"> </w:t>
      </w:r>
      <w:r>
        <w:rPr>
          <w:i/>
          <w:iCs/>
        </w:rPr>
        <w:t xml:space="preserve">35</w:t>
      </w:r>
      <w:r>
        <w:t xml:space="preserve">, 49–64.</w:t>
      </w:r>
    </w:p>
    <w:bookmarkEnd w:id="186"/>
    <w:bookmarkStart w:id="187" w:name="ref-wilbanks2022"/>
    <w:p>
      <w:pPr>
        <w:pStyle w:val="Bibliography"/>
      </w:pPr>
      <w:r>
        <w:t xml:space="preserve">Wilbanks, E. (2022).</w:t>
      </w:r>
      <w:r>
        <w:t xml:space="preserve"> </w:t>
      </w:r>
      <w:r>
        <w:rPr>
          <w:i/>
          <w:iCs/>
        </w:rPr>
        <w:t xml:space="preserve">The integration of social and acoustic cues during speech perception</w:t>
      </w:r>
      <w:r>
        <w:t xml:space="preserve"> </w:t>
      </w:r>
      <w:r>
        <w:t xml:space="preserve">[PhD thesis]. University of California, Berkeley.</w:t>
      </w:r>
    </w:p>
    <w:bookmarkEnd w:id="187"/>
    <w:bookmarkStart w:id="188" w:name="ref-wright2023"/>
    <w:p>
      <w:pPr>
        <w:pStyle w:val="Bibliography"/>
      </w:pPr>
      <w:r>
        <w:t xml:space="preserve">Wright, K. E. (2023). Housing policy and linguistic profiling: An audit study of three american dialects.</w:t>
      </w:r>
      <w:r>
        <w:t xml:space="preserve"> </w:t>
      </w:r>
      <w:r>
        <w:rPr>
          <w:i/>
          <w:iCs/>
        </w:rPr>
        <w:t xml:space="preserve">Language</w:t>
      </w:r>
      <w:r>
        <w:t xml:space="preserve">.</w:t>
      </w:r>
    </w:p>
    <w:bookmarkEnd w:id="188"/>
    <w:bookmarkStart w:id="189" w:name="ref-zimman2017"/>
    <w:p>
      <w:pPr>
        <w:pStyle w:val="Bibliography"/>
      </w:pPr>
      <w:r>
        <w:t xml:space="preserve">Zimman, L. (2017). Gender as stylistic bricolage: Transmasculine voices and the relationship between fundamental frequency and/s.</w:t>
      </w:r>
      <w:r>
        <w:t xml:space="preserve"> </w:t>
      </w:r>
      <w:r>
        <w:rPr>
          <w:i/>
          <w:iCs/>
        </w:rPr>
        <w:t xml:space="preserve">Language in Society</w:t>
      </w:r>
      <w:r>
        <w:t xml:space="preserve">,</w:t>
      </w:r>
      <w:r>
        <w:t xml:space="preserve"> </w:t>
      </w:r>
      <w:r>
        <w:rPr>
          <w:i/>
          <w:iCs/>
        </w:rPr>
        <w:t xml:space="preserve">46</w:t>
      </w:r>
      <w:r>
        <w:t xml:space="preserve">(3), 339–370.</w:t>
      </w:r>
    </w:p>
    <w:bookmarkEnd w:id="189"/>
    <w:bookmarkStart w:id="190" w:name="ref-zimman2018"/>
    <w:p>
      <w:pPr>
        <w:pStyle w:val="Bibliography"/>
      </w:pPr>
      <w:r>
        <w:t xml:space="preserve">Zimman, L. (2018). Transgender voices: Insights on identity, embodiment, and the gender of the voice.</w:t>
      </w:r>
      <w:r>
        <w:t xml:space="preserve"> </w:t>
      </w:r>
      <w:r>
        <w:rPr>
          <w:i/>
          <w:iCs/>
        </w:rPr>
        <w:t xml:space="preserve">Language and Linguistics Compass</w:t>
      </w:r>
      <w:r>
        <w:t xml:space="preserve">,</w:t>
      </w:r>
      <w:r>
        <w:t xml:space="preserve"> </w:t>
      </w:r>
      <w:r>
        <w:rPr>
          <w:i/>
          <w:iCs/>
        </w:rPr>
        <w:t xml:space="preserve">12</w:t>
      </w:r>
      <w:r>
        <w:t xml:space="preserve">(8), e12284.</w:t>
      </w:r>
    </w:p>
    <w:bookmarkEnd w:id="190"/>
    <w:bookmarkEnd w:id="191"/>
    <w:bookmarkEnd w:id="192"/>
    <w:sectPr w:rsidR="00B46A4E" w:rsidRPr="0019120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&amp;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40">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06101D"/>
    <w:rsid w:val="00191209"/>
    <w:rsid w:val="001B6542"/>
    <w:rsid w:val="00292A31"/>
    <w:rsid w:val="00292D22"/>
    <w:rsid w:val="00380711"/>
    <w:rsid w:val="00422639"/>
    <w:rsid w:val="004237E0"/>
    <w:rsid w:val="004C36F5"/>
    <w:rsid w:val="004C613D"/>
    <w:rsid w:val="0056650E"/>
    <w:rsid w:val="005F678E"/>
    <w:rsid w:val="00603281"/>
    <w:rsid w:val="00757606"/>
    <w:rsid w:val="007E4D06"/>
    <w:rsid w:val="00870A8E"/>
    <w:rsid w:val="00891442"/>
    <w:rsid w:val="008C4BA1"/>
    <w:rsid w:val="00A11CB9"/>
    <w:rsid w:val="00AE7439"/>
    <w:rsid w:val="00B25284"/>
    <w:rsid w:val="00B36C7E"/>
    <w:rsid w:val="00B46A4E"/>
    <w:rsid w:val="00B76AF5"/>
    <w:rsid w:val="00BE0E21"/>
    <w:rsid w:val="00C23838"/>
    <w:rsid w:val="00C56391"/>
    <w:rsid w:val="00C74324"/>
    <w:rsid w:val="00CE7D07"/>
    <w:rsid w:val="00CF168D"/>
    <w:rsid w:val="00D43B85"/>
    <w:rsid w:val="00DB768E"/>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CF168D"/>
    <w:pPr>
      <w:spacing w:line="360" w:lineRule="auto"/>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AE7439"/>
    <w:pPr>
      <w:keepNext/>
      <w:keepLines/>
      <w:spacing w:before="40" w:line="360" w:lineRule="auto"/>
      <w:outlineLvl w:val="1"/>
    </w:pPr>
    <w:rPr>
      <w:rFonts w:asciiTheme="majorHAnsi" w:cstheme="majorBidi" w:eastAsiaTheme="majorEastAsia" w:hAnsiTheme="majorHAnsi"/>
      <w:color w:themeColor="text1" w:val="000000"/>
      <w:sz w:val="26"/>
      <w:szCs w:val="26"/>
    </w:rPr>
  </w:style>
  <w:style w:styleId="Heading3" w:type="paragraph">
    <w:name w:val="heading 3"/>
    <w:basedOn w:val="Normal"/>
    <w:next w:val="Normal"/>
    <w:link w:val="Heading3Char"/>
    <w:uiPriority w:val="9"/>
    <w:semiHidden/>
    <w:unhideWhenUsed/>
    <w:qFormat/>
    <w:rsid w:val="00AE7439"/>
    <w:pPr>
      <w:keepNext/>
      <w:keepLines/>
      <w:spacing w:before="40" w:line="360" w:lineRule="auto"/>
      <w:outlineLvl w:val="2"/>
    </w:pPr>
    <w:rPr>
      <w:rFonts w:asciiTheme="majorHAnsi" w:cstheme="majorBidi" w:eastAsiaTheme="majorEastAsia" w:hAnsiTheme="majorHAnsi"/>
      <w:color w:themeColor="text1" w:val="000000"/>
      <w:sz w:val="24"/>
      <w:szCs w:val="24"/>
    </w:rPr>
  </w:style>
  <w:style w:styleId="Heading4" w:type="paragraph">
    <w:name w:val="heading 4"/>
    <w:basedOn w:val="Normal"/>
    <w:next w:val="Normal"/>
    <w:link w:val="Heading4Char"/>
    <w:uiPriority w:val="9"/>
    <w:semiHidden/>
    <w:unhideWhenUsed/>
    <w:qFormat/>
    <w:rsid w:val="00191209"/>
    <w:pPr>
      <w:keepNext/>
      <w:keepLines/>
      <w:spacing w:before="40"/>
      <w:outlineLvl w:val="3"/>
    </w:pPr>
    <w:rPr>
      <w:rFonts w:asciiTheme="majorHAnsi" w:cstheme="majorBidi" w:eastAsiaTheme="majorEastAsia" w:hAnsiTheme="majorHAnsi"/>
      <w:i/>
      <w:iCs/>
      <w:color w:themeColor="text1" w:val="000000"/>
    </w:rPr>
  </w:style>
  <w:style w:styleId="Heading5" w:type="paragraph">
    <w:name w:val="heading 5"/>
    <w:basedOn w:val="Normal"/>
    <w:next w:val="Normal"/>
    <w:link w:val="Heading5Char"/>
    <w:uiPriority w:val="9"/>
    <w:semiHidden/>
    <w:unhideWhenUsed/>
    <w:qFormat/>
    <w:rsid w:val="00191209"/>
    <w:pPr>
      <w:keepNext/>
      <w:keepLines/>
      <w:spacing w:before="40"/>
      <w:outlineLvl w:val="4"/>
    </w:pPr>
    <w:rPr>
      <w:rFonts w:asciiTheme="majorHAnsi" w:cstheme="majorBidi" w:eastAsiaTheme="majorEastAsia" w:hAnsiTheme="majorHAnsi"/>
      <w:color w:themeColor="text1" w:val="000000"/>
    </w:rPr>
  </w:style>
  <w:style w:styleId="Heading6" w:type="paragraph">
    <w:name w:val="heading 6"/>
    <w:basedOn w:val="Normal"/>
    <w:next w:val="Normal"/>
    <w:link w:val="Heading6Char"/>
    <w:uiPriority w:val="9"/>
    <w:semiHidden/>
    <w:unhideWhenUsed/>
    <w:qFormat/>
    <w:rsid w:val="00191209"/>
    <w:pPr>
      <w:keepNext/>
      <w:keepLines/>
      <w:spacing w:before="40"/>
      <w:outlineLvl w:val="5"/>
    </w:pPr>
    <w:rPr>
      <w:rFonts w:asciiTheme="majorHAnsi" w:cstheme="majorBidi" w:eastAsiaTheme="majorEastAsia" w:hAnsiTheme="majorHAnsi"/>
      <w:color w:themeColor="text1" w:val="000000"/>
    </w:rPr>
  </w:style>
  <w:style w:styleId="Heading7" w:type="paragraph">
    <w:name w:val="heading 7"/>
    <w:basedOn w:val="Normal"/>
    <w:next w:val="Normal"/>
    <w:link w:val="Heading7Char"/>
    <w:uiPriority w:val="9"/>
    <w:semiHidden/>
    <w:unhideWhenUsed/>
    <w:qFormat/>
    <w:rsid w:val="00191209"/>
    <w:pPr>
      <w:keepNext/>
      <w:keepLines/>
      <w:spacing w:before="40"/>
      <w:outlineLvl w:val="6"/>
    </w:pPr>
    <w:rPr>
      <w:rFonts w:asciiTheme="majorHAnsi" w:cstheme="majorBidi" w:eastAsiaTheme="majorEastAsia" w:hAnsiTheme="majorHAnsi"/>
      <w:i/>
      <w:iCs/>
      <w:color w:themeColor="text1" w:val="00000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757606"/>
    <w:pPr>
      <w:spacing w:line="360" w:lineRule="auto"/>
      <w:ind w:firstLine="720"/>
    </w:pPr>
    <w:rPr>
      <w:sz w:val="24"/>
      <w:szCs w:val="24"/>
    </w:rPr>
  </w:style>
  <w:style w:customStyle="1" w:styleId="FirstParagraph" w:type="paragraph">
    <w:name w:val="First Paragraph"/>
    <w:basedOn w:val="BodyText"/>
    <w:next w:val="BodyText"/>
    <w:qFormat/>
    <w:rsid w:val="00191209"/>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rsid w:val="00191209"/>
    <w:pPr>
      <w:keepNext/>
      <w:keepLines/>
      <w:spacing w:before="300"/>
      <w:jc w:val="center"/>
    </w:pPr>
    <w:rPr>
      <w:b/>
      <w:color w:themeColor="text1" w:val="000000"/>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F168D"/>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AE7439"/>
    <w:rPr>
      <w:rFonts w:asciiTheme="majorHAnsi" w:cstheme="majorBidi" w:eastAsiaTheme="majorEastAsia" w:hAnsiTheme="majorHAnsi"/>
      <w:color w:themeColor="text1" w:val="000000"/>
      <w:sz w:val="26"/>
      <w:szCs w:val="26"/>
    </w:rPr>
  </w:style>
  <w:style w:customStyle="1" w:styleId="Heading3Char" w:type="character">
    <w:name w:val="Heading 3 Char"/>
    <w:basedOn w:val="DefaultParagraphFont"/>
    <w:link w:val="Heading3"/>
    <w:uiPriority w:val="9"/>
    <w:semiHidden/>
    <w:rsid w:val="00AE7439"/>
    <w:rPr>
      <w:rFonts w:asciiTheme="majorHAnsi" w:cstheme="majorBidi" w:eastAsiaTheme="majorEastAsia" w:hAnsiTheme="majorHAnsi"/>
      <w:color w:themeColor="text1" w:val="000000"/>
      <w:sz w:val="24"/>
      <w:szCs w:val="24"/>
    </w:rPr>
  </w:style>
  <w:style w:customStyle="1" w:styleId="Heading4Char" w:type="character">
    <w:name w:val="Heading 4 Char"/>
    <w:basedOn w:val="DefaultParagraphFont"/>
    <w:link w:val="Heading4"/>
    <w:uiPriority w:val="9"/>
    <w:semiHidden/>
    <w:rsid w:val="00191209"/>
    <w:rPr>
      <w:rFonts w:asciiTheme="majorHAnsi" w:cstheme="majorBidi" w:eastAsiaTheme="majorEastAsia" w:hAnsiTheme="majorHAnsi"/>
      <w:i/>
      <w:iCs/>
      <w:color w:themeColor="text1" w:val="000000"/>
    </w:rPr>
  </w:style>
  <w:style w:customStyle="1" w:styleId="Heading5Char" w:type="character">
    <w:name w:val="Heading 5 Char"/>
    <w:basedOn w:val="DefaultParagraphFont"/>
    <w:link w:val="Heading5"/>
    <w:uiPriority w:val="9"/>
    <w:semiHidden/>
    <w:rsid w:val="00191209"/>
    <w:rPr>
      <w:rFonts w:asciiTheme="majorHAnsi" w:cstheme="majorBidi" w:eastAsiaTheme="majorEastAsia" w:hAnsiTheme="majorHAnsi"/>
      <w:color w:themeColor="text1" w:val="000000"/>
    </w:rPr>
  </w:style>
  <w:style w:customStyle="1" w:styleId="Heading6Char" w:type="character">
    <w:name w:val="Heading 6 Char"/>
    <w:basedOn w:val="DefaultParagraphFont"/>
    <w:link w:val="Heading6"/>
    <w:uiPriority w:val="9"/>
    <w:semiHidden/>
    <w:rsid w:val="00191209"/>
    <w:rPr>
      <w:rFonts w:asciiTheme="majorHAnsi" w:cstheme="majorBidi" w:eastAsiaTheme="majorEastAsia" w:hAnsiTheme="majorHAnsi"/>
      <w:color w:themeColor="text1" w:val="000000"/>
    </w:rPr>
  </w:style>
  <w:style w:customStyle="1" w:styleId="Heading7Char" w:type="character">
    <w:name w:val="Heading 7 Char"/>
    <w:basedOn w:val="DefaultParagraphFont"/>
    <w:link w:val="Heading7"/>
    <w:uiPriority w:val="9"/>
    <w:semiHidden/>
    <w:rsid w:val="00191209"/>
    <w:rPr>
      <w:rFonts w:asciiTheme="majorHAnsi" w:cstheme="majorBidi" w:eastAsiaTheme="majorEastAsia" w:hAnsiTheme="majorHAnsi"/>
      <w:i/>
      <w:iCs/>
      <w:color w:themeColor="text1" w:val="00000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rsid w:val="00191209"/>
    <w:rPr>
      <w:color w:val="auto"/>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sid w:val="00191209"/>
    <w:rPr>
      <w:rFonts w:ascii="Consolas" w:hAnsi="Consolas"/>
      <w:b w:val="0"/>
      <w:bCs w:val="0"/>
      <w:i/>
      <w:iCs/>
      <w:color w:val="auto"/>
      <w:sz w:val="22"/>
      <w:szCs w:val="18"/>
    </w:rPr>
  </w:style>
  <w:style w:customStyle="1" w:styleId="SectionNumber" w:type="character">
    <w:name w:val="Section Number"/>
    <w:basedOn w:val="CaptionChar"/>
    <w:rsid w:val="00191209"/>
    <w:rPr>
      <w:rFonts w:ascii="Times New Roman" w:hAnsi="Times New Roman"/>
      <w:b w:val="0"/>
      <w:bCs w:val="0"/>
      <w:i/>
      <w:iCs/>
      <w:color w:themeColor="text1" w:val="000000"/>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191209"/>
    <w:rPr>
      <w:i/>
      <w:iCs/>
      <w:color w:themeColor="text1" w:val="000000"/>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191209"/>
    <w:rPr>
      <w:b/>
      <w:bCs/>
      <w:smallCaps/>
      <w:color w:themeColor="text1" w:val="000000"/>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styleId="FollowedHyperlink" w:type="character">
    <w:name w:val="FollowedHyperlink"/>
    <w:basedOn w:val="DefaultParagraphFont"/>
    <w:rsid w:val="00D43B85"/>
    <w:rPr>
      <w:color w:themeColor="followedHyperlink" w:val="96607D"/>
      <w:u w:val="singl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image" Id="rId34" Target="media/rId34.jpg" /><Relationship Type="http://schemas.openxmlformats.org/officeDocument/2006/relationships/image" Id="rId28" Target="media/rId28.png" /><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 Type="http://schemas.openxmlformats.org/officeDocument/2006/relationships/hyperlink" Id="rId181" Target="https://doi.org/doi:10.1515/9783110821895-003"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 Type="http://schemas.openxmlformats.org/officeDocument/2006/relationships/hyperlink" Id="rId181" Target="https://doi.org/doi:10.1515/9783110821895-0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62</Words>
  <Characters>359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matched guise, sociophonetic perception</cp:keywords>
  <dcterms:created xsi:type="dcterms:W3CDTF">2025-04-13T22:50:03Z</dcterms:created>
  <dcterms:modified xsi:type="dcterms:W3CDTF">2025-04-13T22:50:03Z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1999; Strand &amp; Johnson, 1996).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date">
    <vt:lpwstr>2025-04-13</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uppress-title-page">
    <vt:lpwstr>True</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