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9.png" ContentType="image/png"/>
  <Override PartName="/word/media/rId59.png" ContentType="image/png"/>
  <Override PartName="/word/media/rId54.png" ContentType="image/png"/>
  <Override PartName="/word/media/rId32.jpg" ContentType="image/jpe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incongruity, and listener awareness</w:t>
      </w:r>
    </w:p>
    <w:p>
      <w:pPr>
        <w:pStyle w:val="Author"/>
      </w:pPr>
      <w:r>
        <w:t xml:space="preserve">Kyler Laycock</w:t>
      </w:r>
    </w:p>
    <w:p>
      <w:pPr>
        <w:pStyle w:val="Author"/>
      </w:pPr>
      <w:r>
        <w:t xml:space="preserve"> Kevin B. McGowan</w:t>
      </w:r>
    </w:p>
    <w:p>
      <w:pPr>
        <w:pStyle w:val="Date"/>
      </w:pPr>
      <w:r>
        <w:t xml:space="preserve">2024-11-14</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4"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the first segments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(Calder 2018; Mack and Munson 2012a; Pharao et al. 2014; Strand 1999)</w:t>
      </w:r>
      <w:r>
        <w:t xml:space="preserve">.</w:t>
      </w:r>
    </w:p>
    <w:p>
      <w:pPr>
        <w:pStyle w:val="BodyText"/>
      </w:pPr>
      <w:r>
        <w:t xml:space="preserve">There is little consensus, however, around the extent to which language users are aware of, and can control, these fine gradations of social meaning in production and perception. In the context of this chapter we are using</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D’Onofrio 2021; Bakhtin 1981)</w:t>
      </w:r>
      <w:r>
        <w:t xml:space="preserve">. The cognitive reality of this tripartite relationship between the concepts of gender identities and instances of fine phonetic detail is essential for the performance of those identities. This observation holds regardless of speaker and listener awareness. This observation remains true even if what the listener believes about the speaker is false; a monolingual American listener might expect a Beijing voice to be non-rhotic</w:t>
      </w:r>
      <w:r>
        <w:t xml:space="preserve"> </w:t>
      </w:r>
      <w:r>
        <w:t xml:space="preserve">(McGowan 2016)</w:t>
      </w:r>
      <w:r>
        <w:t xml:space="preserve">, Japanese women to use final particles</w:t>
      </w:r>
      <w:r>
        <w:t xml:space="preserve"> </w:t>
      </w:r>
      <w:r>
        <w:t xml:space="preserve">(Inoue 2003)</w:t>
      </w:r>
      <w:r>
        <w:t xml:space="preserve">, 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the fundamental frequency of the voice, the prevailing frequency of vocal fold vibration during voiced sounds, as a primary, biological phonetic detail associated with gender performance</w:t>
      </w:r>
      <w:r>
        <w:t xml:space="preserve"> </w:t>
      </w:r>
      <w:r>
        <w:t xml:space="preserve">(Foulkes and Docherty 2006, 411)</w:t>
      </w:r>
      <w:r>
        <w:t xml:space="preserve">; when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but it is necessary to explore perceptual control for the purposes of the present chapter. Here we owe much of our general conceptualization of</w:t>
      </w:r>
      <w:r>
        <w:t xml:space="preserve"> </w:t>
      </w:r>
      <w:r>
        <w:t xml:space="preserve">‘control’</w:t>
      </w:r>
      <w:r>
        <w:t xml:space="preserve"> </w:t>
      </w:r>
      <w:r>
        <w:t xml:space="preserve">to</w:t>
      </w:r>
      <w:r>
        <w:t xml:space="preserve"> </w:t>
      </w:r>
      <w:r>
        <w:t xml:space="preserve">(Babel this issue)</w:t>
      </w:r>
      <w:r>
        <w:t xml:space="preserve">‘s application of the semiotic role of the interpretant in perception and Preston’s</w:t>
      </w:r>
      <w:r>
        <w:t xml:space="preserve"> </w:t>
      </w:r>
      <w:r>
        <w:t xml:space="preserve">(1996, 2016)</w:t>
      </w:r>
      <w:r>
        <w:t xml:space="preserve"> </w:t>
      </w:r>
      <w:r>
        <w:t xml:space="preserve">four modes of awareness. Critical to our understanding of this phenomenon is the stipulation that the ability to ’perform’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listening subject as it is for the speaker. Social meaning making occurs in interaction</w:t>
      </w:r>
      <w:r>
        <w:t xml:space="preserve"> </w:t>
      </w:r>
      <w:r>
        <w:t xml:space="preserve">(Sharma this issue)</w:t>
      </w:r>
      <w:r>
        <w:t xml:space="preserve">; a listener must be able to control, to link, the auditory cues of a performed gender identity to the cognitive representation of that identity just as much as a speaker’s vocal tract must be capable of the gestural control required to implement the phonetics of that identity if the tripartite, dialogic construction of identity in discourse is to occur. Again,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perception is a phenomenon that crosses disciplinary and subdisciplinary boundaries and approaches to language and social meaning. With these varying disciplinary and subdisciplinary contexts come quite different, sometimes contradictory, assumptions and theoretical commitments about the extent to which language users can bring aspects of perception into introspective awareness and control (conscious or otherwise). Even more than this, there are at least two, quite distinct, meanings in regular use for the word</w:t>
      </w:r>
      <w:r>
        <w:t xml:space="preserve"> </w:t>
      </w:r>
      <w:r>
        <w:t xml:space="preserve">‘perception’</w:t>
      </w:r>
      <w:r>
        <w:t xml:space="preserve"> </w:t>
      </w:r>
      <w:r>
        <w:t xml:space="preserve">(Drager and Kirtley 2016a; McGowan and Babel 2020)</w:t>
      </w:r>
      <w:r>
        <w:t xml:space="preserve">.</w:t>
      </w:r>
    </w:p>
    <w:p>
      <w:pPr>
        <w:pStyle w:val="BodyText"/>
      </w:pPr>
      <w:r>
        <w:t xml:space="preserve">Researchers, typically working within the fields of segmental speech perception or word recognition, have used perception to describe a kind of low-level, implicit processing of sensory input</w:t>
      </w:r>
      <w:r>
        <w:t xml:space="preserve"> </w:t>
      </w:r>
      <w:r>
        <w:t xml:space="preserve">(cf.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 Johnson 2006)</w:t>
      </w:r>
      <w:r>
        <w:t xml:space="preserve">. Perception, thus construed, is typically assumed to be automatic and to occur below the level of conscious awareness</w:t>
      </w:r>
      <w:r>
        <w:t xml:space="preserve"> </w:t>
      </w:r>
      <w:r>
        <w:t xml:space="preserve">(Joos 1948, 63)</w:t>
      </w:r>
      <w:r>
        <w:t xml:space="preserve"> </w:t>
      </w:r>
      <w:r>
        <w:t xml:space="preserve">and inaccessible to introspection even, in the case of subcategorical phonetic differences, by researchers themselves</w:t>
      </w:r>
      <w:r>
        <w:t xml:space="preserve"> </w:t>
      </w:r>
      <w:r>
        <w:t xml:space="preserve">(Whalen 1984)</w:t>
      </w:r>
      <w:r>
        <w:t xml:space="preserve">. Indeed, lack of awareness is taken as evidence of a</w:t>
      </w:r>
      <w:r>
        <w:t xml:space="preserve"> </w:t>
      </w:r>
      <w:r>
        <w:t xml:space="preserve">“true perceptual phenomenon”</w:t>
      </w:r>
      <w:r>
        <w:t xml:space="preserve"> </w:t>
      </w:r>
      <w:r>
        <w:t xml:space="preserve">for the McGurk effect,</w:t>
      </w:r>
      <w:r>
        <w:t xml:space="preserve"> </w:t>
      </w:r>
      <w:r>
        <w:t xml:space="preserve">(Repp 1982, 40)</w:t>
      </w:r>
      <w:r>
        <w:t xml:space="preserve">, perceptual weighting of acoustic cues (p. 174), and phoneme restoration</w:t>
      </w:r>
      <w:r>
        <w:t xml:space="preserve"> </w:t>
      </w:r>
      <w:r>
        <w:t xml:space="preserve">(Ganong 1980, 1)</w:t>
      </w:r>
      <w:r>
        <w:t xml:space="preserve">.</w:t>
      </w:r>
    </w:p>
    <w:p>
      <w:pPr>
        <w:pStyle w:val="BodyText"/>
      </w:pPr>
      <w:r>
        <w:t xml:space="preserve">The other meaning of perception in common use in the various language disciplines describes a higher-level, sometimes implicit, sometimes explicit, evaluative judgment of talkers and voices</w:t>
      </w:r>
      <w:r>
        <w:t xml:space="preserve"> </w:t>
      </w:r>
      <w:r>
        <w:t xml:space="preserve">(cf.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 </w:t>
      </w:r>
      <w:r>
        <w:t xml:space="preserve">(Labov et al. 2011)</w:t>
      </w:r>
      <w:r>
        <w:t xml:space="preserve">. Importantly for the present study, this higher, evaluative level of perception is also the level for which the Matched Guise Technique (MGT) was originally developed.</w:t>
      </w:r>
    </w:p>
    <w:bookmarkStart w:id="21" w:name="sec-mgt"/>
    <w:p>
      <w:pPr>
        <w:pStyle w:val="Heading3"/>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uses of the term perception described here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their answers in a subsequent interview about the voices heard in that task sometimes agreed, but sometimes diverged. When they diverged, the low level perceptions tracked vowel categories established by the listeners’ initial experience with the voice, while high level evaluations of the talker much more closely tracked language ideologies regarding the Quechua-dominant or Spanish-dominant speaker social labels provided by the experiment. Indeed, several participants explicitly commented on the differences between the fricatives used by the two guises; speech sounds that had been held identical in the stimuli. McGowan and Babel attempt to demonstrate, through analysis of participants’ explicit commentary on the AXB task, that participants</w:t>
      </w:r>
      <w:r>
        <w:t xml:space="preserve"> </w:t>
      </w:r>
      <w:r>
        <w:rPr>
          <w:i/>
          <w:iCs/>
        </w:rPr>
        <w:t xml:space="preserve">believed</w:t>
      </w:r>
      <w:r>
        <w:t xml:space="preserve"> </w:t>
      </w:r>
      <w:r>
        <w:t xml:space="preserve">the guise manipulation, but the stark difference between performances on the AXB discrimination task and evaluative commentary on the voice in each guise, particularly in the second guise, leave open the possibility that listeners became aware of the guise manipulation and were responding out of politeness or a desire to do well in the experiment.</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not</w:t>
      </w:r>
      <w:r>
        <w:t xml:space="preserve"> </w:t>
      </w:r>
      <w:r>
        <w:rPr>
          <w:i/>
          <w:iCs/>
        </w:rPr>
        <w:t xml:space="preserve">believe</w:t>
      </w:r>
      <w:r>
        <w:t xml:space="preserve"> </w:t>
      </w:r>
      <w:r>
        <w:t xml:space="preserve">the mimicked accents.</w:t>
      </w:r>
    </w:p>
    <w:p>
      <w:pPr>
        <w:pStyle w:val="BodyText"/>
      </w:pPr>
      <w:r>
        <w:t xml:space="preserve">The predominantly protestant Ulster listeners in this task provided both subjective evaluations of the voice quality of each talker on 8 personal characteristics such as intelligence, generosity, and friendliness and were asked to name the region associated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w:t>
      </w:r>
      <w:r>
        <w:t xml:space="preserve">The picture that is emerging is one of simultaneous, layered complexity in the interactive process of social meaning making. A listener to even a single spoken word combines multi-modal sensory information, their own experiences with language, their own experiences with social meanings, their stereotypes, and their context-driven expectations about the voice they are likely to hear, the words that voice is likely to produce,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and more.</w:t>
      </w:r>
    </w:p>
    <w:p>
      <w:pPr>
        <w:pStyle w:val="BodyText"/>
      </w:pPr>
      <w:r>
        <w:t xml:space="preserve">The Matched Guise technique has been deployed in numerous configurations, but, at its core, the technique almost always employs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 In social, segmental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w:t>
      </w:r>
    </w:p>
    <w:p>
      <w:pPr>
        <w:pStyle w:val="BodyText"/>
      </w:pPr>
      <w:r>
        <w:t xml:space="preserve">A central focus of</w:t>
      </w:r>
      <w:r>
        <w:t xml:space="preserve"> </w:t>
      </w:r>
      <w:r>
        <w:t xml:space="preserve">McGowan and Babel (2020, 246–48)</w:t>
      </w:r>
      <w:r>
        <w:t xml:space="preserve">’s discussion, particularly of their interview results, centers on the question of whether deception was successful and listeners</w:t>
      </w:r>
      <w:r>
        <w:t xml:space="preserve"> </w:t>
      </w:r>
      <w:r>
        <w:rPr>
          <w:i/>
          <w:iCs/>
        </w:rPr>
        <w:t xml:space="preserve">believed</w:t>
      </w:r>
      <w:r>
        <w:t xml:space="preserve"> </w:t>
      </w:r>
      <w:r>
        <w:t xml:space="preserve">the two MGT guise manipulations. In part this is because they observe a stark disjunction between the segmental and evaluative levels of perception. Belief is especially important in a paper that reports the outcome of an unusual within-subjects MGT which presents both guises to each participant. But more fundamentally, and of interest to anyone employing the MGT for language perception or evaluation research,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However, the majority of studies cannot speak directly to this lack of awareness during segmental perception because the data provided by the participants is relatively late in processing and involves layers of potential introspection and evaluation that block access to the initial online percept for listeners and researchers alike.</w:t>
      </w:r>
      <w:r>
        <w:t xml:space="preserve"> </w:t>
      </w:r>
      <w:r>
        <w:t xml:space="preserve">Niedzielski (1999)</w:t>
      </w:r>
      <w:r>
        <w:t xml:space="preserve"> </w:t>
      </w:r>
      <w:r>
        <w:t xml:space="preserve">infers, on the basis of later, evaluative judgments of diphthong onset quality, that social information has blocked online access to phonetic detail, but this can not be confirmed by the task. Additionally,</w:t>
      </w:r>
      <w:r>
        <w:t xml:space="preserve"> </w:t>
      </w:r>
      <w:r>
        <w:t xml:space="preserve">McGowan and Babel (2020)</w:t>
      </w:r>
      <w:r>
        <w:t xml:space="preserve"> </w:t>
      </w:r>
      <w:r>
        <w:t xml:space="preserve">suggest that inferring segmental perception behavior from evaluative perception tasks is unwise given how dramatically responses to these two levels may disagree</w:t>
      </w:r>
      <w:r>
        <w:t xml:space="preserve"> </w:t>
      </w:r>
      <w:r>
        <w:t xml:space="preserve">(see also Campbell-Kibler 2012)</w:t>
      </w:r>
      <w:r>
        <w:t xml:space="preserve">. To understand how awareness of the guise manipulation may influence perception behavior, the present study uses the inverted MGT to test listeners’ segmental perceptions of an [ʃ]-[s] fricative continuum under both different guise and different awareness conditions.</w:t>
      </w:r>
    </w:p>
    <w:bookmarkEnd w:id="21"/>
    <w:bookmarkStart w:id="22" w:name="sec-fricative-gender"/>
    <w:p>
      <w:pPr>
        <w:pStyle w:val="Heading3"/>
      </w:pPr>
      <w:r>
        <w:t xml:space="preserve">Segmental perception: [ʃ]-[s] perception</w:t>
      </w:r>
    </w:p>
    <w:p>
      <w:pPr>
        <w:pStyle w:val="FirstParagraph"/>
      </w:pPr>
      <w:r>
        <w:t xml:space="preserve">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(Johnson 2005)</w:t>
      </w:r>
      <w:r>
        <w:t xml:space="preserve">. In the following two subsections, we will lay out our understanding of the relationship between this phonetic variation and its social interpretation as a form of interactive social meaning-making.</w:t>
      </w:r>
    </w:p>
    <w:p>
      <w:pPr>
        <w:pStyle w:val="BodyText"/>
      </w:pPr>
      <w:r>
        <w:t xml:space="preserve">Articulatorily, these fricatives mainly differ in constriction width (the extent of apical contact) and place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with a narrow constriction. English [ʃ] has a comparatively larger resonating chamber and wider constriction,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although sociophonetic differences and biological differences both contribute to observable patterns of gendered fricative production in English</w:t>
      </w:r>
      <w:r>
        <w:t xml:space="preserve"> </w:t>
      </w:r>
      <w:r>
        <w:t xml:space="preserve">(Fuchs and Toda 2010)</w:t>
      </w:r>
      <w:r>
        <w:t xml:space="preserve">. This gendered fricative effect is, in practice, entirely separable from between-speaker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These continua have endpoints in prototypical examples of [ʃ] and [s], with some number of acoustic steps spliced, synthesized, or even mixed between these. Near the middle of such a continuum will be a synthetic fricative that is ambiguous as to category membership: not clearly [ʃ] and not clearly [s] for the vocal tract that produced the endpoints.</w:t>
      </w:r>
      <w:r>
        <w:t xml:space="preserve"> </w:t>
      </w:r>
      <w:r>
        <w:t xml:space="preserve">May (1976)</w:t>
      </w:r>
      <w:r>
        <w:t xml:space="preserve"> </w:t>
      </w:r>
      <w:r>
        <w:t xml:space="preserve">paired such a continuum from [ʃ] (centered at 2.9 kHz) to [s] (centered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resulting in more looks to a prototypically male face than a prototypically female face when the task is listening to a word and answering</w:t>
      </w:r>
      <w:r>
        <w:t xml:space="preserve"> </w:t>
      </w:r>
      <w:r>
        <w:t xml:space="preserve">“who do you hear?”</w:t>
      </w:r>
    </w:p>
    <w:p>
      <w:pPr>
        <w:pStyle w:val="BodyText"/>
      </w:pPr>
      <w:r>
        <w:t xml:space="preserve">Strand and Johnson (1996)</w:t>
      </w:r>
      <w:r>
        <w:t xml:space="preserve"> </w:t>
      </w:r>
      <w:r>
        <w:t xml:space="preserve">conducted a pair of experiments investigating the influence of the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(May 1976; 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of their purported talker can, again, shift perceptions of the [ʃ]-[s] continuum such that listeners report hearing a higher proportion of the continuum as [ʃ] when watching a female talker and a higher proportion of the same continuum as [s] when watching a male talker.</w:t>
      </w:r>
    </w:p>
    <w:bookmarkEnd w:id="22"/>
    <w:bookmarkStart w:id="23" w:name="sec-gender"/>
    <w:p>
      <w:pPr>
        <w:pStyle w:val="Heading2"/>
      </w:pPr>
      <w:r>
        <w:t xml:space="preserve">Phonetics, Speech Perception, and the Social-Construction of Gender</w:t>
      </w:r>
    </w:p>
    <w:p>
      <w:pPr>
        <w:pStyle w:val="FirstParagraph"/>
      </w:pPr>
      <w:r>
        <w:t xml:space="preserve">It has long seemed normal in phonetics to imagine that gender is a simple, automatic projection from biological sex onto social identity</w:t>
      </w:r>
      <w:r>
        <w:t xml:space="preserve"> </w:t>
      </w:r>
      <w:r>
        <w:t xml:space="preserve">(Daniel et al. 2007; Samoliński, Grzanka, and Gotlib 2007; Sawusch 2005)</w:t>
      </w:r>
      <w:r>
        <w:t xml:space="preserve"> </w:t>
      </w:r>
      <w:r>
        <w:t xml:space="preserve">that listeners can simply normalize away</w:t>
      </w:r>
      <w:r>
        <w:t xml:space="preserve"> </w:t>
      </w:r>
      <w:r>
        <w:t xml:space="preserve">(Johnson 2005)</w:t>
      </w:r>
      <w:r>
        <w:t xml:space="preserve"> </w:t>
      </w:r>
      <w:r>
        <w:t xml:space="preserve">to facilitate linguistic perception. Even within sociolinguistics and sociophonetics, where conceptualizations of gender have long been more nuanced, perception research has</w:t>
      </w:r>
      <w:r>
        <w:t xml:space="preserve"> </w:t>
      </w:r>
      <w:r>
        <w:t xml:space="preserve">“retained a basically binary view of gender”</w:t>
      </w:r>
      <w:r>
        <w:t xml:space="preserve"> </w:t>
      </w:r>
      <w:r>
        <w:t xml:space="preserve">(Campbell-Kibler and miles-hercules 2021, 52)</w:t>
      </w:r>
      <w:r>
        <w:t xml:space="preserve">. This may be due to the simple expedient that experimenters need our stimuli to</w:t>
      </w:r>
      <w:r>
        <w:t xml:space="preserve"> </w:t>
      </w:r>
      <w:r>
        <w:rPr>
          <w:i/>
          <w:iCs/>
        </w:rPr>
        <w:t xml:space="preserve">work</w:t>
      </w:r>
      <w:r>
        <w:t xml:space="preserve"> </w:t>
      </w:r>
      <w:r>
        <w:t xml:space="preserve">for a large cross-section of listeners despite tremendous individual difference and cultural mismatches in both the range of gender categories and the fine phonetic detail available for the production and perception of those categories</w:t>
      </w:r>
      <w:r>
        <w:t xml:space="preserve"> </w:t>
      </w:r>
      <w:r>
        <w:t xml:space="preserve">(Eckert and Podesva 2021)</w:t>
      </w:r>
      <w:r>
        <w:t xml:space="preserve">. Listeners can only make use of this phonetic variation if it is indexed for them in experience or ideology</w:t>
      </w:r>
      <w:r>
        <w:t xml:space="preserve"> </w:t>
      </w:r>
      <w:r>
        <w:t xml:space="preserve">(Drager 2010)</w:t>
      </w:r>
      <w:r>
        <w:t xml:space="preserve">. Unfortunately, it can be essentially impossible for an experimenter to tell the difference between a genuine finding that a particular social variable does not influence perception, on the one hand, or an indexical mismatch between experimental stimuli and participants’ indexical inventories</w:t>
      </w:r>
      <w:r>
        <w:t xml:space="preserve"> </w:t>
      </w:r>
      <w:r>
        <w:t xml:space="preserve">(Barrett and Hall 2024)</w:t>
      </w:r>
      <w:r>
        <w:t xml:space="preserve"> </w:t>
      </w:r>
      <w:r>
        <w:t xml:space="preserve">on the other. The creation and use of stimuli that are rated as highly gender-prototypical for a large group of listeners therefore maximizes the probability that a perception experiment will find an interpretable result.</w:t>
      </w:r>
    </w:p>
    <w:p>
      <w:pPr>
        <w:pStyle w:val="BodyText"/>
      </w:pPr>
      <w:r>
        <w:t xml:space="preserve">Therefore, it can not be overemphasized that an essentially binary view of gender is inconsistent with the available evidence: gendered variation in such phonetic cues as fundamental frequency, formants, and fricatives is not purely the result of vocal tract biology but also gestural coordination and performance. Small variations attributable to secondary sex characteristics become available as the semiotic building blocks of gender identity. People who identify as male, female, non-binary, intersex, etc. perform that identity through gestural style. Trans men, even while experiencing the very real physical consequences of hormone treatments, may also adopt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 Just as with words, genders are arbitrary; both the social labels and their acoustic correlates are language specific, and the constellations of meanings are socially-constructed in interaction</w:t>
      </w:r>
      <w:r>
        <w:t xml:space="preserve"> </w:t>
      </w:r>
      <w:r>
        <w:t xml:space="preserve">(Eckert 2008)</w:t>
      </w:r>
      <w:r>
        <w:t xml:space="preserve">.</w:t>
      </w:r>
    </w:p>
    <w:p>
      <w:pPr>
        <w:pStyle w:val="BodyText"/>
      </w:pPr>
      <w:r>
        <w:t xml:space="preserve">Vowels, in both their linguistic and social aspects, are the acoustic consequence of gestural control. The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the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Children don’t perform adult-like vowel formant patterns because they were born tiny men and women, children perform adult-like vowel formant patterns because they are socialized into gender and are using the cultural and linguistic resources available to communicate that gender to others just as adults do. Humans are meaning-making agents, not deterministically resonating meat tubes.</w:t>
      </w:r>
    </w:p>
    <w:p>
      <w:pPr>
        <w:pStyle w:val="BodyText"/>
      </w:pPr>
      <w:r>
        <w:t xml:space="preserve">In the earliest sociophonetic perception research, it was still possible to imagine that the kind of knowledge listeners drew on to perceive gender was knowledge of primary biological traits. We now understand, on the contrary, that the influence of gender-based expectations in speech perception is evidence of the influence of cultural knowledge on what might previously have been construed as purely linguistic decisions</w:t>
      </w:r>
      <w:r>
        <w:t xml:space="preserve"> </w:t>
      </w:r>
      <w:r>
        <w:t xml:space="preserve">(Boyd, Fruehwald, and Hall-Lew 2021)</w:t>
      </w:r>
      <w:r>
        <w:t xml:space="preserve">.</w:t>
      </w:r>
    </w:p>
    <w:p>
      <w:pPr>
        <w:pStyle w:val="BodyText"/>
      </w:pPr>
      <w:r>
        <w:t xml:space="preserve">One goal of the present study is to take advantage of the sociophonetic trading relation between listeners’ gender and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accounts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detailed, rigorous review of the sociolinguistics, linguistic anthropology, and phonetics literature simultaneously convinced that listeners’ use of social information happens both obligatorily above and below the level of conscious awareness.</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instruction condition were briefed in the instructions about the guise manipulation. They were instructed that the man or woman in the photo was not associated with the voice they were listening to.</w:t>
      </w:r>
      <w:r>
        <w:t xml:space="preserve"> </w:t>
      </w:r>
      <w:r>
        <w:t xml:space="preserve">(Campbell-Kibler 2021)</w:t>
      </w:r>
      <w:r>
        <w:t xml:space="preserve">, using a similar manipulation, finds that listeners have some ability to disregard social information when making accentedness or attractiveness judgments,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 stimulus.</w:t>
      </w:r>
    </w:p>
    <w:bookmarkEnd w:id="23"/>
    <w:bookmarkEnd w:id="24"/>
    <w:bookmarkStart w:id="40" w:name="sec-method"/>
    <w:p>
      <w:pPr>
        <w:pStyle w:val="Heading1"/>
      </w:pPr>
      <w:r>
        <w:t xml:space="preserve">Method</w:t>
      </w:r>
    </w:p>
    <w:bookmarkStart w:id="25"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had provided language history and demographic data as part of Prolific’s general pre-screening questionnaire. Participation was restricted to a standard sample of desktop computer users located in the USA, who spent most of their childhoods in the US, spoke English as their first and primary language, and having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p>
    <w:p>
      <w:pPr>
        <w:pStyle w:val="BodyText"/>
      </w:pPr>
      <w:r>
        <w:t xml:space="preserve">Participants were paid $3 for their time, prorated from a projected rate of $20/hour (actual rate: $26.29/hour). This same instrument was piloted in the Speech Perception lab of The Ohio State University, and, while reaction times online were generally slower than in-person, results from the online administration were generally consistent with pilot results collected under laboratory conditions. Four participants were excluded for low accuracy rates (below 85%).</w:t>
      </w:r>
    </w:p>
    <w:bookmarkEnd w:id="25"/>
    <w:bookmarkStart w:id="31" w:name="sec-stimuli"/>
    <w:p>
      <w:pPr>
        <w:pStyle w:val="Heading2"/>
      </w:pPr>
      <w:r>
        <w:t xml:space="preserve">Stimulus Materials</w:t>
      </w:r>
    </w:p>
    <w:bookmarkStart w:id="30"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which were generously shared with us, contain two parts, both of which are drawn from synthetic continua: a fricative onset and a VC rime. The fricative onsets comprise a synthetic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in</w:t>
      </w:r>
      <w:r>
        <w:t xml:space="preserve"> </w:t>
      </w:r>
      <w:r>
        <w:t xml:space="preserve">Strand and Johnson (1996)</w:t>
      </w:r>
      <w:r>
        <w:t xml:space="preserve">). Centers of Gravity ranged from a low of 3.2 kHz (/ʃ/-like) to a high of 7 kHz (/s/-like). This continuum is essential to the design as it will allow us to observe any influence of purported gender on listeners’ behavioral responses.</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w:t>
      </w:r>
      <w:r>
        <w:t xml:space="preserve">These five-step rime continua were created by evenly spacing mean F0 across consecutive steps such that the male-spoken /æk/ continuum increased F0 frequency and formant spacing from their unmodified values in a feminizing direction. Conversely, the female talker’s /æk/ continuum decreased both parameters from her unmodified productions to create a continuum in a masculinizing direction. These continua essentially allow us to combine the designs of Strand &amp; Johnson’s experiment 1 and experiment 2 in a single task. Listeners will be presented with a wide range of phonetic information from the unmodified gender-prototypical starting points through a range of increasingly non-prototypical continuum steps.</w:t>
      </w:r>
    </w:p>
    <w:p>
      <w:pPr>
        <w:pStyle w:val="BodyText"/>
      </w:pPr>
      <w:r>
        <w:t xml:space="preserve">Following the separate creations of these continua, each synthesized fricative token was concatenated with each CV rime of /æk/, resulting in a total of 60 unique auditory stimuli. Each fricative step + rime step stimulus item was played independently as the auditory stimulus item in the perception experiment. 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 were advanced doctoral students in a linguistics PhD program, some of the elements of such an identity are likely available to conscious reflection, but many of these indexical features (such as VOT duration, F2:F3 formant ratio, etc.)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9" w:name="fig-stimuli"/>
          <w:p>
            <w:pPr>
              <w:pStyle w:val="Compact"/>
              <w:jc w:val="center"/>
            </w:pPr>
            <w:r>
              <w:drawing>
                <wp:inline>
                  <wp:extent cx="4754880" cy="3361404"/>
                  <wp:effectExtent b="0" l="0" r="0" t="0"/>
                  <wp:docPr descr="" title="" id="27" name="Picture"/>
                  <a:graphic>
                    <a:graphicData uri="http://schemas.openxmlformats.org/drawingml/2006/picture">
                      <pic:pic>
                        <pic:nvPicPr>
                          <pic:cNvPr descr="images/figure1.png" id="28" name="Picture"/>
                          <pic:cNvPicPr>
                            <a:picLocks noChangeArrowheads="1" noChangeAspect="1"/>
                          </pic:cNvPicPr>
                        </pic:nvPicPr>
                        <pic:blipFill>
                          <a:blip r:embed="rId26"/>
                          <a:stretch>
                            <a:fillRect/>
                          </a:stretch>
                        </pic:blipFill>
                        <pic:spPr bwMode="auto">
                          <a:xfrm>
                            <a:off x="0" y="0"/>
                            <a:ext cx="4754880" cy="33614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S5 and S6 represent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w:t>
            </w:r>
          </w:p>
          <w:bookmarkEnd w:id="29"/>
        </w:tc>
      </w:tr>
    </w:tbl>
    <w:bookmarkEnd w:id="30"/>
    <w:bookmarkEnd w:id="31"/>
    <w:bookmarkStart w:id="37" w:name="sec-stim-evals"/>
    <w:p>
      <w:pPr>
        <w:pStyle w:val="Heading2"/>
      </w:pPr>
      <w:r>
        <w:t xml:space="preserve">Explicit Evaluations of Auditory Stimuli</w:t>
      </w:r>
    </w:p>
    <w:p>
      <w:pPr>
        <w:pStyle w:val="FirstParagraph"/>
      </w:pPr>
      <w:r>
        <w:t xml:space="preserve">Because voices carry social information, we elicited explicit social ratings to better understand how the auditory stimuli might influence participants’ perception of the identities of the two talkers. It is important to remember that these explicit evaluations are, themselves, evaluative judgments and will not be taken as veridical evidence of how listeners will experience the voices during segmental perception (see</w:t>
      </w:r>
      <w:r>
        <w:t xml:space="preserve"> </w:t>
      </w:r>
      <w:hyperlink w:anchor="sec-mgt">
        <w:r>
          <w:rPr>
            <w:rStyle w:val="Hyperlink"/>
          </w:rPr>
          <w:t xml:space="preserve">Section 1.0.1</w:t>
        </w:r>
      </w:hyperlink>
      <w:r>
        <w:t xml:space="preserve">). 40 undergraduate students at the Ohio State University (25 female, 15 male, ages 18-26) who participated in an in-person pilot version of the inverted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 about the gender identity of the speaker. Most participants (93%)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 (1 further specified</w:t>
      </w:r>
      <w:r>
        <w:t xml:space="preserve"> </w:t>
      </w:r>
      <w:r>
        <w:t xml:space="preserve">‘trans-male’</w:t>
      </w:r>
      <w:r>
        <w:t xml:space="preserve">), and 21% were unsure of the gender of the speaker.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judgments of the voice’s sexuality were more variable. 65% indicated they were unsure, 14% indicated the speaker was most likely heterosexual, and 16% indicated homosexual, and, again, 1 each indicating the speaker was most likely bisexual, or another sexuality not listed. Crucially,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6"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Correll, and Wittenbrink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 at the command line using ImageMagick</w:t>
      </w:r>
      <w:r>
        <w:t xml:space="preserve"> </w:t>
      </w:r>
      <w:r>
        <w:t xml:space="preserve">(LLC 2023)</w:t>
      </w:r>
      <w:r>
        <w:t xml:space="preserve">.</w:t>
      </w:r>
    </w:p>
    <w:p>
      <w:pPr>
        <w:pStyle w:val="BodyText"/>
      </w:pPr>
      <w:r>
        <w:t xml:space="preserve">Additionally, two gray-scale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both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5" w:name="fig-visual"/>
          <w:p>
            <w:pPr>
              <w:pStyle w:val="Compact"/>
              <w:jc w:val="center"/>
            </w:pPr>
            <w:r>
              <w:drawing>
                <wp:inline>
                  <wp:extent cx="4754880" cy="4754880"/>
                  <wp:effectExtent b="0" l="0" r="0" t="0"/>
                  <wp:docPr descr="" title="" id="33" name="Picture"/>
                  <a:graphic>
                    <a:graphicData uri="http://schemas.openxmlformats.org/drawingml/2006/picture">
                      <pic:pic>
                        <pic:nvPicPr>
                          <pic:cNvPr descr="images/facesanddrawings.jpg" id="34" name="Picture"/>
                          <pic:cNvPicPr>
                            <a:picLocks noChangeArrowheads="1" noChangeAspect="1"/>
                          </pic:cNvPicPr>
                        </pic:nvPicPr>
                        <pic:blipFill>
                          <a:blip r:embed="rId32"/>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5"/>
        </w:tc>
      </w:tr>
    </w:tbl>
    <w:bookmarkEnd w:id="36"/>
    <w:bookmarkEnd w:id="37"/>
    <w:bookmarkStart w:id="39" w:name="sec-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(Bouavichith et al. 2019)</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8"/>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 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9"/>
    <w:bookmarkEnd w:id="40"/>
    <w:bookmarkStart w:id="44" w:name="sec-predictions"/>
    <w:p>
      <w:pPr>
        <w:pStyle w:val="Heading1"/>
      </w:pPr>
      <w:r>
        <w:t xml:space="preserve">Predicted Results</w:t>
      </w:r>
    </w:p>
    <w:bookmarkStart w:id="41" w:name="sec-pred-fac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1"/>
    <w:bookmarkStart w:id="42" w:name="sec-pred-congruen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w:t>
      </w:r>
      <w:r>
        <w:t xml:space="preserve"> </w:t>
      </w:r>
      <w:r>
        <w:t xml:space="preserve">(see also 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results with subcategorical, coarticulatory mismatches for fricative identification 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2"/>
    <w:bookmarkStart w:id="43" w:name="sec-pred-guise"/>
    <w:p>
      <w:pPr>
        <w:pStyle w:val="Heading2"/>
      </w:pPr>
      <w:r>
        <w:t xml:space="preserve">Guise: Hidden or Unhidden</w:t>
      </w:r>
    </w:p>
    <w:p>
      <w:pPr>
        <w:pStyle w:val="FirstParagraph"/>
      </w:pPr>
      <w:r>
        <w:t xml:space="preserve">The primary goal of this experiment was to explore the role of listener awareness and control in the matched guise technique. The care researchers take to ensure that the guise manipulation is hidden from participants suggests a kind of imagined fragility of</w:t>
      </w:r>
      <w:r>
        <w:t xml:space="preserve"> </w:t>
      </w:r>
      <w:r>
        <w:t xml:space="preserve">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is not available to introspection or deliberative control, we should see no change between the (traditional) hidden matched guise and the unhidden guise.</w:t>
      </w:r>
    </w:p>
    <w:p>
      <w:pPr>
        <w:pStyle w:val="BodyText"/>
      </w:pPr>
      <w:r>
        <w:t xml:space="preserve">Additionally, we speculate that there may be a response time difference between the Hidden and Unhidden guises even if there is no apparent difference in percept between the conditions. It can certainly be the case that participants will arrive at the same behavioral responses via different cognitive processing paths, perhaps drawing on different levels of knowledge and awareness, and that these differences may be visible in response times between the Instruction conditions.</w:t>
      </w:r>
    </w:p>
    <w:bookmarkEnd w:id="43"/>
    <w:bookmarkEnd w:id="44"/>
    <w:bookmarkStart w:id="64"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 ms (N=50) were excluded. The 5000 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 ms. To increase normality of the distribution of response times across participants, the remaining response times were log-transformed.</w:t>
      </w:r>
    </w:p>
    <w:bookmarkStart w:id="53"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48" w:name="fig-scurve"/>
          <w:p>
            <w:pPr>
              <w:pStyle w:val="Compact"/>
              <w:jc w:val="center"/>
            </w:pPr>
            <w:r>
              <w:drawing>
                <wp:inline>
                  <wp:extent cx="4754880" cy="2937285"/>
                  <wp:effectExtent b="0" l="0" r="0" t="0"/>
                  <wp:docPr descr="" title="" id="46" name="Picture"/>
                  <a:graphic>
                    <a:graphicData uri="http://schemas.openxmlformats.org/drawingml/2006/picture">
                      <pic:pic>
                        <pic:nvPicPr>
                          <pic:cNvPr descr="images/Scurve.png" id="47" name="Picture"/>
                          <pic:cNvPicPr>
                            <a:picLocks noChangeArrowheads="1" noChangeAspect="1"/>
                          </pic:cNvPicPr>
                        </pic:nvPicPr>
                        <pic:blipFill>
                          <a:blip r:embed="rId45"/>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fricative (Onset) continuum steps and purported gender presented by the face.</w:t>
            </w:r>
          </w:p>
          <w:bookmarkEnd w:id="48"/>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2" w:name="fig-rimes"/>
          <w:p>
            <w:pPr>
              <w:pStyle w:val="Compact"/>
              <w:jc w:val="center"/>
            </w:pPr>
            <w:r>
              <w:drawing>
                <wp:inline>
                  <wp:extent cx="4754880" cy="2937285"/>
                  <wp:effectExtent b="0" l="0" r="0" t="0"/>
                  <wp:docPr descr="" title="" id="50" name="Picture"/>
                  <a:graphic>
                    <a:graphicData uri="http://schemas.openxmlformats.org/drawingml/2006/picture">
                      <pic:pic>
                        <pic:nvPicPr>
                          <pic:cNvPr descr="images/ambiguous-by-rime-step.png" id="51" name="Picture"/>
                          <pic:cNvPicPr>
                            <a:picLocks noChangeArrowheads="1" noChangeAspect="1"/>
                          </pic:cNvPicPr>
                        </pic:nvPicPr>
                        <pic:blipFill>
                          <a:blip r:embed="rId49"/>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2"/>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that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are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3"/>
    <w:bookmarkStart w:id="58"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7" w:name="fig-coefs"/>
          <w:p>
            <w:pPr>
              <w:pStyle w:val="Compact"/>
              <w:jc w:val="center"/>
            </w:pPr>
            <w:r>
              <w:drawing>
                <wp:inline>
                  <wp:extent cx="4754880" cy="3169919"/>
                  <wp:effectExtent b="0" l="0" r="0" t="0"/>
                  <wp:docPr descr="" title="" id="55" name="Picture"/>
                  <a:graphic>
                    <a:graphicData uri="http://schemas.openxmlformats.org/drawingml/2006/picture">
                      <pic:pic>
                        <pic:nvPicPr>
                          <pic:cNvPr descr="images/coefs_instruction.png" id="56" name="Picture"/>
                          <pic:cNvPicPr>
                            <a:picLocks noChangeArrowheads="1" noChangeAspect="1"/>
                          </pic:cNvPicPr>
                        </pic:nvPicPr>
                        <pic:blipFill>
                          <a:blip r:embed="rId54"/>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7"/>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8"/>
    <w:bookmarkStart w:id="63" w:name="sec-results-rt"/>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fig-coefs-logRT"/>
          <w:p>
            <w:pPr>
              <w:pStyle w:val="Compact"/>
              <w:jc w:val="center"/>
            </w:pPr>
            <w:r>
              <w:drawing>
                <wp:inline>
                  <wp:extent cx="4754880" cy="3169919"/>
                  <wp:effectExtent b="0" l="0" r="0" t="0"/>
                  <wp:docPr descr="" title="" id="60" name="Picture"/>
                  <a:graphic>
                    <a:graphicData uri="http://schemas.openxmlformats.org/drawingml/2006/picture">
                      <pic:pic>
                        <pic:nvPicPr>
                          <pic:cNvPr descr="images/coefs-logRT_instructions.png" id="61" name="Picture"/>
                          <pic:cNvPicPr>
                            <a:picLocks noChangeArrowheads="1" noChangeAspect="1"/>
                          </pic:cNvPicPr>
                        </pic:nvPicPr>
                        <pic:blipFill>
                          <a:blip r:embed="rId59"/>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2"/>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3"/>
    <w:bookmarkEnd w:id="64"/>
    <w:bookmarkStart w:id="65" w:name="discussion"/>
    <w:p>
      <w:pPr>
        <w:pStyle w:val="Heading1"/>
      </w:pPr>
      <w:r>
        <w:t xml:space="preserve">Discussion</w:t>
      </w:r>
    </w:p>
    <w:p>
      <w:pPr>
        <w:pStyle w:val="FirstParagraph"/>
      </w:pPr>
      <w:r>
        <w:t xml:space="preserve">This study was initially motivated by a desire to understand the role of listener awareness and control in the matched guise technique. How important is it, for example, that listeners believe the guise manipulation</w:t>
      </w:r>
      <w:r>
        <w:t xml:space="preserve"> </w:t>
      </w:r>
      <w:r>
        <w:t xml:space="preserve">(e.g. McGowan and Babel 2020)</w:t>
      </w:r>
      <w:r>
        <w:t xml:space="preserve">. We attempted to demonstrate in the introduction that the careful steps researchers typcially take to obscure the nature of the guise manipulation from participants reflects a long-held assumption in the sociolinguistics literature that social knowledge is high-level knowledge, available to introspective control</w:t>
      </w:r>
      <w:r>
        <w:t xml:space="preserve"> </w:t>
      </w:r>
      <w:r>
        <w:t xml:space="preserve">(Campbell-Kibler 2016)</w:t>
      </w:r>
      <w:r>
        <w:t xml:space="preserve"> </w:t>
      </w:r>
      <w:r>
        <w:t xml:space="preserve">and that awareness of the manipulation might therefore alter or allow listeners to control perceptual responses. The results of the present study are inconsistent with this imagined fragility of the influence of social knowledge. Revealing the nature of the guise manipulation did not significantly influence listener responses in either the congruous or incongruous conditions. Nor did this revelation have a significant influence on response times in either condition.</w:t>
      </w:r>
    </w:p>
    <w:p>
      <w:pPr>
        <w:pStyle w:val="BodyText"/>
      </w:pPr>
      <w:r>
        <w:t xml:space="preserve">The finding that the Matched Guise effect holds for speech perception both when hidden from the participant and when unhidden is inconsistent with a model of processing in which social knowledge simply acts as a filter on linguistic knowledge. Social knowledge can influence perception even when listeners are aware that it is likely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 that such belief may be irrelevant, which lends support to</w:t>
      </w:r>
      <w:r>
        <w:t xml:space="preserve"> </w:t>
      </w:r>
      <w:r>
        <w:t xml:space="preserve">Drager and Kirtley (2016b)</w:t>
      </w:r>
      <w:r>
        <w:t xml:space="preserve">’s (p. 9) proposal that</w:t>
      </w:r>
      <w:r>
        <w:t xml:space="preserve"> </w:t>
      </w:r>
      <w:r>
        <w:t xml:space="preserve">“individuals do not</w:t>
      </w:r>
      <w:r>
        <w:t xml:space="preserve"> </w:t>
      </w:r>
      <w:r>
        <w:t xml:space="preserve">need to be aware of variation in order for that variation to be socially</w:t>
      </w:r>
      <w:r>
        <w:t xml:space="preserve"> </w:t>
      </w:r>
      <w:r>
        <w:t xml:space="preserve">meaningful.”</w:t>
      </w:r>
      <w:r>
        <w:t xml:space="preserve"> </w:t>
      </w:r>
      <w:r>
        <w:t xml:space="preserve">The present result</w:t>
      </w:r>
      <w:r>
        <w:t xml:space="preserve"> </w:t>
      </w:r>
      <w:r>
        <w:t xml:space="preserve">also gives additional context to studies demonstrating influence of</w:t>
      </w:r>
      <w:r>
        <w:t xml:space="preserve"> </w:t>
      </w:r>
      <w:r>
        <w:t xml:space="preserve">social knowledge even when listeners have no reason to expect a guise</w:t>
      </w:r>
      <w:r>
        <w:t xml:space="preserve"> </w:t>
      </w:r>
      <w:r>
        <w:t xml:space="preserve">manipulation</w:t>
      </w:r>
      <w:r>
        <w:t xml:space="preserve"> </w:t>
      </w:r>
      <w:r>
        <w:t xml:space="preserve">(Niedzielski 1999; J. Hay, Nolan, and Drager 2006; J.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even along the synthetic gender continuum, rather than the purported gender of the Face. This pattern was strongest in the least-ambiguous portions of the fricative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(Strand and Johnson 1996)</w:t>
      </w:r>
      <w:r>
        <w:t xml:space="preserve">‘s</w:t>
      </w:r>
      <w:r>
        <w:t xml:space="preserve"> </w:t>
      </w:r>
      <w:r>
        <w:t xml:space="preserve">two experiments simultaneously. One wonders, looking back at their experiment 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’non-protypical’</w:t>
      </w:r>
      <w:r>
        <w:t xml:space="preserve"> </w:t>
      </w:r>
      <w:r>
        <w:t xml:space="preserve">voice to supplement</w:t>
      </w:r>
      <w:r>
        <w:t xml:space="preserve"> </w:t>
      </w:r>
      <w:r>
        <w:t xml:space="preserve">the purported information from the Face. The non-prototypical male and female voices used in Strand &amp; Johnson’s experiment 1 were still perceived as male and female. This congruity finding may provide some insight into recent failures to replicate 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spacing. However, these may not be the only cues</w:t>
      </w:r>
      <w:r>
        <w:t xml:space="preserve"> </w:t>
      </w:r>
      <w:r>
        <w:t xml:space="preserve">listeners are drawing upon with their knowledge of US English. Surely,</w:t>
      </w:r>
      <w:r>
        <w:t xml:space="preserve"> </w:t>
      </w:r>
      <w:r>
        <w:t xml:space="preserve">F0 and vowel formant spacing</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for those stops,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the present study, we have used manipulated stimuli that obscure, over the</w:t>
      </w:r>
      <w:r>
        <w:t xml:space="preserve"> </w:t>
      </w:r>
      <w:r>
        <w:t xml:space="preserve">course of two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(Whalen 1984)</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these commonly-manipulated phonetic correlates.</w:t>
      </w:r>
    </w:p>
    <w:bookmarkEnd w:id="65"/>
    <w:bookmarkStart w:id="66" w:name="conclusion"/>
    <w:p>
      <w:pPr>
        <w:pStyle w:val="Heading1"/>
      </w:pPr>
      <w:r>
        <w:t xml:space="preserve">Conclusion</w:t>
      </w:r>
    </w:p>
    <w:p>
      <w:pPr>
        <w:pStyle w:val="FirstParagraph"/>
      </w:pPr>
      <w:r>
        <w:t xml:space="preserve">Decades of research since</w:t>
      </w:r>
      <w:r>
        <w:t xml:space="preserve"> </w:t>
      </w:r>
      <w:r>
        <w:t xml:space="preserve">(Strand and Johnson 1996)</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experiment 1 and experiment 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congruent, they can enhance one another. If,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 McGowan and Babel 2020)</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 the</w:t>
      </w:r>
      <w:r>
        <w:t xml:space="preserve"> </w:t>
      </w:r>
      <w:r>
        <w:t xml:space="preserve">lack of Face effect for</w:t>
      </w:r>
      <w:r>
        <w:t xml:space="preserve"> </w:t>
      </w:r>
      <w:r>
        <w:t xml:space="preserve">(Johnson, Strand, and D’Imperio 1999)</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issue)</w:t>
      </w:r>
      <w:r>
        <w:t xml:space="preserve">, 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w:t>
      </w:r>
    </w:p>
    <w:p>
      <w:pPr>
        <w:pStyle w:val="BodyText"/>
      </w:pPr>
      <w:r>
        <w:t xml:space="preserve">(Barrett 2014, 205)</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w:t>
      </w:r>
      <w:r>
        <w:t xml:space="preserve">It may not feel brutal or reductive</w:t>
      </w:r>
      <w:r>
        <w:t xml:space="preserve"> </w:t>
      </w:r>
      <w:r>
        <w:t xml:space="preserve">to read</w:t>
      </w:r>
      <w:r>
        <w:t xml:space="preserve"> </w:t>
      </w:r>
      <w:r>
        <w:t xml:space="preserve">(May 1976)</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the influence of listeners’ social knowledge</w:t>
      </w:r>
      <w:r>
        <w:t xml:space="preserve"> </w:t>
      </w:r>
      <w:r>
        <w:t xml:space="preserve">of speech on perception is not delicate. The present result is equally inconsistent</w:t>
      </w:r>
      <w:r>
        <w:t xml:space="preserve"> </w:t>
      </w:r>
      <w:r>
        <w:t xml:space="preserve">with a model that disregards social knowledge entirely and with a</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and linguistic knowledge are deeply intertwined in speech</w:t>
      </w:r>
      <w:r>
        <w:t xml:space="preserve"> </w:t>
      </w:r>
      <w:r>
        <w:t xml:space="preserve">perception.</w:t>
      </w:r>
    </w:p>
    <w:bookmarkEnd w:id="66"/>
    <w:bookmarkStart w:id="198" w:name="sec-references"/>
    <w:p>
      <w:pPr>
        <w:pStyle w:val="Heading1"/>
      </w:pPr>
      <w:r>
        <w:t xml:space="preserve">References</w:t>
      </w:r>
    </w:p>
    <w:bookmarkStart w:id="197" w:name="refs"/>
    <w:bookmarkStart w:id="67"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7"/>
    <w:bookmarkStart w:id="68"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8"/>
    <w:bookmarkStart w:id="69"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69"/>
    <w:bookmarkStart w:id="70"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70"/>
    <w:bookmarkStart w:id="71" w:name="ref-barrett2014"/>
    <w:p>
      <w:pPr>
        <w:pStyle w:val="Bibliography"/>
      </w:pPr>
      <w:r>
        <w:t xml:space="preserve">Barrett, Rusty. 2014.</w:t>
      </w:r>
      <w:r>
        <w:t xml:space="preserve"> </w:t>
      </w:r>
      <w:r>
        <w:t xml:space="preserve">“The Emergence of the Unmarked.”</w:t>
      </w:r>
      <w:r>
        <w:t xml:space="preserve"> </w:t>
      </w:r>
      <w:r>
        <w:t xml:space="preserve">In</w:t>
      </w:r>
      <w:r>
        <w:t xml:space="preserve"> </w:t>
      </w:r>
      <w:r>
        <w:rPr>
          <w:i/>
          <w:iCs/>
        </w:rPr>
        <w:t xml:space="preserve">Queer Excursions: Retheorizing Binaries in Language, Gender, and Sexuality</w:t>
      </w:r>
      <w:r>
        <w:t xml:space="preserve">, edited by L Zimman, J Davis, and J Raclaw, 195–223. Oxford University Press.</w:t>
      </w:r>
    </w:p>
    <w:bookmarkEnd w:id="71"/>
    <w:bookmarkStart w:id="72" w:name="ref-barrettHall2024"/>
    <w:p>
      <w:pPr>
        <w:pStyle w:val="Bibliography"/>
      </w:pPr>
      <w:r>
        <w:t xml:space="preserve">Barrett, Rusty, and Kira Hall. 2024.</w:t>
      </w:r>
      <w:r>
        <w:t xml:space="preserve"> </w:t>
      </w:r>
      <w:r>
        <w:t xml:space="preserve">“Sexuality Discourses: Indexical Misrecognition and the Politics of Sex.”</w:t>
      </w:r>
      <w:r>
        <w:t xml:space="preserve"> </w:t>
      </w:r>
      <w:r>
        <w:rPr>
          <w:i/>
          <w:iCs/>
        </w:rPr>
        <w:t xml:space="preserve">Annual Review of Anthropology</w:t>
      </w:r>
      <w:r>
        <w:t xml:space="preserve"> </w:t>
      </w:r>
      <w:r>
        <w:t xml:space="preserve">53.</w:t>
      </w:r>
    </w:p>
    <w:bookmarkEnd w:id="72"/>
    <w:bookmarkStart w:id="74"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3">
        <w:r>
          <w:rPr>
            <w:rStyle w:val="Hyperlink"/>
          </w:rPr>
          <w:t xml:space="preserve">http://CRAN.R-project.org/package=lme4</w:t>
        </w:r>
      </w:hyperlink>
      <w:r>
        <w:t xml:space="preserve">.</w:t>
      </w:r>
    </w:p>
    <w:bookmarkEnd w:id="74"/>
    <w:bookmarkStart w:id="75"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5"/>
    <w:bookmarkStart w:id="76"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6"/>
    <w:bookmarkStart w:id="78"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7">
        <w:r>
          <w:rPr>
            <w:rStyle w:val="Hyperlink"/>
          </w:rPr>
          <w:t xml:space="preserve">https://doi.org/10.1121/1.5101933</w:t>
        </w:r>
      </w:hyperlink>
      <w:r>
        <w:t xml:space="preserve">.</w:t>
      </w:r>
    </w:p>
    <w:bookmarkEnd w:id="78"/>
    <w:bookmarkStart w:id="80"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9">
        <w:r>
          <w:rPr>
            <w:rStyle w:val="Hyperlink"/>
          </w:rPr>
          <w:t xml:space="preserve">https://doi.org/10.1017/S0954394521000089</w:t>
        </w:r>
      </w:hyperlink>
      <w:r>
        <w:t xml:space="preserve">.</w:t>
      </w:r>
    </w:p>
    <w:bookmarkEnd w:id="80"/>
    <w:bookmarkStart w:id="81"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81"/>
    <w:bookmarkStart w:id="82"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2"/>
    <w:bookmarkStart w:id="83"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3"/>
    <w:bookmarkStart w:id="84"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4"/>
    <w:bookmarkStart w:id="85"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5"/>
    <w:bookmarkStart w:id="86"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6"/>
    <w:bookmarkStart w:id="87"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7"/>
    <w:bookmarkStart w:id="88"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8"/>
    <w:bookmarkStart w:id="89"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89"/>
    <w:bookmarkStart w:id="91" w:name="ref-campbell-kibler-miles-hercules2021"/>
    <w:p>
      <w:pPr>
        <w:pStyle w:val="Bibliography"/>
      </w:pPr>
      <w:r>
        <w:t xml:space="preserve">Campbell-Kibler, Kathryn, and deandre miles-hercules. 2021.</w:t>
      </w:r>
      <w:r>
        <w:t xml:space="preserve"> </w:t>
      </w:r>
      <w:r>
        <w:t xml:space="preserve">“Perception of Gender and Sexuality.”</w:t>
      </w:r>
      <w:r>
        <w:t xml:space="preserve"> </w:t>
      </w:r>
      <w:r>
        <w:t xml:space="preserve">In</w:t>
      </w:r>
      <w:r>
        <w:t xml:space="preserve"> </w:t>
      </w:r>
      <w:r>
        <w:rPr>
          <w:i/>
          <w:iCs/>
        </w:rPr>
        <w:t xml:space="preserve">The</w:t>
      </w:r>
      <w:r>
        <w:rPr>
          <w:i/>
          <w:iCs/>
        </w:rPr>
        <w:t xml:space="preserve"> </w:t>
      </w:r>
      <w:r>
        <w:rPr>
          <w:i/>
          <w:iCs/>
        </w:rPr>
        <w:t xml:space="preserve">Routledge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edited by Jo Angouri and Judith Baxter, 1st ed., 52–68. Abingdon, Oxon; New York, NY: Routledge, 2021.</w:t>
      </w:r>
      <w:r>
        <w:t xml:space="preserve"> </w:t>
      </w:r>
      <w:r>
        <w:t xml:space="preserve">: Routledge.</w:t>
      </w:r>
      <w:r>
        <w:t xml:space="preserve"> </w:t>
      </w:r>
      <w:hyperlink r:id="rId90">
        <w:r>
          <w:rPr>
            <w:rStyle w:val="Hyperlink"/>
          </w:rPr>
          <w:t xml:space="preserve">https://doi.org/10.4324/9781315514857-5</w:t>
        </w:r>
      </w:hyperlink>
      <w:r>
        <w:t xml:space="preserve">.</w:t>
      </w:r>
    </w:p>
    <w:bookmarkEnd w:id="91"/>
    <w:bookmarkStart w:id="92"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92"/>
    <w:bookmarkStart w:id="93"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93"/>
    <w:bookmarkStart w:id="95"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4">
        <w:r>
          <w:rPr>
            <w:rStyle w:val="Hyperlink"/>
          </w:rPr>
          <w:t xml:space="preserve">https://doi.org/10.1037/xlm0000137</w:t>
        </w:r>
      </w:hyperlink>
      <w:r>
        <w:t xml:space="preserve">.</w:t>
      </w:r>
    </w:p>
    <w:bookmarkEnd w:id="95"/>
    <w:bookmarkStart w:id="96"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6"/>
    <w:bookmarkStart w:id="97"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7"/>
    <w:bookmarkStart w:id="98" w:name="ref-donofrio2021"/>
    <w:p>
      <w:pPr>
        <w:pStyle w:val="Bibliography"/>
      </w:pPr>
      <w:r>
        <w:t xml:space="preserve">———. 2021.</w:t>
      </w:r>
      <w:r>
        <w:t xml:space="preserve"> </w:t>
      </w:r>
      <w:r>
        <w:t xml:space="preserve">“Sociolinguistic Signs as Cognitive Representations.”</w:t>
      </w:r>
      <w:r>
        <w:t xml:space="preserve"> </w:t>
      </w:r>
      <w:r>
        <w:rPr>
          <w:i/>
          <w:iCs/>
        </w:rPr>
        <w:t xml:space="preserve">Social Meaning in Linguistic Variation: Theorizing the Third Wave</w:t>
      </w:r>
      <w:r>
        <w:t xml:space="preserve">, 153–75.</w:t>
      </w:r>
    </w:p>
    <w:bookmarkEnd w:id="98"/>
    <w:bookmarkStart w:id="99"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99"/>
    <w:bookmarkStart w:id="101"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100">
        <w:r>
          <w:rPr>
            <w:rStyle w:val="Hyperlink"/>
          </w:rPr>
          <w:t xml:space="preserve">https://doi.org/10.1016/s0010-0277(00)00123-2</w:t>
        </w:r>
      </w:hyperlink>
      <w:r>
        <w:t xml:space="preserve">.</w:t>
      </w:r>
    </w:p>
    <w:bookmarkEnd w:id="101"/>
    <w:bookmarkStart w:id="102" w:name="ref-Drager2010b"/>
    <w:p>
      <w:pPr>
        <w:pStyle w:val="Bibliography"/>
      </w:pPr>
      <w:r>
        <w:t xml:space="preserve">Drager, Katie. 2010.</w:t>
      </w:r>
      <w:r>
        <w:t xml:space="preserve"> </w:t>
      </w:r>
      <w:r>
        <w:t xml:space="preserve">“Sensitivity to Grammatical and Sociophonetic Variability in Perception.”</w:t>
      </w:r>
      <w:r>
        <w:t xml:space="preserve"> </w:t>
      </w:r>
      <w:r>
        <w:rPr>
          <w:i/>
          <w:iCs/>
        </w:rPr>
        <w:t xml:space="preserve">Laboratory Phonology</w:t>
      </w:r>
      <w:r>
        <w:t xml:space="preserve"> </w:t>
      </w:r>
      <w:r>
        <w:t xml:space="preserve">1 (1): 93–120.</w:t>
      </w:r>
    </w:p>
    <w:bookmarkEnd w:id="102"/>
    <w:bookmarkStart w:id="103" w:name="ref-drager2013"/>
    <w:p>
      <w:pPr>
        <w:pStyle w:val="Bibliography"/>
      </w:pPr>
      <w:r>
        <w:t xml:space="preserv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103"/>
    <w:bookmarkStart w:id="104" w:name="ref-drager2016a"/>
    <w:p>
      <w:pPr>
        <w:pStyle w:val="Bibliography"/>
      </w:pPr>
      <w:r>
        <w:t xml:space="preserve">Drager, Katie, and Joelle Kirtley. 2016a.</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4"/>
    <w:bookmarkStart w:id="105" w:name="ref-DragerKirtley2016"/>
    <w:p>
      <w:pPr>
        <w:pStyle w:val="Bibliography"/>
      </w:pPr>
      <w:r>
        <w:t xml:space="preserve">———. 2016b.</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5"/>
    <w:bookmarkStart w:id="106"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106"/>
    <w:bookmarkStart w:id="107"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107"/>
    <w:bookmarkStart w:id="108"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08"/>
    <w:bookmarkStart w:id="109"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09"/>
    <w:bookmarkStart w:id="110"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10"/>
    <w:bookmarkStart w:id="111"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11"/>
    <w:bookmarkStart w:id="112"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12"/>
    <w:bookmarkStart w:id="113" w:name="ref-fuchsToda2010"/>
    <w:p>
      <w:pPr>
        <w:pStyle w:val="Bibliography"/>
      </w:pPr>
      <w:r>
        <w:t xml:space="preserve">Fuchs, Susanne, and Martine Toda. 2010.</w:t>
      </w:r>
      <w:r>
        <w:t xml:space="preserve"> </w:t>
      </w:r>
      <w:r>
        <w:t xml:space="preserve">“Do Differences in Male Versus Female/s/Reflect Biological or Sociophonetic Factors.”</w:t>
      </w:r>
      <w:r>
        <w:t xml:space="preserve"> </w:t>
      </w:r>
      <w:r>
        <w:rPr>
          <w:i/>
          <w:iCs/>
        </w:rPr>
        <w:t xml:space="preserve">Turbulent Sounds: An Interdisciplinary Guide</w:t>
      </w:r>
      <w:r>
        <w:t xml:space="preserve"> </w:t>
      </w:r>
      <w:r>
        <w:t xml:space="preserve">21: 281–302.</w:t>
      </w:r>
    </w:p>
    <w:bookmarkEnd w:id="113"/>
    <w:bookmarkStart w:id="114" w:name="ref-Ganong1980"/>
    <w:p>
      <w:pPr>
        <w:pStyle w:val="Bibliography"/>
      </w:pPr>
      <w:r>
        <w:t xml:space="preserve">Ganong, William F. 1980.</w:t>
      </w:r>
      <w:r>
        <w:t xml:space="preserve"> </w:t>
      </w:r>
      <w:r>
        <w:t xml:space="preserve">“Phonetic Categorization in Auditory Word Perception.”</w:t>
      </w:r>
      <w:r>
        <w:t xml:space="preserve"> </w:t>
      </w:r>
      <w:r>
        <w:rPr>
          <w:i/>
          <w:iCs/>
        </w:rPr>
        <w:t xml:space="preserve">Journal of Experimental Psychology: Human Perception and Performance</w:t>
      </w:r>
      <w:r>
        <w:t xml:space="preserve"> </w:t>
      </w:r>
      <w:r>
        <w:t xml:space="preserve">6: 110–25.</w:t>
      </w:r>
    </w:p>
    <w:bookmarkEnd w:id="114"/>
    <w:bookmarkStart w:id="115"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15"/>
    <w:bookmarkStart w:id="116"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16"/>
    <w:bookmarkStart w:id="117"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17"/>
    <w:bookmarkStart w:id="118"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18"/>
    <w:bookmarkStart w:id="120"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19">
        <w:r>
          <w:rPr>
            <w:rStyle w:val="Hyperlink"/>
          </w:rPr>
          <w:t xml:space="preserve">https://doi.org/10.3389/fpsyg.2015.00500</w:t>
        </w:r>
      </w:hyperlink>
      <w:r>
        <w:t xml:space="preserve">.</w:t>
      </w:r>
    </w:p>
    <w:bookmarkEnd w:id="120"/>
    <w:bookmarkStart w:id="122"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21">
        <w:r>
          <w:rPr>
            <w:rStyle w:val="Hyperlink"/>
          </w:rPr>
          <w:t xml:space="preserve">http://dx.doi.org/10.3758/BF03207536</w:t>
        </w:r>
      </w:hyperlink>
      <w:r>
        <w:t xml:space="preserve">.</w:t>
      </w:r>
    </w:p>
    <w:bookmarkEnd w:id="122"/>
    <w:bookmarkStart w:id="123"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23"/>
    <w:bookmarkStart w:id="124"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24"/>
    <w:bookmarkStart w:id="125"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25"/>
    <w:bookmarkStart w:id="126"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26"/>
    <w:bookmarkStart w:id="127"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27"/>
    <w:bookmarkStart w:id="128" w:name="ref-inoue2003"/>
    <w:p>
      <w:pPr>
        <w:pStyle w:val="Bibliography"/>
      </w:pPr>
      <w:r>
        <w:t xml:space="preserve">Inoue, Miyako. 2003.</w:t>
      </w:r>
      <w:r>
        <w:t xml:space="preserve"> </w:t>
      </w:r>
      <w:r>
        <w:t xml:space="preserve">“Speech Without a Speaking Body:</w:t>
      </w:r>
      <w:r>
        <w:t xml:space="preserve">‘japanese Women’s Language’</w:t>
      </w:r>
      <w:r>
        <w:t xml:space="preserve"> </w:t>
      </w:r>
      <w:r>
        <w:t xml:space="preserve">in Translation.”</w:t>
      </w:r>
      <w:r>
        <w:t xml:space="preserve"> </w:t>
      </w:r>
      <w:r>
        <w:rPr>
          <w:i/>
          <w:iCs/>
        </w:rPr>
        <w:t xml:space="preserve">Language &amp; Communication</w:t>
      </w:r>
      <w:r>
        <w:t xml:space="preserve"> </w:t>
      </w:r>
      <w:r>
        <w:t xml:space="preserve">23 (3-4): 315–30.</w:t>
      </w:r>
    </w:p>
    <w:bookmarkEnd w:id="128"/>
    <w:bookmarkStart w:id="129"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29"/>
    <w:bookmarkStart w:id="130"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30"/>
    <w:bookmarkStart w:id="131"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31"/>
    <w:bookmarkStart w:id="133"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32">
        <w:r>
          <w:rPr>
            <w:rStyle w:val="Hyperlink"/>
          </w:rPr>
          <w:t xml:space="preserve">http://www.jstor.org/stable/522229</w:t>
        </w:r>
      </w:hyperlink>
      <w:r>
        <w:t xml:space="preserve">.</w:t>
      </w:r>
    </w:p>
    <w:bookmarkEnd w:id="133"/>
    <w:bookmarkStart w:id="134"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34"/>
    <w:bookmarkStart w:id="135"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35"/>
    <w:bookmarkStart w:id="136"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36"/>
    <w:bookmarkStart w:id="137"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37"/>
    <w:bookmarkStart w:id="138"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38"/>
    <w:bookmarkStart w:id="140"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39">
        <w:r>
          <w:rPr>
            <w:rStyle w:val="Hyperlink"/>
          </w:rPr>
          <w:t xml:space="preserve">https://doi.org/10.1371/journal.pone.0130834</w:t>
        </w:r>
      </w:hyperlink>
      <w:r>
        <w:t xml:space="preserve">.</w:t>
      </w:r>
    </w:p>
    <w:bookmarkEnd w:id="140"/>
    <w:bookmarkStart w:id="142"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41">
        <w:r>
          <w:rPr>
            <w:rStyle w:val="Hyperlink"/>
          </w:rPr>
          <w:t xml:space="preserve">https://doi.org/10.3109/13682826809011440</w:t>
        </w:r>
      </w:hyperlink>
      <w:r>
        <w:t xml:space="preserve">.</w:t>
      </w:r>
    </w:p>
    <w:bookmarkEnd w:id="142"/>
    <w:bookmarkStart w:id="144"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43">
        <w:r>
          <w:rPr>
            <w:rStyle w:val="Hyperlink"/>
          </w:rPr>
          <w:t xml:space="preserve">https://doi.org/10.1177/0075424214531487</w:t>
        </w:r>
      </w:hyperlink>
      <w:r>
        <w:t xml:space="preserve">.</w:t>
      </w:r>
    </w:p>
    <w:bookmarkEnd w:id="144"/>
    <w:bookmarkStart w:id="145"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45"/>
    <w:bookmarkStart w:id="147" w:name="ref-imagemagick"/>
    <w:p>
      <w:pPr>
        <w:pStyle w:val="Bibliography"/>
      </w:pPr>
      <w:r>
        <w:t xml:space="preserve">LLC, ImageMagick Studio. 2023.</w:t>
      </w:r>
      <w:r>
        <w:t xml:space="preserve"> </w:t>
      </w:r>
      <w:r>
        <w:t xml:space="preserve">“ImageMagick.”</w:t>
      </w:r>
      <w:r>
        <w:t xml:space="preserve"> </w:t>
      </w:r>
      <w:hyperlink r:id="rId146">
        <w:r>
          <w:rPr>
            <w:rStyle w:val="Hyperlink"/>
          </w:rPr>
          <w:t xml:space="preserve">https://imagemagick.org</w:t>
        </w:r>
      </w:hyperlink>
      <w:r>
        <w:t xml:space="preserve">.</w:t>
      </w:r>
    </w:p>
    <w:bookmarkEnd w:id="147"/>
    <w:bookmarkStart w:id="149"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48">
        <w:r>
          <w:rPr>
            <w:rStyle w:val="Hyperlink"/>
          </w:rPr>
          <w:t xml:space="preserve">https://doi.org/10.3758/s13428-014-0532-5</w:t>
        </w:r>
      </w:hyperlink>
      <w:r>
        <w:t xml:space="preserve">.</w:t>
      </w:r>
    </w:p>
    <w:bookmarkEnd w:id="149"/>
    <w:bookmarkStart w:id="150"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50"/>
    <w:bookmarkStart w:id="152"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51">
        <w:r>
          <w:rPr>
            <w:rStyle w:val="Hyperlink"/>
          </w:rPr>
          <w:t xml:space="preserve">https://doi.org/10.1016/j.wocn.2011.10.002</w:t>
        </w:r>
      </w:hyperlink>
      <w:r>
        <w:t xml:space="preserve">.</w:t>
      </w:r>
    </w:p>
    <w:bookmarkEnd w:id="152"/>
    <w:bookmarkStart w:id="153"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53"/>
    <w:bookmarkStart w:id="154"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54"/>
    <w:bookmarkStart w:id="155"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55"/>
    <w:bookmarkStart w:id="156"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56"/>
    <w:bookmarkStart w:id="157"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57"/>
    <w:bookmarkStart w:id="158"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58"/>
    <w:bookmarkStart w:id="159"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59"/>
    <w:bookmarkStart w:id="160"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60"/>
    <w:bookmarkStart w:id="161"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61"/>
    <w:bookmarkStart w:id="162"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62"/>
    <w:bookmarkStart w:id="163"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63"/>
    <w:bookmarkStart w:id="164" w:name="ref-niedzielskiPreston2000"/>
    <w:p>
      <w:pPr>
        <w:pStyle w:val="Bibliography"/>
      </w:pPr>
      <w:r>
        <w:t xml:space="preserve">Niedzielski, Nancy, and Dennis R Preston. 2000.</w:t>
      </w:r>
      <w:r>
        <w:t xml:space="preserve"> </w:t>
      </w:r>
      <w:r>
        <w:rPr>
          <w:i/>
          <w:iCs/>
        </w:rPr>
        <w:t xml:space="preserve">Folk Linguistics</w:t>
      </w:r>
      <w:r>
        <w:t xml:space="preserve">. Vol. 122. Walter de Gruyter.</w:t>
      </w:r>
    </w:p>
    <w:bookmarkEnd w:id="164"/>
    <w:bookmarkStart w:id="165"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65"/>
    <w:bookmarkStart w:id="166"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66"/>
    <w:bookmarkStart w:id="167"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67"/>
    <w:bookmarkStart w:id="168"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68"/>
    <w:bookmarkStart w:id="169" w:name="ref-pharao2014"/>
    <w:p>
      <w:pPr>
        <w:pStyle w:val="Bibliography"/>
      </w:pPr>
      <w:r>
        <w:t xml:space="preserve">Pharao, Nicolai, Marie Maegaard, Janus Spindler Møller, and Tore Kristiansen. 2014.</w:t>
      </w:r>
      <w:r>
        <w:t xml:space="preserve"> </w:t>
      </w:r>
      <w:r>
        <w:t xml:space="preserve">“Indexical Meanings of [s+] Among Copenhagen Youth: Social Perception of a Phonetic Variant in Different Prosodic Contexts.”</w:t>
      </w:r>
      <w:r>
        <w:t xml:space="preserve"> </w:t>
      </w:r>
      <w:r>
        <w:rPr>
          <w:i/>
          <w:iCs/>
        </w:rPr>
        <w:t xml:space="preserve">Language in Society</w:t>
      </w:r>
      <w:r>
        <w:t xml:space="preserve"> </w:t>
      </w:r>
      <w:r>
        <w:t xml:space="preserve">43 (1): 1–31.</w:t>
      </w:r>
    </w:p>
    <w:bookmarkEnd w:id="169"/>
    <w:bookmarkStart w:id="170"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70"/>
    <w:bookmarkStart w:id="171"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71"/>
    <w:bookmarkStart w:id="172"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72"/>
    <w:bookmarkStart w:id="173"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73"/>
    <w:bookmarkStart w:id="175"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74">
        <w:r>
          <w:rPr>
            <w:rStyle w:val="Hyperlink"/>
          </w:rPr>
          <w:t xml:space="preserve">https://doi.org/10.1093/oxfordhb/9780199600472.001.0001</w:t>
        </w:r>
      </w:hyperlink>
      <w:r>
        <w:t xml:space="preserve">.</w:t>
      </w:r>
    </w:p>
    <w:bookmarkEnd w:id="175"/>
    <w:bookmarkStart w:id="176"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76"/>
    <w:bookmarkStart w:id="177"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77"/>
    <w:bookmarkStart w:id="178"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78"/>
    <w:bookmarkStart w:id="179" w:name="ref-sawusch2005"/>
    <w:p>
      <w:pPr>
        <w:pStyle w:val="Bibliography"/>
      </w:pPr>
      <w:r>
        <w:t xml:space="preserve">Sawusch, James R. 2005.</w:t>
      </w:r>
      <w:r>
        <w:t xml:space="preserve"> </w:t>
      </w:r>
      <w:r>
        <w:t xml:space="preserve">“Acoustic Analysis and Synthesis of Speech.”</w:t>
      </w:r>
      <w:r>
        <w:t xml:space="preserve"> </w:t>
      </w:r>
      <w:r>
        <w:rPr>
          <w:i/>
          <w:iCs/>
        </w:rPr>
        <w:t xml:space="preserve">The Handbook of Speech Perception</w:t>
      </w:r>
      <w:r>
        <w:t xml:space="preserve">, 6–27.</w:t>
      </w:r>
    </w:p>
    <w:bookmarkEnd w:id="179"/>
    <w:bookmarkStart w:id="180"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80"/>
    <w:bookmarkStart w:id="182"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81">
        <w:r>
          <w:rPr>
            <w:rStyle w:val="Hyperlink"/>
          </w:rPr>
          <w:t xml:space="preserve">https://doi.org/10.3758/BF03197491</w:t>
        </w:r>
      </w:hyperlink>
      <w:r>
        <w:t xml:space="preserve">.</w:t>
      </w:r>
    </w:p>
    <w:bookmarkEnd w:id="182"/>
    <w:bookmarkStart w:id="183"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83"/>
    <w:bookmarkStart w:id="184" w:name="ref-SharmaIssue"/>
    <w:p>
      <w:pPr>
        <w:pStyle w:val="Bibliography"/>
      </w:pPr>
      <w:r>
        <w:t xml:space="preserve">Sharma, Devyani. this issue.</w:t>
      </w:r>
      <w:r>
        <w:t xml:space="preserve"> </w:t>
      </w:r>
      <w:r>
        <w:t xml:space="preserve">“The Style Game: A Socio-Cognitive Approach to Accommodation in Real Time.”</w:t>
      </w:r>
      <w:r>
        <w:t xml:space="preserve"> </w:t>
      </w:r>
      <w:r>
        <w:rPr>
          <w:i/>
          <w:iCs/>
        </w:rPr>
        <w:t xml:space="preserve">Journal of Sociolinguistics</w:t>
      </w:r>
      <w:r>
        <w:t xml:space="preserve"> </w:t>
      </w:r>
      <w:r>
        <w:t xml:space="preserve">42 (1).</w:t>
      </w:r>
    </w:p>
    <w:bookmarkEnd w:id="184"/>
    <w:bookmarkStart w:id="185"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85"/>
    <w:bookmarkStart w:id="186"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86"/>
    <w:bookmarkStart w:id="187"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87"/>
    <w:bookmarkStart w:id="188"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88"/>
    <w:bookmarkStart w:id="189"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89"/>
    <w:bookmarkStart w:id="190"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90"/>
    <w:bookmarkStart w:id="191"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91"/>
    <w:bookmarkStart w:id="192" w:name="ref-whalen1984"/>
    <w:p>
      <w:pPr>
        <w:pStyle w:val="Bibliography"/>
      </w:pPr>
      <w:r>
        <w:t xml:space="preserve">Whalen, Douglas H.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92"/>
    <w:bookmarkStart w:id="193"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93"/>
    <w:bookmarkStart w:id="194"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94"/>
    <w:bookmarkStart w:id="195"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95"/>
    <w:bookmarkStart w:id="196"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96"/>
    <w:bookmarkEnd w:id="197"/>
    <w:bookmarkEnd w:id="198"/>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8">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EC4411"/>
    <w:rsid w:val="001B6542"/>
    <w:rsid w:val="00292A31"/>
    <w:rsid w:val="004C36F5"/>
    <w:rsid w:val="0056650E"/>
    <w:rsid w:val="005F678E"/>
    <w:rsid w:val="00603281"/>
    <w:rsid w:val="00891442"/>
    <w:rsid w:val="008C4BA1"/>
    <w:rsid w:val="00BE0E21"/>
    <w:rsid w:val="00C23838"/>
    <w:rsid w:val="00CE7D07"/>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2"/>
        <w:szCs w:val="22"/>
        <w:lang w:bidi="ar-SA" w:eastAsia="en-US" w:val="en-US"/>
      </w:rPr>
    </w:rPrDefault>
    <w:pPrDefault>
      <w:pPr>
        <w:widowControl w:val="0"/>
        <w:autoSpaceDE w:val="0"/>
        <w:autoSpaceDN w:val="0"/>
      </w:pPr>
    </w:pPrDefault>
  </w:docDefaults>
  <w:latentStyles w:count="376" w:defLockedState="0" w:defQFormat="0" w:defSemiHidden="0" w:defUIPriority="0" w:defUnhideWhenUsed="0">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caption" w:qFormat="1" w:semiHidden="1" w:uiPriority="35" w:unhideWhenUsed="1"/>
    <w:lsdException w:name="Body Text" w:uiPriority="1"/>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1"/>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F678E"/>
    <w:rPr>
      <w:rFonts w:ascii="Times New Roman" w:hAnsi="Times New Roman"/>
    </w:rPr>
  </w:style>
  <w:style w:styleId="Heading1" w:type="paragraph">
    <w:name w:val="heading 1"/>
    <w:basedOn w:val="Normal"/>
    <w:link w:val="Heading1Char"/>
    <w:uiPriority w:val="9"/>
    <w:qFormat/>
    <w:rsid w:val="005F678E"/>
    <w:pPr>
      <w:ind w:left="120"/>
      <w:outlineLvl w:val="0"/>
    </w:pPr>
    <w:rPr>
      <w:rFonts w:cstheme="majorBidi" w:eastAsiaTheme="majorEastAsia"/>
      <w:b/>
      <w:bCs/>
      <w:sz w:val="24"/>
      <w:szCs w:val="24"/>
    </w:rPr>
  </w:style>
  <w:style w:styleId="Heading2" w:type="paragraph">
    <w:name w:val="heading 2"/>
    <w:basedOn w:val="Normal"/>
    <w:next w:val="Normal"/>
    <w:link w:val="Heading2Char"/>
    <w:uiPriority w:val="9"/>
    <w:semiHidden/>
    <w:unhideWhenUsed/>
    <w:qFormat/>
    <w:rsid w:val="00C23838"/>
    <w:pPr>
      <w:keepNext/>
      <w:keepLines/>
      <w:spacing w:before="40"/>
      <w:outlineLvl w:val="1"/>
    </w:pPr>
    <w:rPr>
      <w:rFonts w:asciiTheme="majorHAnsi" w:cstheme="majorBidi" w:eastAsiaTheme="majorEastAsia" w:hAnsiTheme="majorHAnsi"/>
      <w:color w:themeColor="accent1" w:themeShade="BF" w:val="0F4761"/>
      <w:sz w:val="26"/>
      <w:szCs w:val="26"/>
    </w:rPr>
  </w:style>
  <w:style w:styleId="Heading3" w:type="paragraph">
    <w:name w:val="heading 3"/>
    <w:basedOn w:val="Normal"/>
    <w:next w:val="Normal"/>
    <w:link w:val="Heading3Char"/>
    <w:uiPriority w:val="9"/>
    <w:semiHidden/>
    <w:unhideWhenUsed/>
    <w:qFormat/>
    <w:rsid w:val="00C23838"/>
    <w:pPr>
      <w:keepNext/>
      <w:keepLines/>
      <w:spacing w:before="40"/>
      <w:outlineLvl w:val="2"/>
    </w:pPr>
    <w:rPr>
      <w:rFonts w:asciiTheme="majorHAnsi" w:cstheme="majorBidi" w:eastAsiaTheme="majorEastAsia" w:hAnsiTheme="majorHAnsi"/>
      <w:color w:themeColor="accent1" w:themeShade="7F" w:val="0A2F40"/>
      <w:sz w:val="24"/>
      <w:szCs w:val="24"/>
    </w:rPr>
  </w:style>
  <w:style w:styleId="Heading4" w:type="paragraph">
    <w:name w:val="heading 4"/>
    <w:basedOn w:val="Normal"/>
    <w:next w:val="Normal"/>
    <w:link w:val="Heading4Char"/>
    <w:uiPriority w:val="9"/>
    <w:semiHidden/>
    <w:unhideWhenUsed/>
    <w:qFormat/>
    <w:rsid w:val="00C23838"/>
    <w:pPr>
      <w:keepNext/>
      <w:keepLines/>
      <w:spacing w:before="40"/>
      <w:outlineLvl w:val="3"/>
    </w:pPr>
    <w:rPr>
      <w:rFonts w:asciiTheme="majorHAnsi" w:cstheme="majorBidi" w:eastAsiaTheme="majorEastAsia" w:hAnsiTheme="majorHAnsi"/>
      <w:i/>
      <w:iCs/>
      <w:color w:themeColor="accent1" w:themeShade="BF" w:val="0F4761"/>
    </w:rPr>
  </w:style>
  <w:style w:styleId="Heading5" w:type="paragraph">
    <w:name w:val="heading 5"/>
    <w:basedOn w:val="Normal"/>
    <w:next w:val="Normal"/>
    <w:link w:val="Heading5Char"/>
    <w:uiPriority w:val="9"/>
    <w:semiHidden/>
    <w:unhideWhenUsed/>
    <w:qFormat/>
    <w:rsid w:val="00C23838"/>
    <w:pPr>
      <w:keepNext/>
      <w:keepLines/>
      <w:spacing w:before="40"/>
      <w:outlineLvl w:val="4"/>
    </w:pPr>
    <w:rPr>
      <w:rFonts w:asciiTheme="majorHAnsi" w:cstheme="majorBidi" w:eastAsiaTheme="majorEastAsia" w:hAnsiTheme="majorHAnsi"/>
      <w:color w:themeColor="accent1" w:themeShade="BF" w:val="0F4761"/>
    </w:rPr>
  </w:style>
  <w:style w:styleId="Heading6" w:type="paragraph">
    <w:name w:val="heading 6"/>
    <w:basedOn w:val="Normal"/>
    <w:next w:val="Normal"/>
    <w:link w:val="Heading6Char"/>
    <w:uiPriority w:val="9"/>
    <w:semiHidden/>
    <w:unhideWhenUsed/>
    <w:qFormat/>
    <w:rsid w:val="00C23838"/>
    <w:pPr>
      <w:keepNext/>
      <w:keepLines/>
      <w:spacing w:before="40"/>
      <w:outlineLvl w:val="5"/>
    </w:pPr>
    <w:rPr>
      <w:rFonts w:asciiTheme="majorHAnsi" w:cstheme="majorBidi" w:eastAsiaTheme="majorEastAsia" w:hAnsiTheme="majorHAnsi"/>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before="40"/>
      <w:outlineLvl w:val="6"/>
    </w:pPr>
    <w:rPr>
      <w:rFonts w:asciiTheme="majorHAnsi" w:cstheme="majorBidi" w:eastAsiaTheme="majorEastAsia" w:hAnsiTheme="majorHAnsi"/>
      <w:i/>
      <w:iCs/>
      <w:color w:themeColor="accent1" w:themeShade="7F" w:val="0A2F40"/>
    </w:rPr>
  </w:style>
  <w:style w:styleId="Heading8" w:type="paragraph">
    <w:name w:val="heading 8"/>
    <w:basedOn w:val="Normal"/>
    <w:next w:val="Normal"/>
    <w:link w:val="Heading8Char"/>
    <w:uiPriority w:val="9"/>
    <w:semiHidden/>
    <w:unhideWhenUsed/>
    <w:qFormat/>
    <w:rsid w:val="00C23838"/>
    <w:pPr>
      <w:keepNext/>
      <w:keepLines/>
      <w:spacing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C23838"/>
    <w:pPr>
      <w:keepNext/>
      <w:keepLines/>
      <w:spacing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uiPriority w:val="1"/>
    <w:qFormat/>
    <w:rsid w:val="005F678E"/>
    <w:rPr>
      <w:sz w:val="24"/>
      <w:szCs w:val="24"/>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link w:val="TitleChar"/>
    <w:uiPriority w:val="10"/>
    <w:qFormat/>
    <w:rsid w:val="005F678E"/>
    <w:pPr>
      <w:spacing w:before="183"/>
      <w:ind w:left="122" w:right="358"/>
      <w:jc w:val="center"/>
    </w:pPr>
    <w:rPr>
      <w:rFonts w:cstheme="majorBidi" w:eastAsiaTheme="majorEastAsia"/>
      <w:sz w:val="41"/>
      <w:szCs w:val="41"/>
    </w:rPr>
  </w:style>
  <w:style w:customStyle="1" w:styleId="TitleChar" w:type="character">
    <w:name w:val="Title Char"/>
    <w:basedOn w:val="DefaultParagraphFont"/>
    <w:link w:val="Title"/>
    <w:uiPriority w:val="10"/>
    <w:rsid w:val="00C23838"/>
    <w:rPr>
      <w:rFonts w:ascii="Times New Roman" w:cstheme="majorBidi" w:eastAsiaTheme="majorEastAsia" w:hAnsi="Times New Roman"/>
      <w:sz w:val="41"/>
      <w:szCs w:val="41"/>
    </w:rPr>
  </w:style>
  <w:style w:styleId="Subtitle" w:type="paragraph">
    <w:name w:val="Subtitle"/>
    <w:basedOn w:val="Normal"/>
    <w:next w:val="Normal"/>
    <w:link w:val="SubtitleChar"/>
    <w:uiPriority w:val="11"/>
    <w:qFormat/>
    <w:rsid w:val="00C23838"/>
    <w:pPr>
      <w:numPr>
        <w:ilvl w:val="1"/>
      </w:numPr>
      <w:spacing w:after="160"/>
    </w:pPr>
    <w:rPr>
      <w:rFonts w:asciiTheme="minorHAnsi" w:eastAsiaTheme="minorEastAsia" w:hAnsiTheme="minorHAnsi"/>
      <w:color w:themeColor="text1" w:themeTint="A5" w:val="5A5A5A"/>
      <w:spacing w:val="15"/>
    </w:rPr>
  </w:style>
  <w:style w:customStyle="1" w:styleId="SubtitleChar" w:type="character">
    <w:name w:val="Subtitle Char"/>
    <w:basedOn w:val="DefaultParagraphFont"/>
    <w:link w:val="Subtitle"/>
    <w:uiPriority w:val="11"/>
    <w:rsid w:val="00C23838"/>
    <w:rPr>
      <w:rFonts w:eastAsiaTheme="minorEastAsia"/>
      <w:color w:themeColor="text1" w:themeTint="A5" w:val="5A5A5A"/>
      <w:spacing w:val="15"/>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imes New Roman" w:cstheme="majorBidi" w:eastAsiaTheme="majorEastAsia" w:hAnsi="Times New Roman"/>
      <w:b/>
      <w:bCs/>
      <w:sz w:val="24"/>
      <w:szCs w:val="24"/>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color w:themeColor="accent1" w:themeShade="BF" w:val="0F4761"/>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color w:themeColor="accent1" w:themeShade="7F" w:val="0A2F40"/>
      <w:sz w:val="24"/>
      <w:szCs w:val="24"/>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i/>
      <w:iCs/>
      <w:color w:themeColor="accent1" w:themeShade="BF" w:val="0F4761"/>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BF" w:val="0F4761"/>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accent1" w:themeShade="7F" w:val="0A2F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D8" w:val="272727"/>
      <w:sz w:val="21"/>
      <w:szCs w:val="21"/>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next w:val="Normal"/>
    <w:link w:val="CaptionChar"/>
    <w:uiPriority w:val="35"/>
    <w:semiHidden/>
    <w:unhideWhenUsed/>
    <w:qFormat/>
    <w:rsid w:val="00C23838"/>
    <w:pPr>
      <w:spacing w:after="200"/>
    </w:pPr>
    <w:rPr>
      <w:i/>
      <w:iCs/>
      <w:color w:themeColor="text2" w:val="0E2841"/>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semiHidden/>
    <w:rPr>
      <w:rFonts w:ascii="Times New Roman" w:hAnsi="Times New Roman"/>
      <w:i/>
      <w:iCs/>
      <w:color w:themeColor="text2" w:val="0E2841"/>
      <w:sz w:val="18"/>
      <w:szCs w:val="18"/>
    </w:rPr>
  </w:style>
  <w:style w:customStyle="1" w:styleId="VerbatimChar" w:type="character">
    <w:name w:val="Verbatim Char"/>
    <w:basedOn w:val="CaptionChar"/>
    <w:rPr>
      <w:rFonts w:ascii="Consolas" w:hAnsi="Consolas"/>
      <w:b w:val="0"/>
      <w:bCs w:val="0"/>
      <w:i/>
      <w:iCs/>
      <w:color w:themeColor="accent1" w:val="156082"/>
      <w:sz w:val="22"/>
      <w:szCs w:val="18"/>
    </w:rPr>
  </w:style>
  <w:style w:customStyle="1" w:styleId="SectionNumber" w:type="character">
    <w:name w:val="Section Number"/>
    <w:basedOn w:val="CaptionChar"/>
    <w:rPr>
      <w:rFonts w:ascii="Times New Roman" w:hAnsi="Times New Roman"/>
      <w:b w:val="0"/>
      <w:bCs w:val="0"/>
      <w:i/>
      <w:iCs/>
      <w:color w:themeColor="accent1" w:val="156082"/>
      <w:sz w:val="18"/>
      <w:szCs w:val="18"/>
    </w:rPr>
  </w:style>
  <w:style w:styleId="FootnoteReference" w:type="character">
    <w:name w:val="footnote reference"/>
    <w:basedOn w:val="CaptionChar"/>
    <w:rPr>
      <w:rFonts w:ascii="Times New Roman" w:hAnsi="Times New Roman"/>
      <w:b w:val="0"/>
      <w:bCs w:val="0"/>
      <w:i/>
      <w:iCs/>
      <w:color w:themeColor="accent1" w:val="156082"/>
      <w:sz w:val="18"/>
      <w:szCs w:val="18"/>
      <w:vertAlign w:val="superscript"/>
    </w:rPr>
  </w:style>
  <w:style w:styleId="Hyperlink" w:type="character">
    <w:name w:val="Hyperlink"/>
    <w:basedOn w:val="CaptionChar"/>
    <w:rPr>
      <w:rFonts w:ascii="Times New Roman" w:hAnsi="Times New Roman"/>
      <w:b w:val="0"/>
      <w:bCs w:val="0"/>
      <w:i/>
      <w:iCs/>
      <w:color w:themeColor="accent1" w:val="156082"/>
      <w:sz w:val="18"/>
      <w:szCs w:val="18"/>
    </w:rPr>
  </w:style>
  <w:style w:styleId="TOCHeading" w:type="paragraph">
    <w:name w:val="TOC Heading"/>
    <w:basedOn w:val="Heading1"/>
    <w:next w:val="Normal"/>
    <w:uiPriority w:val="39"/>
    <w:semiHidden/>
    <w:unhideWhenUsed/>
    <w:qFormat/>
    <w:rsid w:val="00C23838"/>
    <w:pPr>
      <w:keepNext/>
      <w:keepLines/>
      <w:spacing w:before="240"/>
      <w:ind w:left="0"/>
      <w:outlineLvl w:val="9"/>
    </w:pPr>
    <w:rPr>
      <w:rFonts w:asciiTheme="majorHAnsi" w:hAnsiTheme="majorHAnsi"/>
      <w:b w:val="0"/>
      <w:bCs w:val="0"/>
      <w:color w:themeColor="accent1" w:themeShade="BF" w:val="0F4761"/>
      <w:sz w:val="32"/>
      <w:szCs w:val="32"/>
    </w:r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rPr>
      <w:rFonts w:ascii="Times New Roman" w:hAnsi="Times New Roman"/>
    </w:rPr>
  </w:style>
  <w:style w:styleId="ListParagraph" w:type="paragraph">
    <w:name w:val="List Paragraph"/>
    <w:basedOn w:val="Normal"/>
    <w:uiPriority w:val="1"/>
    <w:qFormat/>
    <w:rsid w:val="005F678E"/>
  </w:style>
  <w:style w:styleId="Quote" w:type="paragraph">
    <w:name w:val="Quote"/>
    <w:basedOn w:val="Normal"/>
    <w:next w:val="Normal"/>
    <w:link w:val="QuoteChar"/>
    <w:uiPriority w:val="29"/>
    <w:qFormat/>
    <w:rsid w:val="00C23838"/>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C23838"/>
    <w:rPr>
      <w:rFonts w:ascii="Times New Roman" w:hAnsi="Times New Roman"/>
      <w:i/>
      <w:iCs/>
      <w:color w:themeColor="text1" w:themeTint="BF" w:val="404040"/>
    </w:rPr>
  </w:style>
  <w:style w:styleId="IntenseQuote" w:type="paragraph">
    <w:name w:val="Intense Quote"/>
    <w:basedOn w:val="Normal"/>
    <w:next w:val="Normal"/>
    <w:link w:val="IntenseQuoteChar"/>
    <w:uiPriority w:val="30"/>
    <w:qFormat/>
    <w:rsid w:val="00C23838"/>
    <w:pPr>
      <w:pBdr>
        <w:top w:color="156082" w:space="10" w:sz="4" w:themeColor="accent1" w:val="single"/>
        <w:bottom w:color="156082" w:space="10" w:sz="4" w:themeColor="accent1" w:val="single"/>
      </w:pBdr>
      <w:spacing w:after="360" w:before="360"/>
      <w:ind w:left="864" w:right="864"/>
      <w:jc w:val="center"/>
    </w:pPr>
    <w:rPr>
      <w:i/>
      <w:iCs/>
      <w:color w:themeColor="accent1" w:val="156082"/>
    </w:rPr>
  </w:style>
  <w:style w:customStyle="1" w:styleId="IntenseQuoteChar" w:type="character">
    <w:name w:val="Intense Quote Char"/>
    <w:basedOn w:val="DefaultParagraphFont"/>
    <w:link w:val="IntenseQuote"/>
    <w:uiPriority w:val="30"/>
    <w:rsid w:val="00C23838"/>
    <w:rPr>
      <w:rFonts w:ascii="Times New Roman" w:hAnsi="Times New Roman"/>
      <w:i/>
      <w:iCs/>
      <w:color w:themeColor="accent1" w:val="156082"/>
    </w:rPr>
  </w:style>
  <w:style w:styleId="SubtleEmphasis" w:type="character">
    <w:name w:val="Subtle Emphasis"/>
    <w:basedOn w:val="DefaultParagraphFont"/>
    <w:uiPriority w:val="19"/>
    <w:qFormat/>
    <w:rsid w:val="00C23838"/>
    <w:rPr>
      <w:i/>
      <w:iCs/>
      <w:color w:themeColor="text1" w:themeTint="BF" w:val="404040"/>
    </w:rPr>
  </w:style>
  <w:style w:styleId="IntenseEmphasis" w:type="character">
    <w:name w:val="Intense Emphasis"/>
    <w:basedOn w:val="DefaultParagraphFont"/>
    <w:uiPriority w:val="21"/>
    <w:qFormat/>
    <w:rsid w:val="00C23838"/>
    <w:rPr>
      <w:i/>
      <w:iCs/>
      <w:color w:themeColor="accent1" w:val="156082"/>
    </w:rPr>
  </w:style>
  <w:style w:styleId="SubtleReference" w:type="character">
    <w:name w:val="Subtle Reference"/>
    <w:basedOn w:val="DefaultParagraphFont"/>
    <w:uiPriority w:val="31"/>
    <w:qFormat/>
    <w:rsid w:val="00C23838"/>
    <w:rPr>
      <w:smallCaps/>
      <w:color w:themeColor="text1" w:themeTint="A5" w:val="5A5A5A"/>
    </w:rPr>
  </w:style>
  <w:style w:styleId="IntenseReference" w:type="character">
    <w:name w:val="Intense Reference"/>
    <w:basedOn w:val="DefaultParagraphFont"/>
    <w:uiPriority w:val="32"/>
    <w:qFormat/>
    <w:rsid w:val="00C23838"/>
    <w:rPr>
      <w:b/>
      <w:bCs/>
      <w:smallCaps/>
      <w:color w:themeColor="accent1" w:val="156082"/>
      <w:spacing w:val="5"/>
    </w:rPr>
  </w:style>
  <w:style w:styleId="BookTitle" w:type="character">
    <w:name w:val="Book Title"/>
    <w:basedOn w:val="DefaultParagraphFont"/>
    <w:uiPriority w:val="33"/>
    <w:qFormat/>
    <w:rsid w:val="00C23838"/>
    <w:rPr>
      <w:b/>
      <w:bCs/>
      <w:i/>
      <w:iCs/>
      <w:spacing w:val="5"/>
    </w:rPr>
  </w:style>
  <w:style w:customStyle="1" w:styleId="TableParagraph" w:type="paragraph">
    <w:name w:val="Table Paragraph"/>
    <w:basedOn w:val="Normal"/>
    <w:uiPriority w:val="1"/>
    <w:qFormat/>
    <w:rsid w:val="005F678E"/>
    <w:pPr>
      <w:jc w:val="center"/>
    </w:pPr>
    <w:rPr>
      <w:rFonts w:cs="Times New Roman" w:eastAsia="Times New Roman"/>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32" Target="media/rId32.jpg" /><Relationship Type="http://schemas.openxmlformats.org/officeDocument/2006/relationships/image" Id="rId26" Target="media/rId26.png" /><Relationship Type="http://schemas.openxmlformats.org/officeDocument/2006/relationships/hyperlink" Id="rId73" Target="http://CRAN.R-project.org/package=lme4" TargetMode="External" /><Relationship Type="http://schemas.openxmlformats.org/officeDocument/2006/relationships/hyperlink" Id="rId121" Target="http://dx.doi.org/10.3758/BF03207536" TargetMode="External" /><Relationship Type="http://schemas.openxmlformats.org/officeDocument/2006/relationships/hyperlink" Id="rId132" Target="http://www.jstor.org/stable/522229" TargetMode="External" /><Relationship Type="http://schemas.openxmlformats.org/officeDocument/2006/relationships/hyperlink" Id="rId151" Target="https://doi.org/10.1016/j.wocn.2011.10.002" TargetMode="External" /><Relationship Type="http://schemas.openxmlformats.org/officeDocument/2006/relationships/hyperlink" Id="rId100" Target="https://doi.org/10.1016/s0010-0277(00)00123-2" TargetMode="External" /><Relationship Type="http://schemas.openxmlformats.org/officeDocument/2006/relationships/hyperlink" Id="rId79" Target="https://doi.org/10.1017/S0954394521000089" TargetMode="External" /><Relationship Type="http://schemas.openxmlformats.org/officeDocument/2006/relationships/hyperlink" Id="rId94" Target="https://doi.org/10.1037/xlm0000137" TargetMode="External" /><Relationship Type="http://schemas.openxmlformats.org/officeDocument/2006/relationships/hyperlink" Id="rId174" Target="https://doi.org/10.1093/oxfordhb/9780199600472.001.0001" TargetMode="External" /><Relationship Type="http://schemas.openxmlformats.org/officeDocument/2006/relationships/hyperlink" Id="rId77" Target="https://doi.org/10.1121/1.5101933" TargetMode="External" /><Relationship Type="http://schemas.openxmlformats.org/officeDocument/2006/relationships/hyperlink" Id="rId143" Target="https://doi.org/10.1177/0075424214531487" TargetMode="External" /><Relationship Type="http://schemas.openxmlformats.org/officeDocument/2006/relationships/hyperlink" Id="rId139" Target="https://doi.org/10.1371/journal.pone.0130834" TargetMode="External" /><Relationship Type="http://schemas.openxmlformats.org/officeDocument/2006/relationships/hyperlink" Id="rId141" Target="https://doi.org/10.3109/13682826809011440" TargetMode="External" /><Relationship Type="http://schemas.openxmlformats.org/officeDocument/2006/relationships/hyperlink" Id="rId119" Target="https://doi.org/10.3389/fpsyg.2015.00500" TargetMode="External" /><Relationship Type="http://schemas.openxmlformats.org/officeDocument/2006/relationships/hyperlink" Id="rId181" Target="https://doi.org/10.3758/BF03197491" TargetMode="External" /><Relationship Type="http://schemas.openxmlformats.org/officeDocument/2006/relationships/hyperlink" Id="rId148" Target="https://doi.org/10.3758/s13428-014-0532-5" TargetMode="External" /><Relationship Type="http://schemas.openxmlformats.org/officeDocument/2006/relationships/hyperlink" Id="rId90" Target="https://doi.org/10.4324/9781315514857-5" TargetMode="External" /><Relationship Type="http://schemas.openxmlformats.org/officeDocument/2006/relationships/hyperlink" Id="rId146"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3" Target="http://CRAN.R-project.org/package=lme4" TargetMode="External" /><Relationship Type="http://schemas.openxmlformats.org/officeDocument/2006/relationships/hyperlink" Id="rId121" Target="http://dx.doi.org/10.3758/BF03207536" TargetMode="External" /><Relationship Type="http://schemas.openxmlformats.org/officeDocument/2006/relationships/hyperlink" Id="rId132" Target="http://www.jstor.org/stable/522229" TargetMode="External" /><Relationship Type="http://schemas.openxmlformats.org/officeDocument/2006/relationships/hyperlink" Id="rId151" Target="https://doi.org/10.1016/j.wocn.2011.10.002" TargetMode="External" /><Relationship Type="http://schemas.openxmlformats.org/officeDocument/2006/relationships/hyperlink" Id="rId100" Target="https://doi.org/10.1016/s0010-0277(00)00123-2" TargetMode="External" /><Relationship Type="http://schemas.openxmlformats.org/officeDocument/2006/relationships/hyperlink" Id="rId79" Target="https://doi.org/10.1017/S0954394521000089" TargetMode="External" /><Relationship Type="http://schemas.openxmlformats.org/officeDocument/2006/relationships/hyperlink" Id="rId94" Target="https://doi.org/10.1037/xlm0000137" TargetMode="External" /><Relationship Type="http://schemas.openxmlformats.org/officeDocument/2006/relationships/hyperlink" Id="rId174" Target="https://doi.org/10.1093/oxfordhb/9780199600472.001.0001" TargetMode="External" /><Relationship Type="http://schemas.openxmlformats.org/officeDocument/2006/relationships/hyperlink" Id="rId77" Target="https://doi.org/10.1121/1.5101933" TargetMode="External" /><Relationship Type="http://schemas.openxmlformats.org/officeDocument/2006/relationships/hyperlink" Id="rId143" Target="https://doi.org/10.1177/0075424214531487" TargetMode="External" /><Relationship Type="http://schemas.openxmlformats.org/officeDocument/2006/relationships/hyperlink" Id="rId139" Target="https://doi.org/10.1371/journal.pone.0130834" TargetMode="External" /><Relationship Type="http://schemas.openxmlformats.org/officeDocument/2006/relationships/hyperlink" Id="rId141" Target="https://doi.org/10.3109/13682826809011440" TargetMode="External" /><Relationship Type="http://schemas.openxmlformats.org/officeDocument/2006/relationships/hyperlink" Id="rId119" Target="https://doi.org/10.3389/fpsyg.2015.00500" TargetMode="External" /><Relationship Type="http://schemas.openxmlformats.org/officeDocument/2006/relationships/hyperlink" Id="rId181" Target="https://doi.org/10.3758/BF03197491" TargetMode="External" /><Relationship Type="http://schemas.openxmlformats.org/officeDocument/2006/relationships/hyperlink" Id="rId148" Target="https://doi.org/10.3758/s13428-014-0532-5" TargetMode="External" /><Relationship Type="http://schemas.openxmlformats.org/officeDocument/2006/relationships/hyperlink" Id="rId90" Target="https://doi.org/10.4324/9781315514857-5" TargetMode="External" /><Relationship Type="http://schemas.openxmlformats.org/officeDocument/2006/relationships/hyperlink" Id="rId146"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incongruity, and listener awareness</dc:title>
  <dc:creator>Kyler Laycock;  Kevin B. McGowan</dc:creator>
  <cp:keywords>awareness, control, gender, inverted matched guise, sociophonetic perception</cp:keywords>
  <dcterms:created xsi:type="dcterms:W3CDTF">2024-11-14T15:28:59Z</dcterms:created>
  <dcterms:modified xsi:type="dcterms:W3CDTF">2024-11-14T15:28:59Z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2024-11-14</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