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9.png" ContentType="image/png"/>
  <Override PartName="/word/media/rId54.png" ContentType="image/png"/>
  <Override PartName="/word/media/rId3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and listener awareness</w:t>
      </w:r>
    </w:p>
    <w:p>
      <w:pPr>
        <w:pStyle w:val="Author"/>
      </w:pPr>
      <w:r>
        <w:t xml:space="preserve">Kyler Laycock</w:t>
      </w:r>
    </w:p>
    <w:p>
      <w:pPr>
        <w:pStyle w:val="Author"/>
      </w:pPr>
      <w:r>
        <w:t xml:space="preserve"> Kevin B McGowan</w:t>
      </w:r>
    </w:p>
    <w:p>
      <w:pPr>
        <w:pStyle w:val="Date"/>
      </w:pPr>
      <w:r>
        <w:t xml:space="preserve">2024-10-29</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4"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et al.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in English</w:t>
      </w:r>
      <w:r>
        <w:t xml:space="preserve"> </w:t>
      </w:r>
      <w:r>
        <w:t xml:space="preserve">(Strand 1999; Mack and Munson 2012a; Calder 2018)</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Bakhtin 1981)</w:t>
      </w:r>
      <w:r>
        <w:t xml:space="preserve">. The cognitive reality of this tripartite relationship between the concepts of gender identities and instances of fine phonetic detail is essential for the performance of those identities. This observation holds regardless of speaker and listener awareness. This observation remains true even if what the listener believes about the speaker is false; a monolingual American listener might expect a Beijing voice to be non-rhotic</w:t>
      </w:r>
      <w:r>
        <w:t xml:space="preserve"> </w:t>
      </w:r>
      <w:r>
        <w:t xml:space="preserve">(McGowan 2016)</w:t>
      </w:r>
      <w:r>
        <w:t xml:space="preserve"> </w:t>
      </w:r>
      <w:r>
        <w:t xml:space="preserve">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the voice, the prevailing frequency of vocal fold vibration during voiced sounds, as a primary, biological phonetic detail associated with gender performance</w:t>
      </w:r>
      <w:r>
        <w:t xml:space="preserve"> </w:t>
      </w:r>
      <w:r>
        <w:t xml:space="preserve">(Foulkes and Docherty 2006, 411)</w:t>
      </w:r>
      <w:r>
        <w:t xml:space="preserve">; when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but it is necessary to explore perceptual control for the purposes of the present chapter. Here we owe much of our general conceptualization of</w:t>
      </w:r>
      <w:r>
        <w:t xml:space="preserve"> </w:t>
      </w:r>
      <w:r>
        <w:t xml:space="preserve">‘control’</w:t>
      </w:r>
      <w:r>
        <w:t xml:space="preserve"> </w:t>
      </w:r>
      <w:r>
        <w:t xml:space="preserve">to</w:t>
      </w:r>
      <w:r>
        <w:t xml:space="preserve"> </w:t>
      </w:r>
      <w:r>
        <w:t xml:space="preserve">(Babel this issue)</w:t>
      </w:r>
      <w:r>
        <w:t xml:space="preserve">‘s application of the semiotic role of the interpretant in perception and Preston’s</w:t>
      </w:r>
      <w:r>
        <w:t xml:space="preserve"> </w:t>
      </w:r>
      <w:r>
        <w:t xml:space="preserve">(1996, 2016)</w:t>
      </w:r>
      <w:r>
        <w:t xml:space="preserve"> </w:t>
      </w:r>
      <w:r>
        <w:t xml:space="preserve">four modes of awareness. Critical to our understanding of this phenomenon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listener as it is for the speaker. Social meaning making occurs in interaction; a listener must be able to control, to link, the auditory cues of a performed gender identity to the cognitive representation of that identity just as much as a speaker’s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perception is a phenomenon that crosses disciplinary and subdisciplinary boundaries and approaches to language and social meaning. With these varying disciplinary and subdisciplinary contexts come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(McGowan and Babel 2020)</w:t>
      </w:r>
      <w:r>
        <w:t xml:space="preserve">. Researchers, typically working within the fields of segmental speech perception or word recognition have used perception to describe a kind of low-level, implicit, processing of sensory input</w:t>
      </w:r>
      <w:r>
        <w:t xml:space="preserve"> </w:t>
      </w:r>
      <w:r>
        <w:t xml:space="preserve">(see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w:t>
      </w:r>
    </w:p>
    <w:p>
      <w:pPr>
        <w:pStyle w:val="BodyText"/>
      </w:pPr>
      <w:r>
        <w:t xml:space="preserve">The other meaning of perception in common use in the various language disciplines describes a higher-level, sometimes implicit, sometimes explicit, evaluative judgment of talkers and voices</w:t>
      </w:r>
      <w:r>
        <w:t xml:space="preserve"> </w:t>
      </w:r>
      <w:r>
        <w:t xml:space="preserve">(see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(Labov et al. 2011)</w:t>
      </w:r>
      <w:r>
        <w:t xml:space="preserve">. Importantly for the present study, this higher, evaluative level of perception is also the level for which the Matched Guise Technique (MGT) was originally developed.</w:t>
      </w:r>
    </w:p>
    <w:bookmarkStart w:id="21" w:name="sec-mgt"/>
    <w:p>
      <w:pPr>
        <w:pStyle w:val="Heading3"/>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earlier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their stereotypes,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The Matched Guise technique has been deployed in numerous configurations but, at its core, the technique almost always pairs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 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w:t>
      </w:r>
    </w:p>
    <w:p>
      <w:pPr>
        <w:pStyle w:val="BodyText"/>
      </w:pPr>
      <w:r>
        <w:t xml:space="preserve">A central focus of</w:t>
      </w:r>
      <w:r>
        <w:t xml:space="preserve"> </w:t>
      </w:r>
      <w:r>
        <w:t xml:space="preserve">McGowan and Babel (2020, 246–48)</w:t>
      </w:r>
      <w:r>
        <w:t xml:space="preserve">’s discussion, particularly of their interview results, centers on the question of whether deception was successful and listeners</w:t>
      </w:r>
      <w:r>
        <w:t xml:space="preserve"> </w:t>
      </w:r>
      <w:r>
        <w:rPr>
          <w:i/>
          <w:iCs/>
        </w:rPr>
        <w:t xml:space="preserve">believed</w:t>
      </w:r>
      <w:r>
        <w:t xml:space="preserve"> </w:t>
      </w:r>
      <w:r>
        <w:t xml:space="preserve">the two MGT guise manipulations. In part this is because they observe a stark disjunction between the segmental and evaluative levels of perception. Belief is especially important in a paper that reports the outcome of an unusual within-subjects MGT which presents both guises to each participant. But more fundamentally, and of interest to anyone employing the MGT for language perception or evaluation research,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However, the majority of studies cannot speak directly to this lack of awareness during segmental perception because the data provided by the participants is relatively late in processing and involves layers of potential introspection and evaluation that block access to the initial online percept for listeners and researchers alike.</w:t>
      </w:r>
      <w:r>
        <w:t xml:space="preserve"> </w:t>
      </w:r>
      <w:r>
        <w:t xml:space="preserve">Niedzielski (1999)</w:t>
      </w:r>
      <w:r>
        <w:t xml:space="preserve"> </w:t>
      </w:r>
      <w:r>
        <w:t xml:space="preserve">infers, on the basis of later, evaluative judgments of diphthong onset quality, that social information has blocked online access to phonetic detail, but this can not be confirmed by the task. Additionally,</w:t>
      </w:r>
      <w:r>
        <w:t xml:space="preserve"> </w:t>
      </w:r>
      <w:r>
        <w:t xml:space="preserve">McGowan and Babel (2020)</w:t>
      </w:r>
      <w:r>
        <w:t xml:space="preserve"> </w:t>
      </w:r>
      <w:r>
        <w:t xml:space="preserve">suggests that inferring segmental perception behavior from evaluative perception tasks is unwise given how dramatically responses to these two levels may disagree</w:t>
      </w:r>
      <w:r>
        <w:t xml:space="preserve"> </w:t>
      </w:r>
      <w:r>
        <w:t xml:space="preserve">(see also Campbell-Kibler 2012)</w:t>
      </w:r>
      <w:r>
        <w:t xml:space="preserve">. To understand how awareness of the guise manipulation may influence perception behavior, the present study uses the inverted MGT to test listeners’ segmental perceptions of an [ʃ]-[s] fricative continuum under both different guise and different awareness conditions.</w:t>
      </w:r>
    </w:p>
    <w:bookmarkEnd w:id="21"/>
    <w:bookmarkStart w:id="22" w:name="sec-fricative-gender"/>
    <w:p>
      <w:pPr>
        <w:pStyle w:val="Heading3"/>
      </w:pPr>
      <w:r>
        <w:t xml:space="preserve">Segmental perception: [ʃ]-[s] perception</w:t>
      </w:r>
    </w:p>
    <w:p>
      <w:pPr>
        <w:pStyle w:val="FirstParagraph"/>
      </w:pPr>
      <w:r>
        <w:t xml:space="preserve">It has long been demonstrated that 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(Johnson 2005)</w:t>
      </w:r>
      <w:r>
        <w:t xml:space="preserve">. In the following two subsections, we will lay out our understanding of the relationship between this phonetic variation and its social interpretation as a form of interactive social meaning making.</w:t>
      </w:r>
    </w:p>
    <w:p>
      <w:pPr>
        <w:pStyle w:val="BodyText"/>
      </w:pPr>
      <w:r>
        <w:t xml:space="preserve">Articulatorily, these fricatives mainly differ in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English [ʃ] has a comparatively larger resonating chamber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This effect is, in practice, entirely separable from between-speaker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These continua have endpoints in prototypical examples of [ʃ] and [s] with some number of acoustic steps spliced, synthesized, or even mixed between these. Near the middle of such a continuum will be a synthetic fricative that is ambiguous as to category membership: not clearly [ʃ] and not clearly [s] for the vocal tract that produced the endpoints.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w:t>
      </w:r>
      <w:r>
        <w:t xml:space="preserve">resulting in more looks to a prototypically male face than a prototypically female face when the task is listening to a word and answering</w:t>
      </w:r>
      <w:r>
        <w:t xml:space="preserve"> </w:t>
      </w:r>
      <w:r>
        <w:t xml:space="preserve">“who do you hear?”</w:t>
      </w:r>
    </w:p>
    <w:p>
      <w:pPr>
        <w:pStyle w:val="BodyText"/>
      </w:pPr>
      <w:r>
        <w:t xml:space="preserve">Strand and Johnson (1996)</w:t>
      </w:r>
      <w:r>
        <w:t xml:space="preserve"> </w:t>
      </w:r>
      <w:r>
        <w:t xml:space="preserve">conducted a pair of experiments investigating the influence of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(May 1976; 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of their purported talker can, again, shift perceptions of the [ʃ]-[s] continuum such that listeners report hearing a higher proportion of the continuum as [ʃ] when watching a female talker and a higher proportion of the same continuum as [s] when watching a male talker.</w:t>
      </w:r>
    </w:p>
    <w:p>
      <w:pPr>
        <w:pStyle w:val="BodyText"/>
      </w:pPr>
      <w:r>
        <w:t xml:space="preserve">One goal of the present study is to take advantage of this sociophonetic trading relation in listeners’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bookmarkEnd w:id="22"/>
    <w:bookmarkStart w:id="23" w:name="sec-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w:t>
      </w:r>
      <w:r>
        <w:t xml:space="preserve"> </w:t>
      </w:r>
      <w:r>
        <w:t xml:space="preserve">that listeners could simply normalize away</w:t>
      </w:r>
      <w:r>
        <w:t xml:space="preserve"> </w:t>
      </w:r>
      <w:r>
        <w:t xml:space="preserve">(Johnson 2005)</w:t>
      </w:r>
      <w:r>
        <w:t xml:space="preserve">. However, if these biological tendencies were essential and deterministic, we would expect to see differentiation emerge only at puberty. It does not. In fact, prior to the onset of puberty, girls’ oral and nasal cavities tend to be larger than those of boys</w:t>
      </w:r>
      <w:r>
        <w:t xml:space="preserve"> </w:t>
      </w:r>
      <w:r>
        <w:t xml:space="preserve">(Samoliński, Grzanka, and Gotlib 2007)</w:t>
      </w:r>
      <w:r>
        <w:t xml:space="preserve">. If anything, we should expect lower formants and lower center and peak fricative frequencies for girls, inverting the adult pattern. Instead what we observe is that listeners can differentiate the voices of children as young as 4 years of age using vowel formant frequencies</w:t>
      </w:r>
      <w:r>
        <w:t xml:space="preserve"> </w:t>
      </w:r>
      <w:r>
        <w:t xml:space="preserve">(Perry, Ohde, and Ashmead 2001)</w:t>
      </w:r>
      <w:r>
        <w:t xml:space="preserve"> </w:t>
      </w:r>
      <w:r>
        <w:t xml:space="preserve">and other cues.</w:t>
      </w:r>
      <w:r>
        <w:t xml:space="preserve"> </w:t>
      </w:r>
      <w:r>
        <w:t xml:space="preserve">Schellinger, Munson, and Edwards (2017)</w:t>
      </w:r>
      <w:r>
        <w:t xml:space="preserve"> </w:t>
      </w:r>
      <w:r>
        <w:t xml:space="preserve">report a pair of experiments in which participants heard words produced by children between the ages of 2 and 5, and provided continuous ratings identifying fricatives, vowels, and gender typicality. Children typically show gendered patterns in speech at age 4 and up despite vocal tract length being non-distinct for this cohort. And even in adult speakers, fundamental frequency is only a weak predictor of size, explaining less than 2% of observed height and weight differences while formant spacing fared only slightly better at roughly 10%</w:t>
      </w:r>
      <w:r>
        <w:t xml:space="preserve"> </w:t>
      </w:r>
      <w:r>
        <w:t xml:space="preserve">(Pisanski et al. 2014, 94)</w:t>
      </w:r>
      <w:r>
        <w:t xml:space="preserve">.</w:t>
      </w:r>
    </w:p>
    <w:p>
      <w:pPr>
        <w:pStyle w:val="BodyText"/>
      </w:pPr>
      <w:r>
        <w:t xml:space="preserve">It is critical to remember that fundamental frequency, formants, and fricatives are not purely the result of vocal tract biology but also gestural coordination and performance. Small variations attributable to secondary sex characteristics become available as the semiotic building blocks of gender identity. People who identify as male, female, intersex, etc. perform that identity through gestural style. Trans men, even while experiencing the very real physical consequences of hormone treatments, will also learn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 of meanings are socially-constructed in interaction</w:t>
      </w:r>
      <w:r>
        <w:t xml:space="preserve"> </w:t>
      </w:r>
      <w:r>
        <w:t xml:space="preserve">(Eckert 2008)</w:t>
      </w:r>
    </w:p>
    <w:p>
      <w:pPr>
        <w:pStyle w:val="BodyText"/>
      </w:pPr>
      <w:r>
        <w:t xml:space="preserve">Vowels, in both their linguistic and social aspects, are the acoustic consequence of gestural control. The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 don’t perform adult-like vowel formant patterns because they were born tiny men and women, children perform adult-like vowel formant patterns because they are socialized into gender and are using the cultural and linguistic resources available to communicate that gender to others just as adults do. Humans are meaning-making agents, not deterministically resonating meat tubes.</w:t>
      </w:r>
    </w:p>
    <w:p>
      <w:pPr>
        <w:pStyle w:val="BodyText"/>
      </w:pPr>
      <w:r>
        <w:t xml:space="preserve">In the earliest sociophonetic perception research it was still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instruction condition were briefed, in the instructions, about the guise manipulation. They were instructed that the man or woman in the photo was not associated with the voice they were listening to.</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 stimulus.</w:t>
      </w:r>
    </w:p>
    <w:bookmarkEnd w:id="23"/>
    <w:bookmarkEnd w:id="24"/>
    <w:bookmarkStart w:id="40" w:name="sec-method"/>
    <w:p>
      <w:pPr>
        <w:pStyle w:val="Heading1"/>
      </w:pPr>
      <w:r>
        <w:t xml:space="preserve">Method</w:t>
      </w:r>
    </w:p>
    <w:bookmarkStart w:id="25"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had provided language history and demographic data as part of Prolific’s general pre-screening questionnaire. Participation was restricted to a standard sample of desktop computer users located in the USA, who spent most of their childhoods in the 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p>
    <w:p>
      <w:pPr>
        <w:pStyle w:val="BodyText"/>
      </w:pPr>
      <w:r>
        <w:t xml:space="preserve">Participants were paid $3 for their time, pro-rated from a projected rate of $20/hour (actual rate: $26.29/hour). This same instrument was piloted in the Speech Perception lab of The Ohio State University and, while reaction times online were generally slower than in-person, results from the online administration were generally consistent with pilot results collected under laboratory conditions. Four participants were excluded for low accuracy rates (below 85%).</w:t>
      </w:r>
    </w:p>
    <w:bookmarkEnd w:id="25"/>
    <w:bookmarkStart w:id="31" w:name="sec-stimuli"/>
    <w:p>
      <w:pPr>
        <w:pStyle w:val="Heading2"/>
      </w:pPr>
      <w:r>
        <w:t xml:space="preserve">Stimulus Materials</w:t>
      </w:r>
    </w:p>
    <w:bookmarkStart w:id="30"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which were generously shared with us, contain two parts, both of which are drawn from synthetic continua: a fricative onset and a VC rime. The fricative onsets comprise a synthetic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in</w:t>
      </w:r>
      <w:r>
        <w:t xml:space="preserve"> </w:t>
      </w:r>
      <w:r>
        <w:t xml:space="preserve">Strand and Johnson (1996)</w:t>
      </w:r>
      <w:r>
        <w:t xml:space="preserve">). Centers of Gravity ranged from a low of 3.2 kHz (/ʃ/-like) to a high of 7 kHz (/s/-like).</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These five-step rime continua were created by evenly spacing mean F0 across consecutive steps such that the male /æk/ continuum increased F0 frequency and formant spacing from their unmodified values while the female talker’s /æk/ continuum decreased both parameters from unmodified. Following the separate creations of these continua, each synthesized fricative token was concatenated with each CV rime of /æk/ resulting in a total of 60 unique auditory stimuli. Each fricative step + rime step stimulus item was played independently as the auditory stimulus item in the perception experiment.</w:t>
      </w:r>
    </w:p>
    <w:p>
      <w:pPr>
        <w:pStyle w:val="BodyText"/>
      </w:pPr>
      <w:r>
        <w:t xml:space="preserve">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w:t>
      </w:r>
      <w:r>
        <w:t xml:space="preserve"> </w:t>
      </w:r>
      <w:r>
        <w:t xml:space="preserve">were advanced doctoral students in a linguistics PhD program, some of the elements of such an identity are likely available to conscious reflection, but many of these indexical features (such as VOT duration, F2:F3 formant ratio, etc.)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9" w:name="fig-stimuli"/>
          <w:p>
            <w:pPr>
              <w:pStyle w:val="Compact"/>
              <w:jc w:val="center"/>
            </w:pPr>
            <w:r>
              <w:drawing>
                <wp:inline>
                  <wp:extent cx="4754880" cy="3361404"/>
                  <wp:effectExtent b="0" l="0" r="0" t="0"/>
                  <wp:docPr descr="" title="" id="27" name="Picture"/>
                  <a:graphic>
                    <a:graphicData uri="http://schemas.openxmlformats.org/drawingml/2006/picture">
                      <pic:pic>
                        <pic:nvPicPr>
                          <pic:cNvPr descr="images/figure1.png" id="28" name="Picture"/>
                          <pic:cNvPicPr>
                            <a:picLocks noChangeArrowheads="1" noChangeAspect="1"/>
                          </pic:cNvPicPr>
                        </pic:nvPicPr>
                        <pic:blipFill>
                          <a:blip r:embed="rId26"/>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and S5 represent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w:t>
            </w:r>
          </w:p>
          <w:bookmarkEnd w:id="29"/>
        </w:tc>
      </w:tr>
    </w:tbl>
    <w:bookmarkEnd w:id="30"/>
    <w:bookmarkEnd w:id="31"/>
    <w:bookmarkStart w:id="37"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our auditory stimuli might influence participants’ perception of the identities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1.0.1</w:t>
        </w:r>
      </w:hyperlink>
      <w:r>
        <w:t xml:space="preserve">). 40 undergraduate students at the Ohio State University (25 female, 15 male, ages 18-26) who participated in an in-person pilot version of the inverted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 about the gender identity of the speaker. Most participants</w:t>
      </w:r>
      <w:r>
        <w:t xml:space="preserve"> </w:t>
      </w:r>
      <w:r>
        <w:t xml:space="preserve">(93%)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judgements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6"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both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5" w:name="fig-visual"/>
          <w:p>
            <w:pPr>
              <w:pStyle w:val="Compact"/>
              <w:jc w:val="center"/>
            </w:pPr>
            <w:r>
              <w:drawing>
                <wp:inline>
                  <wp:extent cx="4754880" cy="4754880"/>
                  <wp:effectExtent b="0" l="0" r="0" t="0"/>
                  <wp:docPr descr="" title="" id="33" name="Picture"/>
                  <a:graphic>
                    <a:graphicData uri="http://schemas.openxmlformats.org/drawingml/2006/picture">
                      <pic:pic>
                        <pic:nvPicPr>
                          <pic:cNvPr descr="images/facesanddrawings.jpg" id="34" name="Picture"/>
                          <pic:cNvPicPr>
                            <a:picLocks noChangeArrowheads="1" noChangeAspect="1"/>
                          </pic:cNvPicPr>
                        </pic:nvPicPr>
                        <pic:blipFill>
                          <a:blip r:embed="rId3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5"/>
        </w:tc>
      </w:tr>
    </w:tbl>
    <w:bookmarkEnd w:id="36"/>
    <w:bookmarkEnd w:id="37"/>
    <w:bookmarkStart w:id="39"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8"/>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9"/>
    <w:bookmarkEnd w:id="40"/>
    <w:bookmarkStart w:id="44" w:name="sec-predictions"/>
    <w:p>
      <w:pPr>
        <w:pStyle w:val="Heading1"/>
      </w:pPr>
      <w:r>
        <w:t xml:space="preserve">Predicted Results</w:t>
      </w:r>
    </w:p>
    <w:bookmarkStart w:id="41"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1"/>
    <w:bookmarkStart w:id="42"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2"/>
    <w:bookmarkStart w:id="43"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(traditional) hidden matched guise and the unhidden guise.</w:t>
      </w:r>
    </w:p>
    <w:p>
      <w:pPr>
        <w:pStyle w:val="BodyText"/>
      </w:pPr>
      <w:r>
        <w:t xml:space="preserve">Additionally, we speculate that there may be a response time difference between the Hidden and Unhidden guises even if there is no apparent difference in percept between the conditions. It can certainly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3"/>
    <w:bookmarkEnd w:id="44"/>
    <w:bookmarkStart w:id="64"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5000ms (N=50) were excluded. The 5000ms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2000ms. To increase normality of the distribution of response times across participants, the remaining response times were log-transformed.</w:t>
      </w:r>
    </w:p>
    <w:bookmarkStart w:id="53"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8" w:name="fig-scurve"/>
          <w:p>
            <w:pPr>
              <w:pStyle w:val="Compact"/>
              <w:jc w:val="center"/>
            </w:pPr>
            <w:r>
              <w:drawing>
                <wp:inline>
                  <wp:extent cx="4754880" cy="2937285"/>
                  <wp:effectExtent b="0" l="0" r="0" t="0"/>
                  <wp:docPr descr="" title="" id="46" name="Picture"/>
                  <a:graphic>
                    <a:graphicData uri="http://schemas.openxmlformats.org/drawingml/2006/picture">
                      <pic:pic>
                        <pic:nvPicPr>
                          <pic:cNvPr descr="images/Scurve.png" id="47" name="Picture"/>
                          <pic:cNvPicPr>
                            <a:picLocks noChangeArrowheads="1" noChangeAspect="1"/>
                          </pic:cNvPicPr>
                        </pic:nvPicPr>
                        <pic:blipFill>
                          <a:blip r:embed="rId45"/>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8"/>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2" w:name="fig-rimes"/>
          <w:p>
            <w:pPr>
              <w:pStyle w:val="Compact"/>
              <w:jc w:val="center"/>
            </w:pPr>
            <w:r>
              <w:drawing>
                <wp:inline>
                  <wp:extent cx="4754880" cy="2937285"/>
                  <wp:effectExtent b="0" l="0" r="0" t="0"/>
                  <wp:docPr descr="" title="" id="50" name="Picture"/>
                  <a:graphic>
                    <a:graphicData uri="http://schemas.openxmlformats.org/drawingml/2006/picture">
                      <pic:pic>
                        <pic:nvPicPr>
                          <pic:cNvPr descr="images/ambiguous-by-rime-step.png" id="51" name="Picture"/>
                          <pic:cNvPicPr>
                            <a:picLocks noChangeArrowheads="1" noChangeAspect="1"/>
                          </pic:cNvPicPr>
                        </pic:nvPicPr>
                        <pic:blipFill>
                          <a:blip r:embed="rId49"/>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2"/>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that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is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XXX in the conclusion: return to typicality but not gender and talk about how high level evaluative judgments that the female voice</w:t>
      </w:r>
      <w:r>
        <w:t xml:space="preserve"> </w:t>
      </w:r>
      <w:r>
        <w:t xml:space="preserve">‘sounds male’</w:t>
      </w:r>
      <w:r>
        <w:t xml:space="preserve"> </w:t>
      </w:r>
      <w:r>
        <w:t xml:space="preserve">after resynthesis, even judgments made by the experimenters themselves, do not necessarily predict or imply listener reactions to the kind of low level, segmental percept we are eliciting here.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3"/>
    <w:bookmarkStart w:id="58"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7" w:name="fig-coefs"/>
          <w:p>
            <w:pPr>
              <w:pStyle w:val="Compact"/>
              <w:jc w:val="center"/>
            </w:pPr>
            <w:r>
              <w:drawing>
                <wp:inline>
                  <wp:extent cx="4754880" cy="3169919"/>
                  <wp:effectExtent b="0" l="0" r="0" t="0"/>
                  <wp:docPr descr="" title="" id="55" name="Picture"/>
                  <a:graphic>
                    <a:graphicData uri="http://schemas.openxmlformats.org/drawingml/2006/picture">
                      <pic:pic>
                        <pic:nvPicPr>
                          <pic:cNvPr descr="images/coefs_instruction.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7"/>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XXX for conclusion the stats bear out our interpretation of the rime plot</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8"/>
    <w:bookmarkStart w:id="63" w:name="sec-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efs-logRT"/>
          <w:p>
            <w:pPr>
              <w:pStyle w:val="Compact"/>
              <w:jc w:val="center"/>
            </w:pPr>
            <w:r>
              <w:drawing>
                <wp:inline>
                  <wp:extent cx="4754880" cy="3169919"/>
                  <wp:effectExtent b="0" l="0" r="0" t="0"/>
                  <wp:docPr descr="" title="" id="60" name="Picture"/>
                  <a:graphic>
                    <a:graphicData uri="http://schemas.openxmlformats.org/drawingml/2006/picture">
                      <pic:pic>
                        <pic:nvPicPr>
                          <pic:cNvPr descr="images/coefs-logRT_instructions.png" id="61" name="Picture"/>
                          <pic:cNvPicPr>
                            <a:picLocks noChangeArrowheads="1" noChangeAspect="1"/>
                          </pic:cNvPicPr>
                        </pic:nvPicPr>
                        <pic:blipFill>
                          <a:blip r:embed="rId59"/>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2"/>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3"/>
    <w:bookmarkEnd w:id="64"/>
    <w:bookmarkStart w:id="65" w:name="discussion"/>
    <w:p>
      <w:pPr>
        <w:pStyle w:val="Heading1"/>
      </w:pPr>
      <w:r>
        <w:t xml:space="preserve">Discussion</w:t>
      </w:r>
    </w:p>
    <w:p>
      <w:pPr>
        <w:pStyle w:val="FirstParagraph"/>
      </w:pPr>
      <w:r>
        <w:t xml:space="preserve">The question that motivated this study was a desire to understand the</w:t>
      </w:r>
      <w:r>
        <w:t xml:space="preserve"> </w:t>
      </w:r>
      <w:r>
        <w:t xml:space="preserve">role of listener awareness and control in the matched guise technique.</w:t>
      </w:r>
      <w:r>
        <w:t xml:space="preserve"> </w:t>
      </w:r>
      <w:r>
        <w:t xml:space="preserve">We believe that the careful measures researchers generally employ to</w:t>
      </w:r>
      <w:r>
        <w:t xml:space="preserve"> </w:t>
      </w:r>
      <w:r>
        <w:t xml:space="preserve">obscure the nature of the guise manipulation from participants is</w:t>
      </w:r>
      <w:r>
        <w:t xml:space="preserve"> </w:t>
      </w:r>
      <w:r>
        <w:t xml:space="preserve">attributable to a long-held assumption in the sociolinguistics</w:t>
      </w:r>
      <w:r>
        <w:t xml:space="preserve"> </w:t>
      </w:r>
      <w:r>
        <w:t xml:space="preserve">literature that social knowledge is high-level knowledge, available to</w:t>
      </w:r>
      <w:r>
        <w:t xml:space="preserve"> </w:t>
      </w:r>
      <w:r>
        <w:t xml:space="preserve">introspective control, and that this differs from linguistic knowledge</w:t>
      </w:r>
      <w:r>
        <w:t xml:space="preserve"> </w:t>
      </w:r>
      <w:r>
        <w:t xml:space="preserve">which is low-level knowledge, unavailable to control</w:t>
      </w:r>
      <w:r>
        <w:t xml:space="preserve"> </w:t>
      </w:r>
      <w:r>
        <w:t xml:space="preserve">(Campbell-Kibler 2016)</w:t>
      </w:r>
      <w:r>
        <w:t xml:space="preserve">. The results of the present study are</w:t>
      </w:r>
      <w:r>
        <w:t xml:space="preserve"> </w:t>
      </w:r>
      <w:r>
        <w:t xml:space="preserve">inconsistent with this imagined fragility of the influence of social</w:t>
      </w:r>
      <w:r>
        <w:t xml:space="preserve"> </w:t>
      </w:r>
      <w:r>
        <w:t xml:space="preserve">knowledge. Revealing the nature of the guise manipulation did not</w:t>
      </w:r>
      <w:r>
        <w:t xml:space="preserve"> </w:t>
      </w:r>
      <w:r>
        <w:t xml:space="preserve">significantly influence listener responses in either the congruous or</w:t>
      </w:r>
      <w:r>
        <w:t xml:space="preserve"> </w:t>
      </w:r>
      <w:r>
        <w:t xml:space="preserve">incongruous conditions. Nor did this revelation have a significant</w:t>
      </w:r>
      <w:r>
        <w:t xml:space="preserve"> </w:t>
      </w:r>
      <w:r>
        <w:t xml:space="preserve">influence on response times in either condition.</w:t>
      </w:r>
    </w:p>
    <w:p>
      <w:pPr>
        <w:pStyle w:val="BodyText"/>
      </w:pPr>
      <w:r>
        <w:t xml:space="preserve">The finding that the Matched Guise effect holds for speech perception</w:t>
      </w:r>
      <w:r>
        <w:t xml:space="preserve"> </w:t>
      </w:r>
      <w:r>
        <w:t xml:space="preserve">both when hidden from the participant and when unhidden is inconsistent</w:t>
      </w:r>
      <w:r>
        <w:t xml:space="preserve"> </w:t>
      </w:r>
      <w:r>
        <w:t xml:space="preserve">with a model of processing in which social knowledge simply acts as a</w:t>
      </w:r>
      <w:r>
        <w:t xml:space="preserve"> </w:t>
      </w:r>
      <w:r>
        <w:t xml:space="preserve">filter on linguistic knowledge. Social knowledge can influence perception</w:t>
      </w:r>
      <w:r>
        <w:t xml:space="preserve"> </w:t>
      </w:r>
      <w:r>
        <w:t xml:space="preserve">even when listeners are aware that it is, or may be,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believe the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rather than the purported gender of the Face. This pattern was</w:t>
      </w:r>
      <w:r>
        <w:t xml:space="preserve"> </w:t>
      </w:r>
      <w:r>
        <w:t xml:space="preserve">strongest in the least-ambiguous portions of the Rime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exp1 and exp2 simultaneously. One wonders, looking back at their exp2,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voice to supplement</w:t>
      </w:r>
      <w:r>
        <w:t xml:space="preserve"> </w:t>
      </w:r>
      <w:r>
        <w:t xml:space="preserve">the purported information from the Face. Even the non-prototypical</w:t>
      </w:r>
      <w:r>
        <w:t xml:space="preserve"> </w:t>
      </w:r>
      <w:r>
        <w:t xml:space="preserve">voices used in that study did pattern, in exp1, in weakly gendered ways.</w:t>
      </w:r>
      <w:r>
        <w:t xml:space="preserve"> </w:t>
      </w:r>
      <w:r>
        <w:t xml:space="preserve">This finding may provide some insight into recent failures to replicate</w:t>
      </w:r>
      <w:r>
        <w:t xml:space="preserve"> </w:t>
      </w:r>
      <w:r>
        <w:t xml:space="preserve">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spacing. However, these may not be the only cues</w:t>
      </w:r>
      <w:r>
        <w:t xml:space="preserve"> </w:t>
      </w:r>
      <w:r>
        <w:t xml:space="preserve">listeners are drawing upon with their knowledge of US English. Surely,</w:t>
      </w:r>
      <w:r>
        <w:t xml:space="preserve"> </w:t>
      </w:r>
      <w:r>
        <w:t xml:space="preserve">F0 and vowel formant spacing</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this study we have used manipulated stimuli that obscure, over the</w:t>
      </w:r>
      <w:r>
        <w:t xml:space="preserve"> </w:t>
      </w:r>
      <w:r>
        <w:t xml:space="preserve">course of two gender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 phonetic correlates of gender.</w:t>
      </w:r>
    </w:p>
    <w:bookmarkEnd w:id="65"/>
    <w:bookmarkStart w:id="66"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exp1 and exp2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in congruence, they can enhance one another. When,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 Enumerating the phonetic correlates</w:t>
      </w:r>
      <w:r>
        <w:t xml:space="preserve"> </w:t>
      </w:r>
      <w:r>
        <w:t xml:space="preserve">of gender may not be the wrong question, but it is certainly premature</w:t>
      </w:r>
      <w:r>
        <w:t xml:space="preserve"> </w:t>
      </w:r>
      <w:r>
        <w:t xml:space="preserve">given the limitations of current theory to account for what listeners</w:t>
      </w:r>
      <w:r>
        <w:t xml:space="preserve"> </w:t>
      </w:r>
      <w:r>
        <w:t xml:space="preserve">actually do. A better question is something like</w:t>
      </w:r>
      <w:r>
        <w:t xml:space="preserve"> </w:t>
      </w:r>
      <w:r>
        <w:t xml:space="preserve">“what kinds of</w:t>
      </w:r>
      <w:r>
        <w:t xml:space="preserve"> </w:t>
      </w:r>
      <w:r>
        <w:t xml:space="preserve">knowledge do listeners draw on during perception and when?”</w:t>
      </w:r>
    </w:p>
    <w:p>
      <w:pPr>
        <w:pStyle w:val="BodyText"/>
      </w:pPr>
      <w:r>
        <w:t xml:space="preserve">(Barrett et al.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listeners’ social knowledge</w:t>
      </w:r>
      <w:r>
        <w:t xml:space="preserve"> </w:t>
      </w:r>
      <w:r>
        <w:t xml:space="preserve">of speech is not delicate. The present result is equally inconsistent</w:t>
      </w:r>
      <w:r>
        <w:t xml:space="preserve"> </w:t>
      </w:r>
      <w:r>
        <w:t xml:space="preserve">with a model that disregards social knowledge entirely and with any</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is not a weakly-associated prime; Social</w:t>
      </w:r>
      <w:r>
        <w:t xml:space="preserve"> </w:t>
      </w:r>
      <w:r>
        <w:t xml:space="preserve">knowledge and linguistic knowledge are deeply intertwined in speech</w:t>
      </w:r>
      <w:r>
        <w:t xml:space="preserve"> </w:t>
      </w:r>
      <w:r>
        <w:t xml:space="preserve">perception and it is perverse to assume that the language subsystem</w:t>
      </w:r>
      <w:r>
        <w:t xml:space="preserve"> </w:t>
      </w:r>
      <w:r>
        <w:t xml:space="preserve">underlying this ability would necessarily distinguish them.</w:t>
      </w:r>
    </w:p>
    <w:bookmarkEnd w:id="66"/>
    <w:bookmarkStart w:id="186" w:name="sec-references"/>
    <w:p>
      <w:pPr>
        <w:pStyle w:val="Heading1"/>
      </w:pPr>
      <w:r>
        <w:t xml:space="preserve">References</w:t>
      </w:r>
    </w:p>
    <w:bookmarkStart w:id="185" w:name="refs"/>
    <w:bookmarkStart w:id="67"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7"/>
    <w:bookmarkStart w:id="68"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8"/>
    <w:bookmarkStart w:id="69"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9"/>
    <w:bookmarkStart w:id="70"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0"/>
    <w:bookmarkStart w:id="71" w:name="ref-barrett2014"/>
    <w:p>
      <w:pPr>
        <w:pStyle w:val="Bibliography"/>
      </w:pPr>
      <w:r>
        <w:t xml:space="preserve">Barrett, Rusty, L Zimman, J Davis, and J Raclaw. 2014.</w:t>
      </w:r>
      <w:r>
        <w:t xml:space="preserve"> </w:t>
      </w:r>
      <w:r>
        <w:t xml:space="preserve">“The Emergence of the Unmarked.”</w:t>
      </w:r>
      <w:r>
        <w:t xml:space="preserve"> </w:t>
      </w:r>
      <w:r>
        <w:rPr>
          <w:i/>
          <w:iCs/>
        </w:rPr>
        <w:t xml:space="preserve">Queer Excursions: Retheorizing Binaries in Language, Gender, and Sexuality</w:t>
      </w:r>
      <w:r>
        <w:t xml:space="preserve">, 195–223.</w:t>
      </w:r>
    </w:p>
    <w:bookmarkEnd w:id="71"/>
    <w:bookmarkStart w:id="73"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2">
        <w:r>
          <w:rPr>
            <w:rStyle w:val="Hyperlink"/>
          </w:rPr>
          <w:t xml:space="preserve">http://CRAN.R-project.org/package=lme4</w:t>
        </w:r>
      </w:hyperlink>
      <w:r>
        <w:t xml:space="preserve">.</w:t>
      </w:r>
    </w:p>
    <w:bookmarkEnd w:id="73"/>
    <w:bookmarkStart w:id="74"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4"/>
    <w:bookmarkStart w:id="75"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5"/>
    <w:bookmarkStart w:id="77"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6">
        <w:r>
          <w:rPr>
            <w:rStyle w:val="Hyperlink"/>
          </w:rPr>
          <w:t xml:space="preserve">https://doi.org/10.1121/1.5101933</w:t>
        </w:r>
      </w:hyperlink>
      <w:r>
        <w:t xml:space="preserve">.</w:t>
      </w:r>
    </w:p>
    <w:bookmarkEnd w:id="77"/>
    <w:bookmarkStart w:id="79"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8">
        <w:r>
          <w:rPr>
            <w:rStyle w:val="Hyperlink"/>
          </w:rPr>
          <w:t xml:space="preserve">https://doi.org/10.1017/S0954394521000089</w:t>
        </w:r>
      </w:hyperlink>
      <w:r>
        <w:t xml:space="preserve">.</w:t>
      </w:r>
    </w:p>
    <w:bookmarkEnd w:id="79"/>
    <w:bookmarkStart w:id="80"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0"/>
    <w:bookmarkStart w:id="81"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1"/>
    <w:bookmarkStart w:id="82"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2"/>
    <w:bookmarkStart w:id="83"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3"/>
    <w:bookmarkStart w:id="84"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4"/>
    <w:bookmarkStart w:id="85"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5"/>
    <w:bookmarkStart w:id="86"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6"/>
    <w:bookmarkStart w:id="87"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7"/>
    <w:bookmarkStart w:id="88"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8"/>
    <w:bookmarkStart w:id="89"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89"/>
    <w:bookmarkStart w:id="90"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0"/>
    <w:bookmarkStart w:id="92"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1">
        <w:r>
          <w:rPr>
            <w:rStyle w:val="Hyperlink"/>
          </w:rPr>
          <w:t xml:space="preserve">https://doi.org/10.1037/xlm0000137</w:t>
        </w:r>
      </w:hyperlink>
      <w:r>
        <w:t xml:space="preserve">.</w:t>
      </w:r>
    </w:p>
    <w:bookmarkEnd w:id="92"/>
    <w:bookmarkStart w:id="93"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3"/>
    <w:bookmarkStart w:id="94"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4"/>
    <w:bookmarkStart w:id="95"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5"/>
    <w:bookmarkStart w:id="97"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96">
        <w:r>
          <w:rPr>
            <w:rStyle w:val="Hyperlink"/>
          </w:rPr>
          <w:t xml:space="preserve">https://doi.org/10.1016/s0010-0277(00)00123-2</w:t>
        </w:r>
      </w:hyperlink>
      <w:r>
        <w:t xml:space="preserve">.</w:t>
      </w:r>
    </w:p>
    <w:bookmarkEnd w:id="97"/>
    <w:bookmarkStart w:id="98" w:name="ref-drager2013"/>
    <w:p>
      <w:pPr>
        <w:pStyle w:val="Bibliography"/>
      </w:pPr>
      <w:r>
        <w:t xml:space="preserve">Drager, Katie.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98"/>
    <w:bookmarkStart w:id="99"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99"/>
    <w:bookmarkStart w:id="100"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0"/>
    <w:bookmarkStart w:id="101"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1"/>
    <w:bookmarkStart w:id="102"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02"/>
    <w:bookmarkStart w:id="103"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03"/>
    <w:bookmarkStart w:id="104"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04"/>
    <w:bookmarkStart w:id="105"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05"/>
    <w:bookmarkStart w:id="106"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06"/>
    <w:bookmarkStart w:id="107"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07"/>
    <w:bookmarkStart w:id="108"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08"/>
    <w:bookmarkStart w:id="109"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09"/>
    <w:bookmarkStart w:id="111"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10">
        <w:r>
          <w:rPr>
            <w:rStyle w:val="Hyperlink"/>
          </w:rPr>
          <w:t xml:space="preserve">https://doi.org/10.3389/fpsyg.2015.00500</w:t>
        </w:r>
      </w:hyperlink>
      <w:r>
        <w:t xml:space="preserve">.</w:t>
      </w:r>
    </w:p>
    <w:bookmarkEnd w:id="111"/>
    <w:bookmarkStart w:id="113"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12">
        <w:r>
          <w:rPr>
            <w:rStyle w:val="Hyperlink"/>
          </w:rPr>
          <w:t xml:space="preserve">http://dx.doi.org/10.3758/BF03207536</w:t>
        </w:r>
      </w:hyperlink>
      <w:r>
        <w:t xml:space="preserve">.</w:t>
      </w:r>
    </w:p>
    <w:bookmarkEnd w:id="113"/>
    <w:bookmarkStart w:id="114"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14"/>
    <w:bookmarkStart w:id="115"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15"/>
    <w:bookmarkStart w:id="116"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16"/>
    <w:bookmarkStart w:id="117"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17"/>
    <w:bookmarkStart w:id="118"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18"/>
    <w:bookmarkStart w:id="119"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19"/>
    <w:bookmarkStart w:id="120"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20"/>
    <w:bookmarkStart w:id="121"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21"/>
    <w:bookmarkStart w:id="123"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22">
        <w:r>
          <w:rPr>
            <w:rStyle w:val="Hyperlink"/>
          </w:rPr>
          <w:t xml:space="preserve">http://www.jstor.org/stable/522229</w:t>
        </w:r>
      </w:hyperlink>
      <w:r>
        <w:t xml:space="preserve">.</w:t>
      </w:r>
    </w:p>
    <w:bookmarkEnd w:id="123"/>
    <w:bookmarkStart w:id="124"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24"/>
    <w:bookmarkStart w:id="125"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25"/>
    <w:bookmarkStart w:id="126"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26"/>
    <w:bookmarkStart w:id="127"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27"/>
    <w:bookmarkStart w:id="128"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28"/>
    <w:bookmarkStart w:id="130"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29">
        <w:r>
          <w:rPr>
            <w:rStyle w:val="Hyperlink"/>
          </w:rPr>
          <w:t xml:space="preserve">https://doi.org/10.1371/journal.pone.0130834</w:t>
        </w:r>
      </w:hyperlink>
      <w:r>
        <w:t xml:space="preserve">.</w:t>
      </w:r>
    </w:p>
    <w:bookmarkEnd w:id="130"/>
    <w:bookmarkStart w:id="132"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31">
        <w:r>
          <w:rPr>
            <w:rStyle w:val="Hyperlink"/>
          </w:rPr>
          <w:t xml:space="preserve">https://doi.org/10.3109/13682826809011440</w:t>
        </w:r>
      </w:hyperlink>
      <w:r>
        <w:t xml:space="preserve">.</w:t>
      </w:r>
    </w:p>
    <w:bookmarkEnd w:id="132"/>
    <w:bookmarkStart w:id="134"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33">
        <w:r>
          <w:rPr>
            <w:rStyle w:val="Hyperlink"/>
          </w:rPr>
          <w:t xml:space="preserve">https://doi.org/10.1177/0075424214531487</w:t>
        </w:r>
      </w:hyperlink>
      <w:r>
        <w:t xml:space="preserve">.</w:t>
      </w:r>
    </w:p>
    <w:bookmarkEnd w:id="134"/>
    <w:bookmarkStart w:id="135"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35"/>
    <w:bookmarkStart w:id="137" w:name="ref-imagemagick"/>
    <w:p>
      <w:pPr>
        <w:pStyle w:val="Bibliography"/>
      </w:pPr>
      <w:r>
        <w:t xml:space="preserve">LLC, ImageMagick Studio. 2023.</w:t>
      </w:r>
      <w:r>
        <w:t xml:space="preserve"> </w:t>
      </w:r>
      <w:r>
        <w:t xml:space="preserve">“ImageMagick.”</w:t>
      </w:r>
      <w:r>
        <w:t xml:space="preserve"> </w:t>
      </w:r>
      <w:hyperlink r:id="rId136">
        <w:r>
          <w:rPr>
            <w:rStyle w:val="Hyperlink"/>
          </w:rPr>
          <w:t xml:space="preserve">https://imagemagick.org</w:t>
        </w:r>
      </w:hyperlink>
      <w:r>
        <w:t xml:space="preserve">.</w:t>
      </w:r>
    </w:p>
    <w:bookmarkEnd w:id="137"/>
    <w:bookmarkStart w:id="139"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38">
        <w:r>
          <w:rPr>
            <w:rStyle w:val="Hyperlink"/>
          </w:rPr>
          <w:t xml:space="preserve">https://doi.org/10.3758/s13428-014-0532-5</w:t>
        </w:r>
      </w:hyperlink>
      <w:r>
        <w:t xml:space="preserve">.</w:t>
      </w:r>
    </w:p>
    <w:bookmarkEnd w:id="139"/>
    <w:bookmarkStart w:id="140"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40"/>
    <w:bookmarkStart w:id="142"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41">
        <w:r>
          <w:rPr>
            <w:rStyle w:val="Hyperlink"/>
          </w:rPr>
          <w:t xml:space="preserve">https://doi.org/10.1016/j.wocn.2011.10.002</w:t>
        </w:r>
      </w:hyperlink>
      <w:r>
        <w:t xml:space="preserve">.</w:t>
      </w:r>
    </w:p>
    <w:bookmarkEnd w:id="142"/>
    <w:bookmarkStart w:id="143"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43"/>
    <w:bookmarkStart w:id="144"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44"/>
    <w:bookmarkStart w:id="145"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45"/>
    <w:bookmarkStart w:id="146"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46"/>
    <w:bookmarkStart w:id="147"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47"/>
    <w:bookmarkStart w:id="148"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48"/>
    <w:bookmarkStart w:id="149"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49"/>
    <w:bookmarkStart w:id="150"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50"/>
    <w:bookmarkStart w:id="151"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51"/>
    <w:bookmarkStart w:id="152"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52"/>
    <w:bookmarkStart w:id="153"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53"/>
    <w:bookmarkStart w:id="154"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54"/>
    <w:bookmarkStart w:id="155"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55"/>
    <w:bookmarkStart w:id="156"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56"/>
    <w:bookmarkStart w:id="157"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57"/>
    <w:bookmarkStart w:id="158"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58"/>
    <w:bookmarkStart w:id="159"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59"/>
    <w:bookmarkStart w:id="160" w:name="ref-pisanski2014"/>
    <w:p>
      <w:pPr>
        <w:pStyle w:val="Bibliography"/>
      </w:pPr>
      <w:r>
        <w:t xml:space="preserve">Pisanski, Katarzyna, Paul J Fraccaro, Cara C Tigue, Jillian JM O’Connor, Susanne Röder, Paul W Andrews, Bernhard Fink, Lisa M DeBruine, Benedict C Jones, and David R Feinberg. 2014.</w:t>
      </w:r>
      <w:r>
        <w:t xml:space="preserve"> </w:t>
      </w:r>
      <w:r>
        <w:t xml:space="preserve">“Vocal Indicators of Body Size in Men and Women: A Meta-Analysis.”</w:t>
      </w:r>
      <w:r>
        <w:t xml:space="preserve"> </w:t>
      </w:r>
      <w:r>
        <w:rPr>
          <w:i/>
          <w:iCs/>
        </w:rPr>
        <w:t xml:space="preserve">Animal Behaviour</w:t>
      </w:r>
      <w:r>
        <w:t xml:space="preserve"> </w:t>
      </w:r>
      <w:r>
        <w:t xml:space="preserve">95: 89–99.</w:t>
      </w:r>
    </w:p>
    <w:bookmarkEnd w:id="160"/>
    <w:bookmarkStart w:id="161"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61"/>
    <w:bookmarkStart w:id="162"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62"/>
    <w:bookmarkStart w:id="163"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63"/>
    <w:bookmarkStart w:id="165"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64">
        <w:r>
          <w:rPr>
            <w:rStyle w:val="Hyperlink"/>
          </w:rPr>
          <w:t xml:space="preserve">https://doi.org/10.1093/oxfordhb/9780199600472.001.0001</w:t>
        </w:r>
      </w:hyperlink>
      <w:r>
        <w:t xml:space="preserve">.</w:t>
      </w:r>
    </w:p>
    <w:bookmarkEnd w:id="165"/>
    <w:bookmarkStart w:id="166"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66"/>
    <w:bookmarkStart w:id="167"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67"/>
    <w:bookmarkStart w:id="168"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68"/>
    <w:bookmarkStart w:id="169"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69"/>
    <w:bookmarkStart w:id="171"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70">
        <w:r>
          <w:rPr>
            <w:rStyle w:val="Hyperlink"/>
          </w:rPr>
          <w:t xml:space="preserve">https://doi.org/10.3758/BF03197491</w:t>
        </w:r>
      </w:hyperlink>
      <w:r>
        <w:t xml:space="preserve">.</w:t>
      </w:r>
    </w:p>
    <w:bookmarkEnd w:id="171"/>
    <w:bookmarkStart w:id="172"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72"/>
    <w:bookmarkStart w:id="173"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73"/>
    <w:bookmarkStart w:id="174"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74"/>
    <w:bookmarkStart w:id="175"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75"/>
    <w:bookmarkStart w:id="176"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76"/>
    <w:bookmarkStart w:id="177"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77"/>
    <w:bookmarkStart w:id="178"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78"/>
    <w:bookmarkStart w:id="179"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79"/>
    <w:bookmarkStart w:id="180"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80"/>
    <w:bookmarkStart w:id="181"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81"/>
    <w:bookmarkStart w:id="182"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82"/>
    <w:bookmarkStart w:id="183"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83"/>
    <w:bookmarkStart w:id="184"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84"/>
    <w:bookmarkEnd w:id="185"/>
    <w:bookmarkEnd w:id="186"/>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8">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C4411"/>
    <w:rsid w:val="001B6542"/>
    <w:rsid w:val="00292A31"/>
    <w:rsid w:val="0056650E"/>
    <w:rsid w:val="00603281"/>
    <w:rsid w:val="00891442"/>
    <w:rsid w:val="008C4BA1"/>
    <w:rsid w:val="00BE0E21"/>
    <w:rsid w:val="00C23838"/>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caption" w:qFormat="1" w:uiPriority="35"/>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23838"/>
  </w:style>
  <w:style w:styleId="Heading1" w:type="paragraph">
    <w:name w:val="heading 1"/>
    <w:basedOn w:val="Normal"/>
    <w:next w:val="Normal"/>
    <w:link w:val="Heading1Char"/>
    <w:uiPriority w:val="9"/>
    <w:qFormat/>
    <w:rsid w:val="00C23838"/>
    <w:pPr>
      <w:keepNext/>
      <w:keepLines/>
      <w:spacing w:after="0" w:before="480"/>
      <w:outlineLvl w:val="0"/>
    </w:pPr>
    <w:rPr>
      <w:rFonts w:asciiTheme="majorHAnsi" w:cstheme="majorBidi" w:eastAsiaTheme="majorEastAsia" w:hAnsiTheme="majorHAnsi"/>
      <w:b/>
      <w:bCs/>
      <w:color w:themeColor="accent1" w:themeShade="BF" w:val="0F4761"/>
      <w:sz w:val="28"/>
      <w:szCs w:val="28"/>
    </w:rPr>
  </w:style>
  <w:style w:styleId="Heading2" w:type="paragraph">
    <w:name w:val="heading 2"/>
    <w:basedOn w:val="Normal"/>
    <w:next w:val="Normal"/>
    <w:link w:val="Heading2Char"/>
    <w:uiPriority w:val="9"/>
    <w:semiHidden/>
    <w:unhideWhenUsed/>
    <w:qFormat/>
    <w:rsid w:val="00C23838"/>
    <w:pPr>
      <w:keepNext/>
      <w:keepLines/>
      <w:spacing w:after="0" w:before="200"/>
      <w:outlineLvl w:val="1"/>
    </w:pPr>
    <w:rPr>
      <w:rFonts w:asciiTheme="majorHAnsi" w:cstheme="majorBidi" w:eastAsiaTheme="majorEastAsia" w:hAnsiTheme="majorHAnsi"/>
      <w:b/>
      <w:bCs/>
      <w:color w:themeColor="accent1" w:val="156082"/>
      <w:sz w:val="26"/>
      <w:szCs w:val="26"/>
    </w:rPr>
  </w:style>
  <w:style w:styleId="Heading3" w:type="paragraph">
    <w:name w:val="heading 3"/>
    <w:basedOn w:val="Normal"/>
    <w:next w:val="Normal"/>
    <w:link w:val="Heading3Char"/>
    <w:uiPriority w:val="9"/>
    <w:semiHidden/>
    <w:unhideWhenUsed/>
    <w:qFormat/>
    <w:rsid w:val="00C23838"/>
    <w:pPr>
      <w:keepNext/>
      <w:keepLines/>
      <w:spacing w:after="0" w:before="200"/>
      <w:outlineLvl w:val="2"/>
    </w:pPr>
    <w:rPr>
      <w:rFonts w:asciiTheme="majorHAnsi" w:cstheme="majorBidi" w:eastAsiaTheme="majorEastAsia" w:hAnsiTheme="majorHAnsi"/>
      <w:b/>
      <w:bCs/>
      <w:color w:themeColor="accent1" w:val="156082"/>
    </w:rPr>
  </w:style>
  <w:style w:styleId="Heading4" w:type="paragraph">
    <w:name w:val="heading 4"/>
    <w:basedOn w:val="Normal"/>
    <w:next w:val="Normal"/>
    <w:link w:val="Heading4Char"/>
    <w:uiPriority w:val="9"/>
    <w:semiHidden/>
    <w:unhideWhenUsed/>
    <w:qFormat/>
    <w:rsid w:val="00C23838"/>
    <w:pPr>
      <w:keepNext/>
      <w:keepLines/>
      <w:spacing w:after="0" w:before="200"/>
      <w:outlineLvl w:val="3"/>
    </w:pPr>
    <w:rPr>
      <w:rFonts w:asciiTheme="majorHAnsi" w:cstheme="majorBidi" w:eastAsiaTheme="majorEastAsia" w:hAnsiTheme="majorHAnsi"/>
      <w:b/>
      <w:bCs/>
      <w:i/>
      <w:iCs/>
      <w:color w:themeColor="accent1" w:val="156082"/>
    </w:rPr>
  </w:style>
  <w:style w:styleId="Heading5" w:type="paragraph">
    <w:name w:val="heading 5"/>
    <w:basedOn w:val="Normal"/>
    <w:next w:val="Normal"/>
    <w:link w:val="Heading5Char"/>
    <w:uiPriority w:val="9"/>
    <w:semiHidden/>
    <w:unhideWhenUsed/>
    <w:qFormat/>
    <w:rsid w:val="00C23838"/>
    <w:pPr>
      <w:keepNext/>
      <w:keepLines/>
      <w:spacing w:after="0" w:before="200"/>
      <w:outlineLvl w:val="4"/>
    </w:pPr>
    <w:rPr>
      <w:rFonts w:asciiTheme="majorHAnsi" w:cstheme="majorBidi" w:eastAsiaTheme="majorEastAsia" w:hAnsiTheme="majorHAnsi"/>
      <w:color w:themeColor="accent1" w:themeShade="7F" w:val="0A2F40"/>
    </w:rPr>
  </w:style>
  <w:style w:styleId="Heading6" w:type="paragraph">
    <w:name w:val="heading 6"/>
    <w:basedOn w:val="Normal"/>
    <w:next w:val="Normal"/>
    <w:link w:val="Heading6Char"/>
    <w:uiPriority w:val="9"/>
    <w:semiHidden/>
    <w:unhideWhenUsed/>
    <w:qFormat/>
    <w:rsid w:val="00C23838"/>
    <w:pPr>
      <w:keepNext/>
      <w:keepLines/>
      <w:spacing w:after="0" w:before="200"/>
      <w:outlineLvl w:val="5"/>
    </w:pPr>
    <w:rPr>
      <w:rFonts w:asciiTheme="majorHAnsi" w:cstheme="majorBidi" w:eastAsiaTheme="majorEastAsia" w:hAnsiTheme="majorHAnsi"/>
      <w:i/>
      <w:iCs/>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C23838"/>
    <w:pPr>
      <w:keepNext/>
      <w:keepLines/>
      <w:spacing w:after="0" w:before="200"/>
      <w:outlineLvl w:val="7"/>
    </w:pPr>
    <w:rPr>
      <w:rFonts w:asciiTheme="majorHAnsi" w:cstheme="majorBidi" w:eastAsiaTheme="majorEastAsia" w:hAnsiTheme="majorHAnsi"/>
      <w:color w:themeColor="accent1" w:val="156082"/>
      <w:sz w:val="20"/>
      <w:szCs w:val="20"/>
    </w:rPr>
  </w:style>
  <w:style w:styleId="Heading9" w:type="paragraph">
    <w:name w:val="heading 9"/>
    <w:basedOn w:val="Normal"/>
    <w:next w:val="Normal"/>
    <w:link w:val="Heading9Char"/>
    <w:uiPriority w:val="9"/>
    <w:semiHidden/>
    <w:unhideWhenUsed/>
    <w:qFormat/>
    <w:rsid w:val="00C23838"/>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23838"/>
    <w:pPr>
      <w:pBdr>
        <w:bottom w:color="156082" w:space="4" w:sz="8" w:themeColor="accent1" w:val="single"/>
      </w:pBdr>
      <w:spacing w:after="300" w:line="240" w:lineRule="auto"/>
      <w:contextualSpacing/>
    </w:pPr>
    <w:rPr>
      <w:rFonts w:asciiTheme="majorHAnsi" w:cstheme="majorBidi" w:eastAsiaTheme="majorEastAsia" w:hAnsiTheme="majorHAnsi"/>
      <w:color w:themeColor="text2" w:themeShade="BF" w:val="0A1D30"/>
      <w:spacing w:val="5"/>
      <w:kern w:val="28"/>
      <w:sz w:val="52"/>
      <w:szCs w:val="52"/>
    </w:rPr>
  </w:style>
  <w:style w:customStyle="1" w:styleId="TitleChar" w:type="character">
    <w:name w:val="Title Char"/>
    <w:basedOn w:val="DefaultParagraphFont"/>
    <w:link w:val="Title"/>
    <w:uiPriority w:val="10"/>
    <w:rsid w:val="00C23838"/>
    <w:rPr>
      <w:rFonts w:asciiTheme="majorHAnsi" w:cstheme="majorBidi" w:eastAsiaTheme="majorEastAsia" w:hAnsiTheme="majorHAnsi"/>
      <w:color w:themeColor="text2" w:themeShade="BF" w:val="0A1D30"/>
      <w:spacing w:val="5"/>
      <w:kern w:val="28"/>
      <w:sz w:val="52"/>
      <w:szCs w:val="52"/>
    </w:rPr>
  </w:style>
  <w:style w:styleId="Subtitle" w:type="paragraph">
    <w:name w:val="Subtitle"/>
    <w:basedOn w:val="Normal"/>
    <w:next w:val="Normal"/>
    <w:link w:val="SubtitleChar"/>
    <w:uiPriority w:val="11"/>
    <w:qFormat/>
    <w:rsid w:val="00C23838"/>
    <w:pPr>
      <w:numPr>
        <w:ilvl w:val="1"/>
      </w:numPr>
    </w:pPr>
    <w:rPr>
      <w:rFonts w:asciiTheme="majorHAnsi" w:cstheme="majorBidi" w:eastAsiaTheme="majorEastAsia" w:hAnsiTheme="majorHAnsi"/>
      <w:i/>
      <w:iCs/>
      <w:color w:themeColor="accent1" w:val="156082"/>
      <w:spacing w:val="15"/>
      <w:sz w:val="24"/>
      <w:szCs w:val="24"/>
    </w:rPr>
  </w:style>
  <w:style w:customStyle="1" w:styleId="SubtitleChar" w:type="character">
    <w:name w:val="Subtitle Char"/>
    <w:basedOn w:val="DefaultParagraphFont"/>
    <w:link w:val="Subtitle"/>
    <w:uiPriority w:val="11"/>
    <w:rsid w:val="00C23838"/>
    <w:rPr>
      <w:rFonts w:asciiTheme="majorHAnsi" w:cstheme="majorBidi" w:eastAsiaTheme="majorEastAsia" w:hAnsiTheme="majorHAnsi"/>
      <w:i/>
      <w:iCs/>
      <w:color w:themeColor="accent1" w:val="156082"/>
      <w:spacing w:val="15"/>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heme="majorHAnsi" w:cstheme="majorBidi" w:eastAsiaTheme="majorEastAsia" w:hAnsiTheme="majorHAnsi"/>
      <w:b/>
      <w:bCs/>
      <w:color w:themeColor="accent1" w:themeShade="BF" w:val="0F4761"/>
      <w:sz w:val="28"/>
      <w:szCs w:val="28"/>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b/>
      <w:bCs/>
      <w:color w:themeColor="accent1" w:val="156082"/>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b/>
      <w:bCs/>
      <w:color w:themeColor="accent1" w:val="156082"/>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b/>
      <w:bCs/>
      <w:i/>
      <w:iCs/>
      <w:color w:themeColor="accent1" w:val="156082"/>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7F" w:val="0A2F40"/>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i/>
      <w:iCs/>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accent1" w:val="156082"/>
      <w:sz w:val="20"/>
      <w:szCs w:val="20"/>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BF" w:val="404040"/>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23838"/>
    <w:pPr>
      <w:spacing w:line="240" w:lineRule="auto"/>
    </w:pPr>
    <w:rPr>
      <w:b/>
      <w:bCs/>
      <w:color w:themeColor="accent1" w:val="156082"/>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156082"/>
      <w:sz w:val="18"/>
      <w:szCs w:val="18"/>
    </w:rPr>
  </w:style>
  <w:style w:customStyle="1" w:styleId="VerbatimChar" w:type="character">
    <w:name w:val="Verbatim Char"/>
    <w:basedOn w:val="CaptionChar"/>
    <w:rPr>
      <w:rFonts w:ascii="Consolas" w:hAnsi="Consolas"/>
      <w:b/>
      <w:bCs/>
      <w:color w:themeColor="accent1" w:val="156082"/>
      <w:sz w:val="22"/>
      <w:szCs w:val="18"/>
    </w:rPr>
  </w:style>
  <w:style w:customStyle="1" w:styleId="SectionNumber" w:type="character">
    <w:name w:val="Section Number"/>
    <w:basedOn w:val="CaptionChar"/>
    <w:rPr>
      <w:b/>
      <w:bCs/>
      <w:color w:themeColor="accent1" w:val="156082"/>
      <w:sz w:val="18"/>
      <w:szCs w:val="18"/>
    </w:rPr>
  </w:style>
  <w:style w:styleId="FootnoteReference" w:type="character">
    <w:name w:val="footnote reference"/>
    <w:basedOn w:val="CaptionChar"/>
    <w:rPr>
      <w:b/>
      <w:bCs/>
      <w:color w:themeColor="accent1" w:val="156082"/>
      <w:sz w:val="18"/>
      <w:szCs w:val="18"/>
      <w:vertAlign w:val="superscript"/>
    </w:rPr>
  </w:style>
  <w:style w:styleId="Hyperlink" w:type="character">
    <w:name w:val="Hyperlink"/>
    <w:basedOn w:val="CaptionChar"/>
    <w:rPr>
      <w:b/>
      <w:bCs/>
      <w:color w:themeColor="accent1" w:val="156082"/>
      <w:sz w:val="18"/>
      <w:szCs w:val="18"/>
    </w:rPr>
  </w:style>
  <w:style w:styleId="TOCHeading" w:type="paragraph">
    <w:name w:val="TOC Heading"/>
    <w:basedOn w:val="Heading1"/>
    <w:next w:val="Normal"/>
    <w:uiPriority w:val="39"/>
    <w:unhideWhenUsed/>
    <w:qFormat/>
    <w:rsid w:val="00C23838"/>
    <w:pPr>
      <w:outlineLvl w:val="9"/>
    </w:p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pPr>
      <w:spacing w:after="0" w:line="240" w:lineRule="auto"/>
    </w:pPr>
  </w:style>
  <w:style w:styleId="ListParagraph" w:type="paragraph">
    <w:name w:val="List Paragraph"/>
    <w:basedOn w:val="Normal"/>
    <w:uiPriority w:val="34"/>
    <w:qFormat/>
    <w:rsid w:val="00C23838"/>
    <w:pPr>
      <w:ind w:left="720"/>
      <w:contextualSpacing/>
    </w:pPr>
  </w:style>
  <w:style w:styleId="Quote" w:type="paragraph">
    <w:name w:val="Quote"/>
    <w:basedOn w:val="Normal"/>
    <w:next w:val="Normal"/>
    <w:link w:val="QuoteChar"/>
    <w:uiPriority w:val="29"/>
    <w:qFormat/>
    <w:rsid w:val="00C23838"/>
    <w:rPr>
      <w:i/>
      <w:iCs/>
      <w:color w:themeColor="text1" w:val="000000"/>
    </w:rPr>
  </w:style>
  <w:style w:customStyle="1" w:styleId="QuoteChar" w:type="character">
    <w:name w:val="Quote Char"/>
    <w:basedOn w:val="DefaultParagraphFont"/>
    <w:link w:val="Quote"/>
    <w:uiPriority w:val="29"/>
    <w:rsid w:val="00C23838"/>
    <w:rPr>
      <w:i/>
      <w:iCs/>
      <w:color w:themeColor="text1" w:val="000000"/>
    </w:rPr>
  </w:style>
  <w:style w:styleId="IntenseQuote" w:type="paragraph">
    <w:name w:val="Intense Quote"/>
    <w:basedOn w:val="Normal"/>
    <w:next w:val="Normal"/>
    <w:link w:val="IntenseQuoteChar"/>
    <w:uiPriority w:val="30"/>
    <w:qFormat/>
    <w:rsid w:val="00C23838"/>
    <w:pPr>
      <w:pBdr>
        <w:bottom w:color="156082" w:space="4" w:sz="4" w:themeColor="accent1" w:val="single"/>
      </w:pBdr>
      <w:spacing w:after="280" w:before="200"/>
      <w:ind w:left="936" w:right="936"/>
    </w:pPr>
    <w:rPr>
      <w:b/>
      <w:bCs/>
      <w:i/>
      <w:iCs/>
      <w:color w:themeColor="accent1" w:val="156082"/>
    </w:rPr>
  </w:style>
  <w:style w:customStyle="1" w:styleId="IntenseQuoteChar" w:type="character">
    <w:name w:val="Intense Quote Char"/>
    <w:basedOn w:val="DefaultParagraphFont"/>
    <w:link w:val="IntenseQuote"/>
    <w:uiPriority w:val="30"/>
    <w:rsid w:val="00C23838"/>
    <w:rPr>
      <w:b/>
      <w:bCs/>
      <w:i/>
      <w:iCs/>
      <w:color w:themeColor="accent1" w:val="156082"/>
    </w:rPr>
  </w:style>
  <w:style w:styleId="SubtleEmphasis" w:type="character">
    <w:name w:val="Subtle Emphasis"/>
    <w:basedOn w:val="DefaultParagraphFont"/>
    <w:uiPriority w:val="19"/>
    <w:qFormat/>
    <w:rsid w:val="00C23838"/>
    <w:rPr>
      <w:i/>
      <w:iCs/>
      <w:color w:themeColor="text1" w:themeTint="7F" w:val="808080"/>
    </w:rPr>
  </w:style>
  <w:style w:styleId="IntenseEmphasis" w:type="character">
    <w:name w:val="Intense Emphasis"/>
    <w:basedOn w:val="DefaultParagraphFont"/>
    <w:uiPriority w:val="21"/>
    <w:qFormat/>
    <w:rsid w:val="00C23838"/>
    <w:rPr>
      <w:b/>
      <w:bCs/>
      <w:i/>
      <w:iCs/>
      <w:color w:themeColor="accent1" w:val="156082"/>
    </w:rPr>
  </w:style>
  <w:style w:styleId="SubtleReference" w:type="character">
    <w:name w:val="Subtle Reference"/>
    <w:basedOn w:val="DefaultParagraphFont"/>
    <w:uiPriority w:val="31"/>
    <w:qFormat/>
    <w:rsid w:val="00C23838"/>
    <w:rPr>
      <w:smallCaps/>
      <w:color w:themeColor="accent2" w:val="E97132"/>
      <w:u w:val="single"/>
    </w:rPr>
  </w:style>
  <w:style w:styleId="IntenseReference" w:type="character">
    <w:name w:val="Intense Reference"/>
    <w:basedOn w:val="DefaultParagraphFont"/>
    <w:uiPriority w:val="32"/>
    <w:qFormat/>
    <w:rsid w:val="00C23838"/>
    <w:rPr>
      <w:b/>
      <w:bCs/>
      <w:smallCaps/>
      <w:color w:themeColor="accent2" w:val="E97132"/>
      <w:spacing w:val="5"/>
      <w:u w:val="single"/>
    </w:rPr>
  </w:style>
  <w:style w:styleId="BookTitle" w:type="character">
    <w:name w:val="Book Title"/>
    <w:basedOn w:val="DefaultParagraphFont"/>
    <w:uiPriority w:val="33"/>
    <w:qFormat/>
    <w:rsid w:val="00C23838"/>
    <w:rPr>
      <w:b/>
      <w:bCs/>
      <w:smallCaps/>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hyperlink" Id="rId72" Target="http://CRAN.R-project.org/package=lme4" TargetMode="External" /><Relationship Type="http://schemas.openxmlformats.org/officeDocument/2006/relationships/hyperlink" Id="rId112" Target="http://dx.doi.org/10.3758/BF03207536" TargetMode="External" /><Relationship Type="http://schemas.openxmlformats.org/officeDocument/2006/relationships/hyperlink" Id="rId122" Target="http://www.jstor.org/stable/522229" TargetMode="External" /><Relationship Type="http://schemas.openxmlformats.org/officeDocument/2006/relationships/hyperlink" Id="rId141" Target="https://doi.org/10.1016/j.wocn.2011.10.002" TargetMode="External" /><Relationship Type="http://schemas.openxmlformats.org/officeDocument/2006/relationships/hyperlink" Id="rId96" Target="https://doi.org/10.1016/s0010-0277(00)00123-2" TargetMode="External" /><Relationship Type="http://schemas.openxmlformats.org/officeDocument/2006/relationships/hyperlink" Id="rId78" Target="https://doi.org/10.1017/S0954394521000089" TargetMode="External" /><Relationship Type="http://schemas.openxmlformats.org/officeDocument/2006/relationships/hyperlink" Id="rId91" Target="https://doi.org/10.1037/xlm0000137" TargetMode="External" /><Relationship Type="http://schemas.openxmlformats.org/officeDocument/2006/relationships/hyperlink" Id="rId164" Target="https://doi.org/10.1093/oxfordhb/9780199600472.001.0001" TargetMode="External" /><Relationship Type="http://schemas.openxmlformats.org/officeDocument/2006/relationships/hyperlink" Id="rId76" Target="https://doi.org/10.1121/1.5101933" TargetMode="External" /><Relationship Type="http://schemas.openxmlformats.org/officeDocument/2006/relationships/hyperlink" Id="rId133" Target="https://doi.org/10.1177/0075424214531487" TargetMode="External" /><Relationship Type="http://schemas.openxmlformats.org/officeDocument/2006/relationships/hyperlink" Id="rId129" Target="https://doi.org/10.1371/journal.pone.0130834" TargetMode="External" /><Relationship Type="http://schemas.openxmlformats.org/officeDocument/2006/relationships/hyperlink" Id="rId131" Target="https://doi.org/10.3109/13682826809011440" TargetMode="External" /><Relationship Type="http://schemas.openxmlformats.org/officeDocument/2006/relationships/hyperlink" Id="rId110" Target="https://doi.org/10.3389/fpsyg.2015.00500" TargetMode="External" /><Relationship Type="http://schemas.openxmlformats.org/officeDocument/2006/relationships/hyperlink" Id="rId170" Target="https://doi.org/10.3758/BF03197491" TargetMode="External" /><Relationship Type="http://schemas.openxmlformats.org/officeDocument/2006/relationships/hyperlink" Id="rId138" Target="https://doi.org/10.3758/s13428-014-0532-5" TargetMode="External" /><Relationship Type="http://schemas.openxmlformats.org/officeDocument/2006/relationships/hyperlink" Id="rId136"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2" Target="http://CRAN.R-project.org/package=lme4" TargetMode="External" /><Relationship Type="http://schemas.openxmlformats.org/officeDocument/2006/relationships/hyperlink" Id="rId112" Target="http://dx.doi.org/10.3758/BF03207536" TargetMode="External" /><Relationship Type="http://schemas.openxmlformats.org/officeDocument/2006/relationships/hyperlink" Id="rId122" Target="http://www.jstor.org/stable/522229" TargetMode="External" /><Relationship Type="http://schemas.openxmlformats.org/officeDocument/2006/relationships/hyperlink" Id="rId141" Target="https://doi.org/10.1016/j.wocn.2011.10.002" TargetMode="External" /><Relationship Type="http://schemas.openxmlformats.org/officeDocument/2006/relationships/hyperlink" Id="rId96" Target="https://doi.org/10.1016/s0010-0277(00)00123-2" TargetMode="External" /><Relationship Type="http://schemas.openxmlformats.org/officeDocument/2006/relationships/hyperlink" Id="rId78" Target="https://doi.org/10.1017/S0954394521000089" TargetMode="External" /><Relationship Type="http://schemas.openxmlformats.org/officeDocument/2006/relationships/hyperlink" Id="rId91" Target="https://doi.org/10.1037/xlm0000137" TargetMode="External" /><Relationship Type="http://schemas.openxmlformats.org/officeDocument/2006/relationships/hyperlink" Id="rId164" Target="https://doi.org/10.1093/oxfordhb/9780199600472.001.0001" TargetMode="External" /><Relationship Type="http://schemas.openxmlformats.org/officeDocument/2006/relationships/hyperlink" Id="rId76" Target="https://doi.org/10.1121/1.5101933" TargetMode="External" /><Relationship Type="http://schemas.openxmlformats.org/officeDocument/2006/relationships/hyperlink" Id="rId133" Target="https://doi.org/10.1177/0075424214531487" TargetMode="External" /><Relationship Type="http://schemas.openxmlformats.org/officeDocument/2006/relationships/hyperlink" Id="rId129" Target="https://doi.org/10.1371/journal.pone.0130834" TargetMode="External" /><Relationship Type="http://schemas.openxmlformats.org/officeDocument/2006/relationships/hyperlink" Id="rId131" Target="https://doi.org/10.3109/13682826809011440" TargetMode="External" /><Relationship Type="http://schemas.openxmlformats.org/officeDocument/2006/relationships/hyperlink" Id="rId110" Target="https://doi.org/10.3389/fpsyg.2015.00500" TargetMode="External" /><Relationship Type="http://schemas.openxmlformats.org/officeDocument/2006/relationships/hyperlink" Id="rId170" Target="https://doi.org/10.3758/BF03197491" TargetMode="External" /><Relationship Type="http://schemas.openxmlformats.org/officeDocument/2006/relationships/hyperlink" Id="rId138" Target="https://doi.org/10.3758/s13428-014-0532-5" TargetMode="External" /><Relationship Type="http://schemas.openxmlformats.org/officeDocument/2006/relationships/hyperlink" Id="rId136"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and listener awareness</dc:title>
  <dc:creator>Kyler Laycock;  Kevin B McGowan</dc:creator>
  <cp:keywords>awareness, control, gender, inverted matched guise, sociophonetic perception</cp:keywords>
  <dcterms:created xsi:type="dcterms:W3CDTF">2024-10-29T12:29:26Z</dcterms:created>
  <dcterms:modified xsi:type="dcterms:W3CDTF">2024-10-29T12:29:26Z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2024-10-29</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