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judgement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2"/>
    <w:bookmarkStart w:id="43"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Strand, and D’Imperio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Strand, and D’Imperio 1999,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CV rime continuum steps and gender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7"/>
    <w:bookmarkStart w:id="198" w:name="sec-references"/>
    <w:p>
      <w:pPr>
        <w:pStyle w:val="Heading1"/>
      </w:pPr>
      <w:r>
        <w:t xml:space="preserve">References</w:t>
      </w:r>
    </w:p>
    <w:bookmarkStart w:id="197"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2017"/>
    <w:p>
      <w:pPr>
        <w:pStyle w:val="Bibliography"/>
      </w:pPr>
      <w:r>
        <w:t xml:space="preserve">———.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4"/>
    <w:bookmarkStart w:id="76"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r>
        <w:t xml:space="preserve">.</w:t>
      </w:r>
    </w:p>
    <w:bookmarkEnd w:id="76"/>
    <w:bookmarkStart w:id="77" w:name="ref-Beddor2009"/>
    <w:p>
      <w:pPr>
        <w:pStyle w:val="Bibliography"/>
      </w:pPr>
      <w:r>
        <w:t xml:space="preserve">Beddor, Patrice Speeter. 2009.</w:t>
      </w:r>
      <w:r>
        <w:t xml:space="preserve"> </w:t>
      </w:r>
      <w:r>
        <w:t xml:space="preserve">“A Coarticulatory Path to Sound Change.”</w:t>
      </w:r>
      <w:r>
        <w:t xml:space="preserve"> </w:t>
      </w:r>
      <w:r>
        <w:rPr>
          <w:i/>
          <w:iCs/>
        </w:rPr>
        <w:t xml:space="preserve">Language</w:t>
      </w:r>
      <w:r>
        <w:t xml:space="preserve"> </w:t>
      </w:r>
      <w:r>
        <w:t xml:space="preserve">85 (4): 785–821.</w:t>
      </w:r>
    </w:p>
    <w:bookmarkEnd w:id="77"/>
    <w:bookmarkStart w:id="78"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8"/>
    <w:bookmarkStart w:id="79"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9"/>
    <w:bookmarkStart w:id="81"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80">
        <w:r>
          <w:rPr>
            <w:rStyle w:val="Hyperlink"/>
          </w:rPr>
          <w:t xml:space="preserve">https://doi.org/10.1121/1.5101933</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100"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9">
        <w:r>
          <w:rPr>
            <w:rStyle w:val="Hyperlink"/>
          </w:rPr>
          <w:t xml:space="preserve">https://doi.org/10.1002/wcs.1543</w:t>
        </w:r>
      </w:hyperlink>
      <w:r>
        <w:t xml:space="preserve">.</w:t>
      </w:r>
    </w:p>
    <w:bookmarkEnd w:id="100"/>
    <w:bookmarkStart w:id="101"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101"/>
    <w:bookmarkStart w:id="10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2"/>
    <w:bookmarkStart w:id="10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3">
        <w:r>
          <w:rPr>
            <w:rStyle w:val="Hyperlink"/>
          </w:rPr>
          <w:t xml:space="preserve">https://doi.org/10.1016/s0010-0277(00)00123-2</w:t>
        </w:r>
      </w:hyperlink>
      <w:r>
        <w:t xml:space="preserve">.</w:t>
      </w:r>
    </w:p>
    <w:bookmarkEnd w:id="104"/>
    <w:bookmarkStart w:id="105"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5"/>
    <w:bookmarkStart w:id="106"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6"/>
    <w:bookmarkStart w:id="107"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7"/>
    <w:bookmarkStart w:id="108"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8"/>
    <w:bookmarkStart w:id="109"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9"/>
    <w:bookmarkStart w:id="11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2"/>
    <w:bookmarkStart w:id="11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3"/>
    <w:bookmarkStart w:id="11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4"/>
    <w:bookmarkStart w:id="115"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5"/>
    <w:bookmarkStart w:id="116"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6"/>
    <w:bookmarkStart w:id="11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7"/>
    <w:bookmarkStart w:id="11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8"/>
    <w:bookmarkStart w:id="11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9"/>
    <w:bookmarkStart w:id="12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20"/>
    <w:bookmarkStart w:id="12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1">
        <w:r>
          <w:rPr>
            <w:rStyle w:val="Hyperlink"/>
          </w:rPr>
          <w:t xml:space="preserve">https://doi.org/10.3389/fpsyg.2015.00500</w:t>
        </w:r>
      </w:hyperlink>
      <w:r>
        <w:t xml:space="preserve">.</w:t>
      </w:r>
    </w:p>
    <w:bookmarkEnd w:id="122"/>
    <w:bookmarkStart w:id="124"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3">
        <w:r>
          <w:rPr>
            <w:rStyle w:val="Hyperlink"/>
          </w:rPr>
          <w:t xml:space="preserve">http://dx.doi.org/10.3758/BF03207536</w:t>
        </w:r>
      </w:hyperlink>
      <w:r>
        <w:t xml:space="preserve">.</w:t>
      </w:r>
    </w:p>
    <w:bookmarkEnd w:id="124"/>
    <w:bookmarkStart w:id="125"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5"/>
    <w:bookmarkStart w:id="126"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6"/>
    <w:bookmarkStart w:id="127"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7"/>
    <w:bookmarkStart w:id="128"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8"/>
    <w:bookmarkStart w:id="12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9"/>
    <w:bookmarkStart w:id="130"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30"/>
    <w:bookmarkStart w:id="131"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1"/>
    <w:bookmarkStart w:id="132"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2"/>
    <w:bookmarkStart w:id="133"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3"/>
    <w:bookmarkStart w:id="135"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4">
        <w:r>
          <w:rPr>
            <w:rStyle w:val="Hyperlink"/>
          </w:rPr>
          <w:t xml:space="preserve">http://www.jstor.org/stable/522229</w:t>
        </w:r>
      </w:hyperlink>
      <w:r>
        <w:t xml:space="preserve">.</w:t>
      </w:r>
    </w:p>
    <w:bookmarkEnd w:id="135"/>
    <w:bookmarkStart w:id="136"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6"/>
    <w:bookmarkStart w:id="137"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7"/>
    <w:bookmarkStart w:id="138"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8"/>
    <w:bookmarkStart w:id="139"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9"/>
    <w:bookmarkStart w:id="140"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40"/>
    <w:bookmarkStart w:id="142"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1">
        <w:r>
          <w:rPr>
            <w:rStyle w:val="Hyperlink"/>
          </w:rPr>
          <w:t xml:space="preserve">https://doi.org/10.1371/journal.pone.0130834</w:t>
        </w:r>
      </w:hyperlink>
      <w:r>
        <w:t xml:space="preserve">.</w:t>
      </w:r>
    </w:p>
    <w:bookmarkEnd w:id="142"/>
    <w:bookmarkStart w:id="144"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3">
        <w:r>
          <w:rPr>
            <w:rStyle w:val="Hyperlink"/>
          </w:rPr>
          <w:t xml:space="preserve">https://doi.org/10.3109/13682826809011440</w:t>
        </w:r>
      </w:hyperlink>
      <w:r>
        <w:t xml:space="preserve">.</w:t>
      </w:r>
    </w:p>
    <w:bookmarkEnd w:id="144"/>
    <w:bookmarkStart w:id="146"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5">
        <w:r>
          <w:rPr>
            <w:rStyle w:val="Hyperlink"/>
          </w:rPr>
          <w:t xml:space="preserve">https://doi.org/10.1177/0075424214531487</w:t>
        </w:r>
      </w:hyperlink>
      <w:r>
        <w:t xml:space="preserve">.</w:t>
      </w:r>
    </w:p>
    <w:bookmarkEnd w:id="146"/>
    <w:bookmarkStart w:id="147"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2024-12-12T19:19:34Z</dcterms:created>
  <dcterms:modified xsi:type="dcterms:W3CDTF">2024-12-12T19:19:34Z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