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2024-11-14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(Calder 2018; Mack and Munson 2012a; Pharao et al. 2014; Strand 1999)</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listening subject as it is for the speaker. Social meaning making occurs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Researchers, typically working within the fields of segmental speech perception or word recognition, have used perception to describe a kind of low-level, implicit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Start w:id="21" w:name="sec-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initial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 McGowan and Babel attempt to demonstrate, through analysis of participants’ explicit commentary on the AXB task,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on the voice in each guise, particularly in the second guise, leave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inverted MGT to test listeners’ segmental perceptions of an [ʃ]-[s] fricative continuum under both different guise and different awareness conditions.</w:t>
      </w:r>
    </w:p>
    <w:bookmarkEnd w:id="21"/>
    <w:bookmarkStart w:id="22" w:name="sec-fricative-gender"/>
    <w:p>
      <w:pPr>
        <w:pStyle w:val="Heading3"/>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(May 1976;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ec-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 Sawusch 2005)</w:t>
      </w:r>
      <w:r>
        <w:t xml:space="preserve"> </w:t>
      </w:r>
      <w:r>
        <w:t xml:space="preserve">that listeners can simply normalize away</w:t>
      </w:r>
      <w:r>
        <w:t xml:space="preserve"> </w:t>
      </w:r>
      <w:r>
        <w:t xml:space="preserve">(Johnson 2005)</w:t>
      </w:r>
      <w:r>
        <w:t xml:space="preserve"> </w:t>
      </w:r>
      <w:r>
        <w:t xml:space="preserve">to facilitate linguistic perception. Even within sociolinguistics and sociophonetics,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our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the fine phonetic detail available for the production and perception of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w:t>
      </w:r>
      <w:r>
        <w:t xml:space="preserve">. Unfortunately, it can be essentially impossible for an experimenter to tell the difference between a genuine finding that a particular social variable does not influence perception, on the one hand, or an indexical mismatch between experimental stimuli and participants’ indexical inventories</w:t>
      </w:r>
      <w:r>
        <w:t xml:space="preserve"> </w:t>
      </w:r>
      <w:r>
        <w:t xml:space="preserve">(Barrett and Hall 2024)</w:t>
      </w:r>
      <w:r>
        <w:t xml:space="preserve"> </w:t>
      </w:r>
      <w:r>
        <w:t xml:space="preserve">on the other. The creation and use of stimuli that are rated as highly gender-prototypical for a large group of listeners therefore maximizes the probability that a perception experiment will find an interpretable result.</w:t>
      </w:r>
    </w:p>
    <w:p>
      <w:pPr>
        <w:pStyle w:val="BodyText"/>
      </w:pPr>
      <w:r>
        <w:t xml:space="preserve">Therefore, it can not be overemphasized that an essentially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gestural style.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constellations of meanings are socially-constructed in interaction</w:t>
      </w:r>
      <w:r>
        <w:t xml:space="preserve"> </w:t>
      </w:r>
      <w:r>
        <w:t xml:space="preserve">(Eckert 2008)</w:t>
      </w:r>
      <w:r>
        <w:t xml:space="preserve">.</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 don’t perform adult-like vowel formant patterns because they were born tiny men and women, children perform adult-like vowel formant patterns because they are socialized into gender and are using the cultural and linguistic resources available to communicate that gender to others just as adults do. Humans are meaning-making agents, not deterministically resonating meat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had provided language history and demographic data as part of Prolific’s general pre-screening questionnaire. Participation was restricted to a standard sample of desktop computer users located in the USA, who spent most of their childhoods in the US, spoke English as their first and primary language, and having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p>
    <w:p>
      <w:pPr>
        <w:pStyle w:val="BodyText"/>
      </w:pPr>
      <w:r>
        <w:t xml:space="preserve">Participants were paid $3 for their time, prorated from a projected rate of $20/hour (actual rate: $26.29/hour). This same instrument was piloted in the Speech Perception lab of The Ohio State University, and, while reaction times online were generally slower than in-person, results from the online administration were generally consistent with pilot results collected under laboratory conditions. Four participants were excluded for low accuracy rates (below 85%).</w:t>
      </w:r>
    </w:p>
    <w:bookmarkEnd w:id="25"/>
    <w:bookmarkStart w:id="31" w:name="sec-stimuli"/>
    <w:p>
      <w:pPr>
        <w:pStyle w:val="Heading2"/>
      </w:pPr>
      <w:r>
        <w:t xml:space="preserve">Stimulus Materials</w:t>
      </w:r>
    </w:p>
    <w:bookmarkStart w:id="30"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which were generously shared with us, contain two parts, both of which are drawn from synthetic continua: a fricative onset and a VC rime. The fricative onsets comprise a synthetic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in</w:t>
      </w:r>
      <w:r>
        <w:t xml:space="preserve"> </w:t>
      </w:r>
      <w:r>
        <w:t xml:space="preserve">Strand and Johnson (1996)</w:t>
      </w:r>
      <w:r>
        <w:t xml:space="preserve">). Centers of Gravity ranged from a low of 3.2 kHz (/ʃ/-like) to a high of 7 kHz (/s/-like). This continuum is essential to the design as it will allow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their unmodified values in a feminizing direction. Conversely, the female talker’s /æk/ continuum decreased both parameters from her unmodified productions to create a continuum in a masculinizing direction. These continua essentially allow us to combine the designs of Strand &amp; Johnson’s experiment 1 and experiment 2 in a single task. Listeners will be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the auditory stimulus item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PhD program, some of the elements of such an identity are likely available to conscious reflection, but many of these indexical features (such as VOT duration, F2:F3 formant ratio, etc.)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w:t>
            </w:r>
          </w:p>
          <w:bookmarkEnd w:id="29"/>
        </w:tc>
      </w:tr>
    </w:tbl>
    <w:bookmarkEnd w:id="30"/>
    <w:bookmarkEnd w:id="31"/>
    <w:bookmarkStart w:id="37" w:name="sec-stim-evals"/>
    <w:p>
      <w:pPr>
        <w:pStyle w:val="Heading2"/>
      </w:pPr>
      <w:r>
        <w:t xml:space="preserve">Explicit Evaluations of Auditory Stimuli</w:t>
      </w:r>
    </w:p>
    <w:p>
      <w:pPr>
        <w:pStyle w:val="FirstParagraph"/>
      </w:pPr>
      <w:r>
        <w:t xml:space="preserve">Because voices carry social information, we elicited explicit social ratings to better understand how the auditory stimuli might influence participants’ perception of the identities of the two talkers. It is important to remember that these explicit evaluations are, themselves, evaluative judgments and will not be taken as veridical evidence of how listeners will experience the voices during segmental perception (see</w:t>
      </w:r>
      <w:r>
        <w:t xml:space="preserve"> </w:t>
      </w:r>
      <w:hyperlink w:anchor="sec-mgt">
        <w:r>
          <w:rPr>
            <w:rStyle w:val="Hyperlink"/>
          </w:rPr>
          <w:t xml:space="preserve">Section 1.0.1</w:t>
        </w:r>
      </w:hyperlink>
      <w:r>
        <w:t xml:space="preserve">). 40 undergraduate students at the Ohio State University (25 female, 15 male, ages 18-26) who participated in an in-person pilot version of the inverted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 about the gender identity of the speaker. Most participants (93%)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 (1 further specified</w:t>
      </w:r>
      <w:r>
        <w:t xml:space="preserve"> </w:t>
      </w:r>
      <w:r>
        <w:t xml:space="preserve">‘trans-male’</w:t>
      </w:r>
      <w:r>
        <w:t xml:space="preserve">), and 21% were unsure of the gender of the speaker.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judgments of the voice’s sexuality were more variable. 65% indicated they were unsure, 14% indicated the speaker was most likely heterosexual, and 16% indicated homosexual, and, again, 1 each indicating the speaker was most likely bisexual, or another sexuality not listed. Crucially,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 at the command line using ImageMagick</w:t>
      </w:r>
      <w:r>
        <w:t xml:space="preserve"> </w:t>
      </w:r>
      <w:r>
        <w:t xml:space="preserve">(LLC 2023)</w:t>
      </w:r>
      <w:r>
        <w:t xml:space="preserve">.</w:t>
      </w:r>
    </w:p>
    <w:p>
      <w:pPr>
        <w:pStyle w:val="BodyText"/>
      </w:pPr>
      <w:r>
        <w:t xml:space="preserve">Additionally, two gray-scale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both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ec-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ec-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w:t>
      </w:r>
      <w:r>
        <w:t xml:space="preserve"> </w:t>
      </w:r>
      <w:r>
        <w:t xml:space="preserve">(see also 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results with subcategorical, coarticulatory mismatches for fricative identification 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ec-pred-guise"/>
    <w:p>
      <w:pPr>
        <w:pStyle w:val="Heading2"/>
      </w:pPr>
      <w:r>
        <w:t xml:space="preserve">Guise: Hidden or Unhidden</w:t>
      </w:r>
    </w:p>
    <w:p>
      <w:pPr>
        <w:pStyle w:val="FirstParagraph"/>
      </w:pPr>
      <w:r>
        <w:t xml:space="preserve">The primary goal of this experiment was to explore the role of listener awareness and control in the matched guise technique. The care researchers take to ensure that the guise manipulation is hidden from participants suggests a kind of imagined fragility of</w:t>
      </w:r>
      <w:r>
        <w:t xml:space="preserve"> </w:t>
      </w:r>
      <w:r>
        <w:t xml:space="preserve">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is not available to introspection or deliberative control, we should see no change between the (traditional) hidden matched guise and the unhidden guise.</w:t>
      </w:r>
    </w:p>
    <w:p>
      <w:pPr>
        <w:pStyle w:val="BodyText"/>
      </w:pPr>
      <w:r>
        <w:t xml:space="preserve">Additionally, we speculate that there may be a response time difference between the Hidden and Unhidden guises even if there is no apparent difference in percept between the conditions. It can certainly be the case that participants will arrive at the same behavioral responses via different cognitive processing paths, perhaps drawing on different levels of knowledge and awareness, and that these differences may be 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3"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8"/>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that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ec-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This study was initially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We attempted to demonstrate in the introduction that the careful steps researchers typcially take to obscure the nature of the guise manipulation from participants reflects a long-held assumption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the congruous or incongruous conditions. Nor did this revelation have a significant influence on response times in either condition.</w:t>
      </w:r>
    </w:p>
    <w:p>
      <w:pPr>
        <w:pStyle w:val="BodyText"/>
      </w:pPr>
      <w:r>
        <w:t xml:space="preserve">The finding that the Matched Guise effect holds for speech perception both when hidden from the participant and when unhidden is inconsistent with a model of processing in which social knowledge simply acts as a filter on linguistic knowledge. Social knowledge can influence perception even when listeners are aware that it is likely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which lends support to</w:t>
      </w:r>
      <w:r>
        <w:t xml:space="preserve"> </w:t>
      </w:r>
      <w:r>
        <w:t xml:space="preserve">Drager and Kirtley (2016b)</w:t>
      </w:r>
      <w:r>
        <w:t xml:space="preserve">’s (p.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two experiments simultaneously. One wonders, looking back at their experiment 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’non-protypical’</w:t>
      </w:r>
      <w:r>
        <w:t xml:space="preserve"> </w:t>
      </w:r>
      <w:r>
        <w:t xml:space="preserve">voice to supplement</w:t>
      </w:r>
      <w:r>
        <w:t xml:space="preserve"> </w:t>
      </w:r>
      <w:r>
        <w:t xml:space="preserve">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spacing. However, these may not be the only cues</w:t>
      </w:r>
      <w:r>
        <w:t xml:space="preserve"> </w:t>
      </w:r>
      <w:r>
        <w:t xml:space="preserve">listeners are drawing upon with their knowledge of US English. Surely,</w:t>
      </w:r>
      <w:r>
        <w:t xml:space="preserve"> </w:t>
      </w:r>
      <w:r>
        <w:t xml:space="preserve">F0 and vowel formant spacing</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for those stops,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the present study, we have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these commonly-manipulated phonetic correlates.</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 1 and experiment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 the</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w:t>
      </w:r>
    </w:p>
    <w:p>
      <w:pPr>
        <w:pStyle w:val="BodyText"/>
      </w:pPr>
      <w:r>
        <w:t xml:space="preserve">(Barrett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w:t>
      </w:r>
      <w:r>
        <w:t xml:space="preserve">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the influence of listeners’ social knowledge</w:t>
      </w:r>
      <w:r>
        <w:t xml:space="preserve"> </w:t>
      </w:r>
      <w:r>
        <w:t xml:space="preserve">of speech on perception is not delicate. The present result is equally inconsistent</w:t>
      </w:r>
      <w:r>
        <w:t xml:space="preserve"> </w:t>
      </w:r>
      <w:r>
        <w:t xml:space="preserve">with a model that disregards social knowledge entirely and with a</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and linguistic knowledge are deeply intertwined in speech</w:t>
      </w:r>
      <w:r>
        <w:t xml:space="preserve"> </w:t>
      </w:r>
      <w:r>
        <w:t xml:space="preserve">perception.</w:t>
      </w:r>
    </w:p>
    <w:bookmarkEnd w:id="66"/>
    <w:bookmarkStart w:id="198" w:name="sec-references"/>
    <w:p>
      <w:pPr>
        <w:pStyle w:val="Heading1"/>
      </w:pPr>
      <w:r>
        <w:t xml:space="preserve">References</w:t>
      </w:r>
    </w:p>
    <w:bookmarkStart w:id="197"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9"/>
    <w:bookmarkStart w:id="70"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0"/>
    <w:bookmarkStart w:id="71"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1"/>
    <w:bookmarkStart w:id="72"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2"/>
    <w:bookmarkStart w:id="74"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3">
        <w:r>
          <w:rPr>
            <w:rStyle w:val="Hyperlink"/>
          </w:rPr>
          <w:t xml:space="preserve">http://CRAN.R-project.org/package=lme4</w:t>
        </w:r>
      </w:hyperlink>
      <w:r>
        <w:t xml:space="preserve">.</w:t>
      </w:r>
    </w:p>
    <w:bookmarkEnd w:id="74"/>
    <w:bookmarkStart w:id="75"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5"/>
    <w:bookmarkStart w:id="76"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6"/>
    <w:bookmarkStart w:id="78"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7">
        <w:r>
          <w:rPr>
            <w:rStyle w:val="Hyperlink"/>
          </w:rPr>
          <w:t xml:space="preserve">https://doi.org/10.1121/1.5101933</w:t>
        </w:r>
      </w:hyperlink>
      <w:r>
        <w:t xml:space="preserve">.</w:t>
      </w:r>
    </w:p>
    <w:bookmarkEnd w:id="78"/>
    <w:bookmarkStart w:id="80"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9">
        <w:r>
          <w:rPr>
            <w:rStyle w:val="Hyperlink"/>
          </w:rPr>
          <w:t xml:space="preserve">https://doi.org/10.1017/S0954394521000089</w:t>
        </w:r>
      </w:hyperlink>
      <w:r>
        <w:t xml:space="preserve">.</w:t>
      </w:r>
    </w:p>
    <w:bookmarkEnd w:id="80"/>
    <w:bookmarkStart w:id="81"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1"/>
    <w:bookmarkStart w:id="82"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2"/>
    <w:bookmarkStart w:id="83"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3"/>
    <w:bookmarkStart w:id="84"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4"/>
    <w:bookmarkStart w:id="85"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5"/>
    <w:bookmarkStart w:id="86"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6"/>
    <w:bookmarkStart w:id="87"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7"/>
    <w:bookmarkStart w:id="88"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8"/>
    <w:bookmarkStart w:id="89"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9"/>
    <w:bookmarkStart w:id="91"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0">
        <w:r>
          <w:rPr>
            <w:rStyle w:val="Hyperlink"/>
          </w:rPr>
          <w:t xml:space="preserve">https://doi.org/10.4324/9781315514857-5</w:t>
        </w:r>
      </w:hyperlink>
      <w:r>
        <w:t xml:space="preserve">.</w:t>
      </w:r>
    </w:p>
    <w:bookmarkEnd w:id="91"/>
    <w:bookmarkStart w:id="92"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2"/>
    <w:bookmarkStart w:id="93"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3"/>
    <w:bookmarkStart w:id="95"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4">
        <w:r>
          <w:rPr>
            <w:rStyle w:val="Hyperlink"/>
          </w:rPr>
          <w:t xml:space="preserve">https://doi.org/10.1037/xlm0000137</w:t>
        </w:r>
      </w:hyperlink>
      <w:r>
        <w:t xml:space="preserve">.</w:t>
      </w:r>
    </w:p>
    <w:bookmarkEnd w:id="95"/>
    <w:bookmarkStart w:id="96"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6"/>
    <w:bookmarkStart w:id="97"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7"/>
    <w:bookmarkStart w:id="98"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98"/>
    <w:bookmarkStart w:id="9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9"/>
    <w:bookmarkStart w:id="10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0">
        <w:r>
          <w:rPr>
            <w:rStyle w:val="Hyperlink"/>
          </w:rPr>
          <w:t xml:space="preserve">https://doi.org/10.1016/s0010-0277(00)00123-2</w:t>
        </w:r>
      </w:hyperlink>
      <w:r>
        <w:t xml:space="preserve">.</w:t>
      </w:r>
    </w:p>
    <w:bookmarkEnd w:id="101"/>
    <w:bookmarkStart w:id="102"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2"/>
    <w:bookmarkStart w:id="103"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3"/>
    <w:bookmarkStart w:id="104"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4"/>
    <w:bookmarkStart w:id="105"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5"/>
    <w:bookmarkStart w:id="106"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106"/>
    <w:bookmarkStart w:id="107"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7"/>
    <w:bookmarkStart w:id="108"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8"/>
    <w:bookmarkStart w:id="109"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9"/>
    <w:bookmarkStart w:id="110"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0"/>
    <w:bookmarkStart w:id="111"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1"/>
    <w:bookmarkStart w:id="112"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2"/>
    <w:bookmarkStart w:id="113"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3"/>
    <w:bookmarkStart w:id="114"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4"/>
    <w:bookmarkStart w:id="11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5"/>
    <w:bookmarkStart w:id="11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6"/>
    <w:bookmarkStart w:id="11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7"/>
    <w:bookmarkStart w:id="11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18"/>
    <w:bookmarkStart w:id="12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19">
        <w:r>
          <w:rPr>
            <w:rStyle w:val="Hyperlink"/>
          </w:rPr>
          <w:t xml:space="preserve">https://doi.org/10.3389/fpsyg.2015.00500</w:t>
        </w:r>
      </w:hyperlink>
      <w:r>
        <w:t xml:space="preserve">.</w:t>
      </w:r>
    </w:p>
    <w:bookmarkEnd w:id="120"/>
    <w:bookmarkStart w:id="12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1">
        <w:r>
          <w:rPr>
            <w:rStyle w:val="Hyperlink"/>
          </w:rPr>
          <w:t xml:space="preserve">http://dx.doi.org/10.3758/BF03207536</w:t>
        </w:r>
      </w:hyperlink>
      <w:r>
        <w:t xml:space="preserve">.</w:t>
      </w:r>
    </w:p>
    <w:bookmarkEnd w:id="122"/>
    <w:bookmarkStart w:id="12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3"/>
    <w:bookmarkStart w:id="12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4"/>
    <w:bookmarkStart w:id="12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5"/>
    <w:bookmarkStart w:id="12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6"/>
    <w:bookmarkStart w:id="12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7"/>
    <w:bookmarkStart w:id="128"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28"/>
    <w:bookmarkStart w:id="129"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29"/>
    <w:bookmarkStart w:id="130"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0"/>
    <w:bookmarkStart w:id="131"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1"/>
    <w:bookmarkStart w:id="133"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2">
        <w:r>
          <w:rPr>
            <w:rStyle w:val="Hyperlink"/>
          </w:rPr>
          <w:t xml:space="preserve">http://www.jstor.org/stable/522229</w:t>
        </w:r>
      </w:hyperlink>
      <w:r>
        <w:t xml:space="preserve">.</w:t>
      </w:r>
    </w:p>
    <w:bookmarkEnd w:id="133"/>
    <w:bookmarkStart w:id="134"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4"/>
    <w:bookmarkStart w:id="135"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5"/>
    <w:bookmarkStart w:id="136"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6"/>
    <w:bookmarkStart w:id="137"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7"/>
    <w:bookmarkStart w:id="138"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38"/>
    <w:bookmarkStart w:id="140"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39">
        <w:r>
          <w:rPr>
            <w:rStyle w:val="Hyperlink"/>
          </w:rPr>
          <w:t xml:space="preserve">https://doi.org/10.1371/journal.pone.0130834</w:t>
        </w:r>
      </w:hyperlink>
      <w:r>
        <w:t xml:space="preserve">.</w:t>
      </w:r>
    </w:p>
    <w:bookmarkEnd w:id="140"/>
    <w:bookmarkStart w:id="142"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1">
        <w:r>
          <w:rPr>
            <w:rStyle w:val="Hyperlink"/>
          </w:rPr>
          <w:t xml:space="preserve">https://doi.org/10.3109/13682826809011440</w:t>
        </w:r>
      </w:hyperlink>
      <w:r>
        <w:t xml:space="preserve">.</w:t>
      </w:r>
    </w:p>
    <w:bookmarkEnd w:id="142"/>
    <w:bookmarkStart w:id="144"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3">
        <w:r>
          <w:rPr>
            <w:rStyle w:val="Hyperlink"/>
          </w:rPr>
          <w:t xml:space="preserve">https://doi.org/10.1177/0075424214531487</w:t>
        </w:r>
      </w:hyperlink>
      <w:r>
        <w:t xml:space="preserve">.</w:t>
      </w:r>
    </w:p>
    <w:bookmarkEnd w:id="144"/>
    <w:bookmarkStart w:id="145"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5"/>
    <w:bookmarkStart w:id="147" w:name="ref-imagemagick"/>
    <w:p>
      <w:pPr>
        <w:pStyle w:val="Bibliography"/>
      </w:pPr>
      <w:r>
        <w:t xml:space="preserve">LLC, ImageMagick Studio. 2023.</w:t>
      </w:r>
      <w:r>
        <w:t xml:space="preserve"> </w:t>
      </w:r>
      <w:r>
        <w:t xml:space="preserve">“ImageMagick.”</w:t>
      </w:r>
      <w:r>
        <w:t xml:space="preserve"> </w:t>
      </w:r>
      <w:hyperlink r:id="rId146">
        <w:r>
          <w:rPr>
            <w:rStyle w:val="Hyperlink"/>
          </w:rPr>
          <w:t xml:space="preserve">https://imagemagick.org</w:t>
        </w:r>
      </w:hyperlink>
      <w:r>
        <w:t xml:space="preserve">.</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3" Target="http://CRAN.R-project.org/package=lme4" TargetMode="External" /><Relationship Type="http://schemas.openxmlformats.org/officeDocument/2006/relationships/hyperlink" Id="rId121" Target="http://dx.doi.org/10.3758/BF03207536" TargetMode="External" /><Relationship Type="http://schemas.openxmlformats.org/officeDocument/2006/relationships/hyperlink" Id="rId132" Target="http://www.jstor.org/stable/522229" TargetMode="External" /><Relationship Type="http://schemas.openxmlformats.org/officeDocument/2006/relationships/hyperlink" Id="rId151" Target="https://doi.org/10.1016/j.wocn.2011.10.002" TargetMode="External" /><Relationship Type="http://schemas.openxmlformats.org/officeDocument/2006/relationships/hyperlink" Id="rId100" Target="https://doi.org/10.1016/s0010-0277(00)00123-2" TargetMode="External" /><Relationship Type="http://schemas.openxmlformats.org/officeDocument/2006/relationships/hyperlink" Id="rId79" Target="https://doi.org/10.1017/S0954394521000089" TargetMode="External" /><Relationship Type="http://schemas.openxmlformats.org/officeDocument/2006/relationships/hyperlink" Id="rId94"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77" Target="https://doi.org/10.1121/1.5101933" TargetMode="External" /><Relationship Type="http://schemas.openxmlformats.org/officeDocument/2006/relationships/hyperlink" Id="rId143" Target="https://doi.org/10.1177/0075424214531487" TargetMode="External" /><Relationship Type="http://schemas.openxmlformats.org/officeDocument/2006/relationships/hyperlink" Id="rId139" Target="https://doi.org/10.1371/journal.pone.0130834" TargetMode="External" /><Relationship Type="http://schemas.openxmlformats.org/officeDocument/2006/relationships/hyperlink" Id="rId141" Target="https://doi.org/10.3109/13682826809011440" TargetMode="External" /><Relationship Type="http://schemas.openxmlformats.org/officeDocument/2006/relationships/hyperlink" Id="rId119"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0" Target="https://doi.org/10.4324/9781315514857-5" TargetMode="External" /><Relationship Type="http://schemas.openxmlformats.org/officeDocument/2006/relationships/hyperlink" Id="rId146"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2024-11-14T15:33:51Z</dcterms:created>
  <dcterms:modified xsi:type="dcterms:W3CDTF">2024-11-14T15:33:51Z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2024-11-14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