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8.png" ContentType="image/png"/>
  <Override PartName="/word/media/rId58.png" ContentType="image/png"/>
  <Override PartName="/word/media/rId53.png" ContentType="image/png"/>
  <Override PartName="/word/media/rId31.jpg" ContentType="image/jpe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3"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talkers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(Bakhtin 1981)</w:t>
      </w:r>
      <w:r>
        <w:t xml:space="preserve">. The cognitive reality of this tripartite relationship between the concepts of gender identities and instances of fine phonetic detail is essential for the performance of those identities. This observation holds regardless of talker and listener awareness. This observation remains true even if what the listener believes about the talker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The concept of control, in perception,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 Preston’s</w:t>
      </w:r>
      <w:r>
        <w:t xml:space="preserve"> </w:t>
      </w:r>
      <w:r>
        <w:t xml:space="preserve">(1996, 2016)</w:t>
      </w:r>
      <w:r>
        <w:t xml:space="preserve"> </w:t>
      </w:r>
      <w:r>
        <w:t xml:space="preserve">four modes of awareness but with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talker. Social meaning making occurs in interaction; a listener must be able to control, to link, the auditory cues of a performed gender identity to the cognitive representation of that identity just as much as a talker’s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perception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operate[^1 ]</w:t>
      </w:r>
      <w:r>
        <w:t xml:space="preserve">(Labov et al. 2011)</w:t>
      </w:r>
      <w:r>
        <w:t xml:space="preserve">. Importantly for the present study, this higher, evaluative level of perception is also the level for which the Matched Guise Technique (MGT) was originally developed.</w:t>
      </w:r>
    </w:p>
    <w:p>
      <w:pPr>
        <w:pStyle w:val="BodyText"/>
      </w:pPr>
      <w:r>
        <w:t xml:space="preserve">In their foundational use of the MGT, for example,</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talker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volume;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the reason that</w:t>
      </w:r>
      <w:r>
        <w:t xml:space="preserve"> </w:t>
      </w:r>
      <w:r>
        <w:t xml:space="preserve">(Babel, this volume)</w:t>
      </w:r>
      <w:r>
        <w:t xml:space="preserve"> </w:t>
      </w:r>
      <w:r>
        <w:t xml:space="preserve">describes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Researchers looking to gain insight into these qualia and how they are formed need to try to understand</w:t>
      </w:r>
    </w:p>
    <w:bookmarkStart w:id="20" w:name="Xa3aeaf08dae3473d3a5dc86a0c83cc43af28c05"/>
    <w:p>
      <w:pPr>
        <w:pStyle w:val="Heading3"/>
      </w:pPr>
      <w:r>
        <w:t xml:space="preserve">Matched Guise: Perception, Evaluation, and Awareness</w:t>
      </w:r>
    </w:p>
    <w:p>
      <w:pPr>
        <w:pStyle w:val="FirstParagraph"/>
      </w:pPr>
      <w:r>
        <w:t xml:space="preserve">The Matched Guise technique has been deployed in numerous configurations but, at its core, the technique pairs a single linguistic signal: such as an identical talker</w:t>
      </w:r>
      <w:r>
        <w:t xml:space="preserve"> </w:t>
      </w:r>
      <w:r>
        <w:t xml:space="preserve">(Giles 1970)</w:t>
      </w:r>
      <w:r>
        <w:t xml:space="preserve">, identical recordings</w:t>
      </w:r>
      <w:r>
        <w:t xml:space="preserve"> </w:t>
      </w:r>
      <w:r>
        <w:t xml:space="preserve">(Niedzielski 1999)</w:t>
      </w:r>
      <w:r>
        <w:t xml:space="preserve">, identical texts with multiple talkers</w:t>
      </w:r>
      <w:r>
        <w:t xml:space="preserve"> </w:t>
      </w:r>
      <w:r>
        <w:t xml:space="preserve">(Milroy and McClenaghan 1977)</w:t>
      </w:r>
      <w:r>
        <w:t xml:space="preserve">, or some combination of these.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volume; Chan 2021)</w:t>
      </w:r>
      <w:r>
        <w:t xml:space="preserve">.</w:t>
      </w:r>
    </w:p>
    <w:p>
      <w:pPr>
        <w:pStyle w:val="BodyText"/>
      </w:pPr>
      <w:r>
        <w:t xml:space="preserve">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Rubin 1992)</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task has been adopted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methodological assumption that the connection of voice to social type is available to participants’ introspective awareness and therefore requires that listeners not become aware of the guise manipulation.</w:t>
      </w:r>
    </w:p>
    <w:p>
      <w:pPr>
        <w:pStyle w:val="BodyText"/>
      </w:pPr>
      <w:r>
        <w:t xml:space="preserve">However, the majority</w:t>
      </w:r>
      <w:r>
        <w:t xml:space="preserve"> </w:t>
      </w:r>
      <w:r>
        <w:t xml:space="preserve">of studies cannot speak to this lack of awareness during segmental</w:t>
      </w:r>
      <w:r>
        <w:t xml:space="preserve"> </w:t>
      </w:r>
      <w:r>
        <w:t xml:space="preserve">perception because the data provided by the participants is relatively</w:t>
      </w:r>
      <w:r>
        <w:t xml:space="preserve"> </w:t>
      </w:r>
      <w:r>
        <w:t xml:space="preserve">late in processing and involves layers of potential introspection and</w:t>
      </w:r>
      <w:r>
        <w:t xml:space="preserve"> </w:t>
      </w:r>
      <w:r>
        <w:t xml:space="preserve">evaluation that block access to the initial online percept for listeners</w:t>
      </w:r>
      <w:r>
        <w:t xml:space="preserve"> </w:t>
      </w:r>
      <w:r>
        <w:t xml:space="preserve">and researchers alike.</w:t>
      </w:r>
    </w:p>
    <w:p>
      <w:pPr>
        <w:pStyle w:val="BodyText"/>
      </w:pPr>
      <w:r>
        <w:t xml:space="preserve">&lt;!– XXXXX</w:t>
      </w:r>
      <w:r>
        <w:t xml:space="preserve"> </w:t>
      </w:r>
      <w:r>
        <w:t xml:space="preserve">this goes in the conclusion now I think –kevin</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it is typically produced by holding the tongue tip near enough to the alveolar ridge to cause relatively high frequency turbulent airflow. English [ʃ] has a comparatively larger resonating chamber; it is typically produced with a more posterior, palato-alveolar tongue position which creates a larger resonating chamber between the place of articulation and the teeth, causing lower frequency noise than an [s] for the same talker.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between-talker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between [ʃ] and [s] . These continua have endpoints in prototypical examples of [ʃ] and [s] with some number of acoustic steps spliced, synthesized, or even mixed between these. Near the middle of such a continuum will be a synthetic fricative that is ambiguous as to category membership: not clearly a [ʃ] and not clearly an [s].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teeth will have a higher mean frequency than larger resonating chambers. Listeners’ use of apparent vocal tract size in perception reflect their knowledge of this variation</w:t>
      </w:r>
      <w:r>
        <w:t xml:space="preserve"> </w:t>
      </w:r>
      <w:r>
        <w:t xml:space="preserve">(Munson 2011)</w:t>
      </w:r>
      <w:r>
        <w:t xml:space="preserve">.</w:t>
      </w:r>
    </w:p>
    <w:p>
      <w:pPr>
        <w:pStyle w:val="BodyText"/>
      </w:pPr>
      <w:r>
        <w:t xml:space="preserve">Previous research in sociophonetic perception has established that 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w:t>
      </w:r>
      <w:r>
        <w:t xml:space="preserve">such that, for example, fricative sounds consistent with a larger vocal tract are perceived as more masculine</w:t>
      </w:r>
      <w:r>
        <w:t xml:space="preserve"> </w:t>
      </w:r>
      <w:r>
        <w:t xml:space="preserve">(Bouavichith et al. 2019)</w:t>
      </w:r>
      <w:r>
        <w:t xml:space="preserve"> </w:t>
      </w:r>
      <w:r>
        <w:t xml:space="preserve">and, in tandem, believing that a talker identifies as male can lead listeners to perceive more [ʃ]-like sounds as [s]</w:t>
      </w:r>
      <w:r>
        <w:t xml:space="preserve"> </w:t>
      </w:r>
      <w:r>
        <w:t xml:space="preserve">(Strand and Johnson 1996; Munson 2011)</w:t>
      </w:r>
      <w:r>
        <w:t xml:space="preserve">.</w:t>
      </w:r>
    </w:p>
    <w:p>
      <w:pPr>
        <w:pStyle w:val="BodyText"/>
      </w:pPr>
      <w:r>
        <w:t xml:space="preserve">The goal of the present study is to take advantage of this sociophonetic trading relation in listeners’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knowledge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volume)</w:t>
      </w:r>
      <w:r>
        <w:t xml:space="preserve">, one can come away from a detailed, rigorous review of the sociolinguistics, linguistic anthropology, and phonetics literature simultaneously convinced that listeners’ use of social information happens both obligatorily above and below the level of conscious awareness.</w:t>
      </w:r>
    </w:p>
    <w:bookmarkEnd w:id="20"/>
    <w:bookmarkStart w:id="21" w:name="X01fb32f4e21b0120a62269750aea84b6b7936e1"/>
    <w:p>
      <w:pPr>
        <w:pStyle w:val="Heading2"/>
      </w:pPr>
      <w:r>
        <w:t xml:space="preserve">Coarticulatory and Social Information Influence [ʃ]-[s] perception</w:t>
      </w:r>
    </w:p>
    <w:p>
      <w:pPr>
        <w:pStyle w:val="FirstParagraph"/>
      </w:pPr>
      <w:r>
        <w:t xml:space="preserve">Listeners are sensitive to these socially-informative patterns of</w:t>
      </w:r>
      <w:r>
        <w:t xml:space="preserve"> </w:t>
      </w:r>
      <w:r>
        <w:t xml:space="preserve">[ʃ]-[s] variation, but it is important to understand how similar this</w:t>
      </w:r>
      <w:r>
        <w:t xml:space="preserve"> </w:t>
      </w:r>
      <w:r>
        <w:t xml:space="preserve">sensitivity is to what has previously been observed in segmental speech</w:t>
      </w:r>
      <w:r>
        <w:t xml:space="preserve"> </w:t>
      </w:r>
      <w:r>
        <w:t xml:space="preserve">perception. Just as vocal tract size can alter the frequencies of</w:t>
      </w:r>
      <w:r>
        <w:t xml:space="preserve"> </w:t>
      </w:r>
      <w:r>
        <w:t xml:space="preserve">fricatives</w:t>
      </w:r>
      <w:r>
        <w:t xml:space="preserve"> </w:t>
      </w:r>
      <w:r>
        <w:t xml:space="preserve">(e.g. May 1976)</w:t>
      </w:r>
      <w:r>
        <w:t xml:space="preserve">, so too can coarticulation with a following</w:t>
      </w:r>
      <w:r>
        <w:t xml:space="preserve"> </w:t>
      </w:r>
      <w:r>
        <w:t xml:space="preserve">vowel. Due to both place of articulation of the vowel and a change in</w:t>
      </w:r>
      <w:r>
        <w:t xml:space="preserve"> </w:t>
      </w:r>
      <w:r>
        <w:t xml:space="preserve">lip rounding, the fricative in</w:t>
      </w:r>
      <w:r>
        <w:t xml:space="preserve"> </w:t>
      </w:r>
      <w:r>
        <w:rPr>
          <w:i/>
          <w:iCs/>
        </w:rPr>
        <w:t xml:space="preserve">see</w:t>
      </w:r>
      <w:r>
        <w:t xml:space="preserve"> </w:t>
      </w:r>
      <w:r>
        <w:t xml:space="preserve">[si] or</w:t>
      </w:r>
      <w:r>
        <w:t xml:space="preserve"> </w:t>
      </w:r>
      <w:r>
        <w:rPr>
          <w:i/>
          <w:iCs/>
        </w:rPr>
        <w:t xml:space="preserve">she</w:t>
      </w:r>
      <w:r>
        <w:t xml:space="preserve"> </w:t>
      </w:r>
      <w:r>
        <w:t xml:space="preserve">[ʃi] will sound</w:t>
      </w:r>
      <w:r>
        <w:t xml:space="preserve"> </w:t>
      </w:r>
      <w:r>
        <w:t xml:space="preserve">higher than the fricative in</w:t>
      </w:r>
      <w:r>
        <w:t xml:space="preserve"> </w:t>
      </w:r>
      <w:r>
        <w:rPr>
          <w:i/>
          <w:iCs/>
        </w:rPr>
        <w:t xml:space="preserve">sue</w:t>
      </w:r>
      <w:r>
        <w:t xml:space="preserve"> </w:t>
      </w:r>
      <w:r>
        <w:t xml:space="preserve">[su] or</w:t>
      </w:r>
      <w:r>
        <w:t xml:space="preserve"> </w:t>
      </w:r>
      <w:r>
        <w:rPr>
          <w:i/>
          <w:iCs/>
        </w:rPr>
        <w:t xml:space="preserve">shoe</w:t>
      </w:r>
      <w:r>
        <w:t xml:space="preserve"> </w:t>
      </w:r>
      <w:r>
        <w:t xml:space="preserve">[ʃu]</w:t>
      </w:r>
      <w:r>
        <w:t xml:space="preserve"> </w:t>
      </w:r>
      <w:r>
        <w:t xml:space="preserve">(Mann and Repp 1980; Kunisaki and Fujisaki 1977; Whalen 1981)</w:t>
      </w:r>
      <w:r>
        <w:t xml:space="preserve">.</w:t>
      </w:r>
      <w:r>
        <w:t xml:space="preserve"> </w:t>
      </w:r>
      <w:r>
        <w:t xml:space="preserve">Whalen (1984)</w:t>
      </w:r>
      <w:r>
        <w:t xml:space="preserve"> </w:t>
      </w:r>
      <w:r>
        <w:t xml:space="preserve">paired</w:t>
      </w:r>
      <w:r>
        <w:t xml:space="preserve"> </w:t>
      </w:r>
      <w:r>
        <w:t xml:space="preserve">synthesized vowels with incongruously coarticulated fricatives and found</w:t>
      </w:r>
      <w:r>
        <w:t xml:space="preserve"> </w:t>
      </w:r>
      <w:r>
        <w:t xml:space="preserve">that, although researchers could not consciously identify the mismatched</w:t>
      </w:r>
      <w:r>
        <w:t xml:space="preserve"> </w:t>
      </w:r>
      <w:r>
        <w:t xml:space="preserve">stimuli, participants nevertheless showed longer reaction times due to</w:t>
      </w:r>
      <w:r>
        <w:t xml:space="preserve"> </w:t>
      </w:r>
      <w:r>
        <w:t xml:space="preserve">these coarticulatory mismatches. Listeners will readily fill-in missing</w:t>
      </w:r>
      <w:r>
        <w:t xml:space="preserve"> </w:t>
      </w:r>
      <w:r>
        <w:t xml:space="preserve">or ambiguous information, the presence of actively</w:t>
      </w:r>
      <w:r>
        <w:t xml:space="preserve"> </w:t>
      </w:r>
      <w:r>
        <w:rPr>
          <w:i/>
          <w:iCs/>
        </w:rPr>
        <w:t xml:space="preserve">incongruous</w:t>
      </w:r>
      <w:r>
        <w:t xml:space="preserve"> </w:t>
      </w:r>
      <w:r>
        <w:t xml:space="preserve">articulatory information slows listener judgments.</w:t>
      </w:r>
    </w:p>
    <w:p>
      <w:pPr>
        <w:pStyle w:val="BodyText"/>
      </w:pPr>
      <w:r>
        <w:t xml:space="preserve">Working in the context of segmental speech perception,</w:t>
      </w:r>
      <w:r>
        <w:t xml:space="preserve"> </w:t>
      </w:r>
      <w:r>
        <w:t xml:space="preserve">Mann and Repp (1980)</w:t>
      </w:r>
      <w:r>
        <w:t xml:space="preserve"> </w:t>
      </w:r>
      <w:r>
        <w:t xml:space="preserve">replicated May’s (1976) finding, extending it to natural productions of</w:t>
      </w:r>
      <w:r>
        <w:t xml:space="preserve"> </w:t>
      </w:r>
      <w:r>
        <w:t xml:space="preserve">vowels spoken by a male or female-identified talker. Similar to May’s</w:t>
      </w:r>
      <w:r>
        <w:t xml:space="preserve"> </w:t>
      </w:r>
      <w:r>
        <w:t xml:space="preserve">results with simulated vocal tract size, Mann &amp; Repp found a higher</w:t>
      </w:r>
      <w:r>
        <w:t xml:space="preserve"> </w:t>
      </w:r>
      <w:r>
        <w:t xml:space="preserve">proportion of the fricative continuum was heard as [ʃ] when paired</w:t>
      </w:r>
      <w:r>
        <w:t xml:space="preserve"> </w:t>
      </w:r>
      <w:r>
        <w:t xml:space="preserve">with the speech of the female talker. This early work, as was common in</w:t>
      </w:r>
      <w:r>
        <w:t xml:space="preserve"> </w:t>
      </w:r>
      <w:r>
        <w:t xml:space="preserve">the period</w:t>
      </w:r>
      <w:r>
        <w:t xml:space="preserve"> </w:t>
      </w:r>
      <w:r>
        <w:t xml:space="preserve">(Ohala 1984)</w:t>
      </w:r>
      <w:r>
        <w:t xml:space="preserve">, theorized size as being a relatively</w:t>
      </w:r>
      <w:r>
        <w:t xml:space="preserve"> </w:t>
      </w:r>
      <w:r>
        <w:t xml:space="preserve">deterministic feature of talker sexual dimorphism. One consequence of</w:t>
      </w:r>
      <w:r>
        <w:t xml:space="preserve"> </w:t>
      </w:r>
      <w:r>
        <w:t xml:space="preserve">this view is that gender-related variation in the speech signal was</w:t>
      </w:r>
      <w:r>
        <w:t xml:space="preserve"> </w:t>
      </w:r>
      <w:r>
        <w:t xml:space="preserve">considered mechanistic, universal, and following from purely physical</w:t>
      </w:r>
      <w:r>
        <w:t xml:space="preserve"> </w:t>
      </w:r>
      <w:r>
        <w:t xml:space="preserve">laws. If vocal tract size is presumably not available for individual</w:t>
      </w:r>
      <w:r>
        <w:t xml:space="preserve"> </w:t>
      </w:r>
      <w:r>
        <w:t xml:space="preserve">performance then listener knowledge of this variation can be</w:t>
      </w:r>
      <w:r>
        <w:t xml:space="preserve"> </w:t>
      </w:r>
      <w:r>
        <w:t xml:space="preserve">correspondingly simple. Vocal tract size may influence perception, but</w:t>
      </w:r>
      <w:r>
        <w:t xml:space="preserve"> </w:t>
      </w:r>
      <w:r>
        <w:t xml:space="preserve">it does so implicitly, automatically, and below the level of</w:t>
      </w:r>
      <w:r>
        <w:t xml:space="preserve"> </w:t>
      </w:r>
      <w:r>
        <w:t xml:space="preserve">introspective awareness.</w:t>
      </w:r>
    </w:p>
    <w:p>
      <w:pPr>
        <w:pStyle w:val="BodyText"/>
      </w:pPr>
      <w:r>
        <w:t xml:space="preserve">Strand and Johnson (1996)</w:t>
      </w:r>
      <w:r>
        <w:t xml:space="preserve"> </w:t>
      </w:r>
      <w:r>
        <w:t xml:space="preserve">conducted a pair of experiments investigating the</w:t>
      </w:r>
      <w:r>
        <w:t xml:space="preserve"> </w:t>
      </w:r>
      <w:r>
        <w:t xml:space="preserve">influence of purported gender of a talker on the perception of the</w:t>
      </w:r>
      <w:r>
        <w:t xml:space="preserve"> </w:t>
      </w:r>
      <w:r>
        <w:t xml:space="preserve">[ʃ]-[s] boundary. In their first experiment, listeners heard a [ʃ]-[s]</w:t>
      </w:r>
      <w:r>
        <w:t xml:space="preserve"> </w:t>
      </w:r>
      <w:r>
        <w:t xml:space="preserve">continuum paired with voices previously normed as prototypically female,</w:t>
      </w:r>
      <w:r>
        <w:t xml:space="preserve"> </w:t>
      </w:r>
      <w:r>
        <w:t xml:space="preserve">non-prototypically female, prototypically male, and non-prototypically</w:t>
      </w:r>
      <w:r>
        <w:t xml:space="preserve"> </w:t>
      </w:r>
      <w:r>
        <w:t xml:space="preserve">male. The result replicates</w:t>
      </w:r>
      <w:r>
        <w:t xml:space="preserve"> </w:t>
      </w:r>
      <w:r>
        <w:t xml:space="preserve">Mann and Repp (1980)</w:t>
      </w:r>
      <w:r>
        <w:t xml:space="preserve"> </w:t>
      </w:r>
      <w:r>
        <w:t xml:space="preserve">and extends it to show that</w:t>
      </w:r>
      <w:r>
        <w:t xml:space="preserve"> </w:t>
      </w:r>
      <w:r>
        <w:t xml:space="preserve">the influence of a gendered voice correlates with the protypicality of</w:t>
      </w:r>
      <w:r>
        <w:t xml:space="preserve"> </w:t>
      </w:r>
      <w:r>
        <w:t xml:space="preserve">that voice. Their second experiment finds that presenting listeners with</w:t>
      </w:r>
      <w:r>
        <w:t xml:space="preserve"> </w:t>
      </w:r>
      <w:r>
        <w:t xml:space="preserve">prototypically-gendered videos of their purported talker can, again,</w:t>
      </w:r>
      <w:r>
        <w:t xml:space="preserve"> </w:t>
      </w:r>
      <w:r>
        <w:t xml:space="preserve">shift perceptions of the [ʃ]-[s] such that listeners report hearing a</w:t>
      </w:r>
      <w:r>
        <w:t xml:space="preserve"> </w:t>
      </w:r>
      <w:r>
        <w:t xml:space="preserve">higher proportion of the continuum as [ʃ] when watching a female</w:t>
      </w:r>
      <w:r>
        <w:t xml:space="preserve"> </w:t>
      </w:r>
      <w:r>
        <w:t xml:space="preserve">talker and a higher proportion of the same continuum as [s] when</w:t>
      </w:r>
      <w:r>
        <w:t xml:space="preserve"> </w:t>
      </w:r>
      <w:r>
        <w:t xml:space="preserve">watching a male talker.</w:t>
      </w:r>
    </w:p>
    <w:p>
      <w:pPr>
        <w:pStyle w:val="BodyText"/>
      </w:pPr>
      <w:r>
        <w:t xml:space="preserve">This AV condition is reminiscent of</w:t>
      </w:r>
      <w:r>
        <w:t xml:space="preserve"> </w:t>
      </w:r>
      <w:r>
        <w:t xml:space="preserve">McGurk and MacDonald (1976)</w:t>
      </w:r>
      <w:r>
        <w:t xml:space="preserve"> </w:t>
      </w:r>
      <w:r>
        <w:t xml:space="preserve">and is</w:t>
      </w:r>
      <w:r>
        <w:t xml:space="preserve"> </w:t>
      </w:r>
      <w:r>
        <w:t xml:space="preserve">presented in that context. In the McGurk Effect, listeners presented</w:t>
      </w:r>
      <w:r>
        <w:t xml:space="preserve"> </w:t>
      </w:r>
      <w:r>
        <w:t xml:space="preserve">with, for example, video of a person pronouncing the syllable [ga],</w:t>
      </w:r>
      <w:r>
        <w:t xml:space="preserve"> </w:t>
      </w:r>
      <w:r>
        <w:t xml:space="preserve">paired with audio of the syllable [ba] will experience a third, fused,</w:t>
      </w:r>
      <w:r>
        <w:t xml:space="preserve"> </w:t>
      </w:r>
      <w:r>
        <w:t xml:space="preserve">percept [da]. A striking feature of this effect is its automaticity;</w:t>
      </w:r>
      <w:r>
        <w:t xml:space="preserve"> </w:t>
      </w:r>
      <w:r>
        <w:t xml:space="preserve">participants can not choose to perceive the two components of a fused</w:t>
      </w:r>
      <w:r>
        <w:t xml:space="preserve"> </w:t>
      </w:r>
      <w:r>
        <w:t xml:space="preserve">percept independently. Awareness of the manipulation does not undermine</w:t>
      </w:r>
      <w:r>
        <w:t xml:space="preserve"> </w:t>
      </w:r>
      <w:r>
        <w:t xml:space="preserve">the effect. Indeed,</w:t>
      </w:r>
      <w:r>
        <w:t xml:space="preserve"> </w:t>
      </w:r>
      <w:r>
        <w:t xml:space="preserve">Green et al. (1991a)</w:t>
      </w:r>
      <w:r>
        <w:t xml:space="preserve"> </w:t>
      </w:r>
      <w:r>
        <w:t xml:space="preserve">found that the McGurk</w:t>
      </w:r>
      <w:r>
        <w:t xml:space="preserve"> </w:t>
      </w:r>
      <w:r>
        <w:t xml:space="preserve">Effect succeeds even when listeners know that the visual talker and the</w:t>
      </w:r>
      <w:r>
        <w:t xml:space="preserve"> </w:t>
      </w:r>
      <w:r>
        <w:t xml:space="preserve">auditory talker can not be the same person. McGurk can occur below the</w:t>
      </w:r>
      <w:r>
        <w:t xml:space="preserve"> </w:t>
      </w:r>
      <w:r>
        <w:t xml:space="preserve">level of introspective awareness or, with instruction, above the level</w:t>
      </w:r>
      <w:r>
        <w:t xml:space="preserve"> </w:t>
      </w:r>
      <w:r>
        <w:t xml:space="preserve">of introspective awareness. However, listeners, even with awareness, can</w:t>
      </w:r>
      <w:r>
        <w:t xml:space="preserve"> </w:t>
      </w:r>
      <w:r>
        <w:t xml:space="preserve">not control their experience of the effect.</w:t>
      </w:r>
    </w:p>
    <w:p>
      <w:pPr>
        <w:pStyle w:val="BodyText"/>
      </w:pPr>
      <w:r>
        <w:t xml:space="preserve">Listeners’ phonetic judgments, whether above or below the level of</w:t>
      </w:r>
      <w:r>
        <w:t xml:space="preserve"> </w:t>
      </w:r>
      <w:r>
        <w:t xml:space="preserve">conscious awareness, depend on a rich constellation of evidence and</w:t>
      </w:r>
      <w:r>
        <w:t xml:space="preserve"> </w:t>
      </w:r>
      <w:r>
        <w:t xml:space="preserve">expectation. Vocal tract size, following vowel quality, coarticulatory</w:t>
      </w:r>
      <w:r>
        <w:t xml:space="preserve"> </w:t>
      </w:r>
      <w:r>
        <w:t xml:space="preserve">cues, and visual information, along with the acoustic properties of the</w:t>
      </w:r>
      <w:r>
        <w:t xml:space="preserve"> </w:t>
      </w:r>
      <w:r>
        <w:t xml:space="preserve">coarticulated fricative itself, can all shape how listeners report</w:t>
      </w:r>
      <w:r>
        <w:t xml:space="preserve"> </w:t>
      </w:r>
      <w:r>
        <w:t xml:space="preserve">experiencing a particular fricative. Rather than relying on a single,</w:t>
      </w:r>
      <w:r>
        <w:t xml:space="preserve"> </w:t>
      </w:r>
      <w:r>
        <w:t xml:space="preserve">invariant, phonetic cue, listeners take the entire fricative and context</w:t>
      </w:r>
      <w:r>
        <w:t xml:space="preserve"> </w:t>
      </w:r>
      <w:r>
        <w:t xml:space="preserve">into account</w:t>
      </w:r>
      <w:r>
        <w:t xml:space="preserve"> </w:t>
      </w:r>
      <w:r>
        <w:t xml:space="preserve">(Whalen 1991)</w:t>
      </w:r>
      <w:r>
        <w:t xml:space="preserve">. It is conceivable that such exquisite</w:t>
      </w:r>
      <w:r>
        <w:t xml:space="preserve"> </w:t>
      </w:r>
      <w:r>
        <w:t xml:space="preserve">sensitivity to the phonetic cues conveying linguistic category</w:t>
      </w:r>
      <w:r>
        <w:t xml:space="preserve"> </w:t>
      </w:r>
      <w:r>
        <w:t xml:space="preserve">membership might somehow restrict language users’ freedom to communicate</w:t>
      </w:r>
      <w:r>
        <w:t xml:space="preserve"> </w:t>
      </w:r>
      <w:r>
        <w:t xml:space="preserve">and perceive social information via the same phonetic signal. This would</w:t>
      </w:r>
      <w:r>
        <w:t xml:space="preserve"> </w:t>
      </w:r>
      <w:r>
        <w:t xml:space="preserve">be the prediction of a phonetic theory in which linguistic information</w:t>
      </w:r>
      <w:r>
        <w:t xml:space="preserve"> </w:t>
      </w:r>
      <w:r>
        <w:t xml:space="preserve">and social information share the phonetic signal in a kind of zero sum</w:t>
      </w:r>
      <w:r>
        <w:t xml:space="preserve"> </w:t>
      </w:r>
      <w:r>
        <w:t xml:space="preserve">game –where listeners must normalize away social variation to recover</w:t>
      </w:r>
      <w:r>
        <w:t xml:space="preserve"> </w:t>
      </w:r>
      <w:r>
        <w:t xml:space="preserve">linguistic information or lose linguistic information in favor of the</w:t>
      </w:r>
      <w:r>
        <w:t xml:space="preserve"> </w:t>
      </w:r>
      <w:r>
        <w:t xml:space="preserve">social. Instead, with these fricatives at least, we can observe the</w:t>
      </w:r>
      <w:r>
        <w:t xml:space="preserve"> </w:t>
      </w:r>
      <w:r>
        <w:t xml:space="preserve">opposite. The fricatives [ʃ] and [s] often carry social meaning</w:t>
      </w:r>
      <w:r>
        <w:t xml:space="preserve"> </w:t>
      </w:r>
      <w:r>
        <w:t xml:space="preserve">(Podesva and Kajino 2014; Mack and Munson 2012a)</w:t>
      </w:r>
      <w:r>
        <w:t xml:space="preserve"> </w:t>
      </w:r>
      <w:r>
        <w:t xml:space="preserve">with [s] being</w:t>
      </w:r>
      <w:r>
        <w:t xml:space="preserve"> </w:t>
      </w:r>
      <w:r>
        <w:t xml:space="preserve">“perhaps the</w:t>
      </w:r>
      <w:r>
        <w:t xml:space="preserve"> </w:t>
      </w:r>
      <w:r>
        <w:t xml:space="preserve">most iconic phonetic variable in the field”</w:t>
      </w:r>
      <w:r>
        <w:t xml:space="preserve"> </w:t>
      </w:r>
      <w:r>
        <w:t xml:space="preserve">(Calder 2018)</w:t>
      </w:r>
      <w:r>
        <w:t xml:space="preserve">. The</w:t>
      </w:r>
      <w:r>
        <w:t xml:space="preserve"> </w:t>
      </w:r>
      <w:r>
        <w:t xml:space="preserve">implication is that the social and linguistic meanings of particular</w:t>
      </w:r>
      <w:r>
        <w:t xml:space="preserve"> </w:t>
      </w:r>
      <w:r>
        <w:t xml:space="preserve">phonetic cues are not necessarily in competition with one another.</w:t>
      </w:r>
    </w:p>
    <w:p>
      <w:pPr>
        <w:pStyle w:val="BodyText"/>
      </w:pPr>
      <w:r>
        <w:t xml:space="preserve">It is unclear from</w:t>
      </w:r>
      <w:r>
        <w:t xml:space="preserve"> </w:t>
      </w:r>
      <w:r>
        <w:t xml:space="preserve">Strand and Johnson (1996)</w:t>
      </w:r>
      <w:r>
        <w:t xml:space="preserve"> </w:t>
      </w:r>
      <w:r>
        <w:t xml:space="preserve">and subsequent work whether the</w:t>
      </w:r>
      <w:r>
        <w:t xml:space="preserve"> </w:t>
      </w:r>
      <w:r>
        <w:t xml:space="preserve">perceptual influence of visually-presented social information about</w:t>
      </w:r>
      <w:r>
        <w:t xml:space="preserve"> </w:t>
      </w:r>
      <w:r>
        <w:t xml:space="preserve">gender is implicit and automatic, as observed with coarticulation, vocal</w:t>
      </w:r>
      <w:r>
        <w:t xml:space="preserve"> </w:t>
      </w:r>
      <w:r>
        <w:t xml:space="preserve">tract size, and the McGurk effect or whether the effect is altered (or</w:t>
      </w:r>
      <w:r>
        <w:t xml:space="preserve"> </w:t>
      </w:r>
      <w:r>
        <w:t xml:space="preserve">diminished) when listeners are made aware of the manipulation and their</w:t>
      </w:r>
      <w:r>
        <w:t xml:space="preserve"> </w:t>
      </w:r>
      <w:r>
        <w:t xml:space="preserve">attention is drawn to socially-meaningful variables</w:t>
      </w:r>
      <w:r>
        <w:t xml:space="preserve"> </w:t>
      </w:r>
      <w:r>
        <w:t xml:space="preserve">(Labov et al. 2011)</w:t>
      </w:r>
      <w:r>
        <w:t xml:space="preserve">.</w:t>
      </w:r>
      <w:r>
        <w:t xml:space="preserve"> </w:t>
      </w:r>
      <w:r>
        <w:t xml:space="preserve">The present work seeks to resolve this cognitive question to better</w:t>
      </w:r>
      <w:r>
        <w:t xml:space="preserve"> </w:t>
      </w:r>
      <w:r>
        <w:t xml:space="preserve">understand precisely how the stylistic bricolage of gender is perceived and how gender perception functions in interaction. How do linguistic and non-linguistic resources</w:t>
      </w:r>
      <w:r>
        <w:t xml:space="preserve"> </w:t>
      </w:r>
      <w:r>
        <w:t xml:space="preserve">interact during perception and, finally, what happens when these signals</w:t>
      </w:r>
      <w:r>
        <w:t xml:space="preserve"> </w:t>
      </w:r>
      <w:r>
        <w:t xml:space="preserve">conflict? In order to conduct this study, however, it is necessary to be</w:t>
      </w:r>
      <w:r>
        <w:t xml:space="preserve"> </w:t>
      </w:r>
      <w:r>
        <w:t xml:space="preserve">precise about how we conceive of and operationalize gender for the</w:t>
      </w:r>
      <w:r>
        <w:t xml:space="preserve"> </w:t>
      </w:r>
      <w:r>
        <w:t xml:space="preserve">purposes of a speech perception experiment.</w:t>
      </w:r>
    </w:p>
    <w:bookmarkEnd w:id="21"/>
    <w:bookmarkStart w:id="22" w:name="Xe27d1a4138b001263dc1172d1c3185242cd00f1"/>
    <w:p>
      <w:pPr>
        <w:pStyle w:val="Heading2"/>
      </w:pPr>
      <w:r>
        <w:t xml:space="preserve">Phonetics, Speech Perception, and the Social-Construction of Gender</w:t>
      </w:r>
    </w:p>
    <w:p>
      <w:pPr>
        <w:pStyle w:val="FirstParagraph"/>
      </w:pPr>
      <w:r>
        <w:t xml:space="preserve">It has long seemed normal in phonetics to imagine that gender is a</w:t>
      </w:r>
      <w:r>
        <w:t xml:space="preserve"> </w:t>
      </w:r>
      <w:r>
        <w:t xml:space="preserve">simple, binary projection from biological sex onto social identity</w:t>
      </w:r>
      <w:r>
        <w:t xml:space="preserve"> </w:t>
      </w:r>
      <w:r>
        <w:t xml:space="preserve">(Daniel et al. 2007; Samoliński, Grzanka, and Gotlib 2007)</w:t>
      </w:r>
      <w:r>
        <w:t xml:space="preserve">. However, if these biological tendencies</w:t>
      </w:r>
      <w:r>
        <w:t xml:space="preserve"> </w:t>
      </w:r>
      <w:r>
        <w:t xml:space="preserve">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It is critical to remember that formants and fricatives are the result of not purely vocal tract biology but also articulator coordination. Even without biologically-differentiated vocal tracts, people who identify as male or female can perform that identity through gestural style. Vowels, in both their linguistic and social aspects, are the acoustic consequence of gestural control.</w:t>
      </w:r>
    </w:p>
    <w:p>
      <w:pPr>
        <w:pStyle w:val="BodyText"/>
      </w:pPr>
      <w:r>
        <w:t xml:space="preserve">Gender is more likely the product of, rather than an explanation for,</w:t>
      </w:r>
      <w:r>
        <w:t xml:space="preserve"> </w:t>
      </w:r>
      <w:r>
        <w:t xml:space="preserve">linguistic variation</w:t>
      </w:r>
      <w:r>
        <w:t xml:space="preserve"> </w:t>
      </w:r>
      <w:r>
        <w:t xml:space="preserve">(Eckert and Podesva 2021)</w:t>
      </w:r>
      <w:r>
        <w:t xml:space="preserve">. Just as with words, genders</w:t>
      </w:r>
      <w:r>
        <w:t xml:space="preserve"> </w:t>
      </w:r>
      <w:r>
        <w:t xml:space="preserve">are arbitrary; both the social labels and their acoustic correlates are</w:t>
      </w:r>
      <w:r>
        <w:t xml:space="preserve"> </w:t>
      </w:r>
      <w:r>
        <w:t xml:space="preserve">language specific</w:t>
      </w:r>
      <w:r>
        <w:t xml:space="preserve"> </w:t>
      </w:r>
      <w:r>
        <w:t xml:space="preserve">(Johnson 2005, 2006)</w:t>
      </w:r>
      <w:r>
        <w:t xml:space="preserve"> </w:t>
      </w:r>
      <w:r>
        <w:t xml:space="preserve">and the constellation of</w:t>
      </w:r>
      <w:r>
        <w:t xml:space="preserve"> </w:t>
      </w:r>
      <w:r>
        <w:t xml:space="preserve">meanings are socially-constructed in interaction</w:t>
      </w:r>
      <w:r>
        <w:t xml:space="preserve"> </w:t>
      </w:r>
      <w:r>
        <w:t xml:space="preserve">(Eckert 2008)</w:t>
      </w:r>
      <w:r>
        <w:t xml:space="preserve">. The</w:t>
      </w:r>
      <w:r>
        <w:t xml:space="preserve"> </w:t>
      </w:r>
      <w:r>
        <w:t xml:space="preserve">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w:t>
      </w:r>
      <w:r>
        <w:t xml:space="preserve"> </w:t>
      </w:r>
      <w:r>
        <w:t xml:space="preserve">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w:t>
      </w:r>
      <w:r>
        <w:t xml:space="preserve"> </w:t>
      </w:r>
      <w:r>
        <w:t xml:space="preserve">different in Thailand than in Japan</w:t>
      </w:r>
      <w:r>
        <w:t xml:space="preserve"> </w:t>
      </w:r>
      <w:r>
        <w:t xml:space="preserve">(Käng 2013; Alpert 2014)</w:t>
      </w:r>
      <w:r>
        <w:t xml:space="preserve">. Children</w:t>
      </w:r>
      <w:r>
        <w:t xml:space="preserve"> </w:t>
      </w:r>
      <w:r>
        <w:t xml:space="preserve">don’t perform adult-like vowel formant patterns because they were born</w:t>
      </w:r>
      <w:r>
        <w:t xml:space="preserve"> </w:t>
      </w:r>
      <w:r>
        <w:t xml:space="preserve">tiny men and women, children perform adult-like vowel formant patterns</w:t>
      </w:r>
      <w:r>
        <w:t xml:space="preserve"> </w:t>
      </w:r>
      <w:r>
        <w:t xml:space="preserve">because they identify as a gender and are using the cultural and</w:t>
      </w:r>
      <w:r>
        <w:t xml:space="preserve"> </w:t>
      </w:r>
      <w:r>
        <w:t xml:space="preserve">linguistic resources available to communicate that gender to others.</w:t>
      </w:r>
      <w:r>
        <w:t xml:space="preserve"> </w:t>
      </w:r>
      <w:r>
        <w:t xml:space="preserve">Humans are meaning-making agents, not deterministically resonating meat</w:t>
      </w:r>
      <w:r>
        <w:t xml:space="preserve"> </w:t>
      </w:r>
      <w:r>
        <w:t xml:space="preserve">tubes.</w:t>
      </w:r>
    </w:p>
    <w:p>
      <w:pPr>
        <w:pStyle w:val="BodyText"/>
      </w:pPr>
      <w:r>
        <w:t xml:space="preserve">In the earliest sociophonetic perception research it was still possible</w:t>
      </w:r>
      <w:r>
        <w:t xml:space="preserve"> </w:t>
      </w:r>
      <w:r>
        <w:t xml:space="preserve">to imagine that the kind of knowledge listeners drew on to perceive</w:t>
      </w:r>
      <w:r>
        <w:t xml:space="preserve"> </w:t>
      </w:r>
      <w:r>
        <w:t xml:space="preserve">gender was knowledge of primary biological traits. We now understand</w:t>
      </w:r>
      <w:r>
        <w:t xml:space="preserve"> </w:t>
      </w:r>
      <w:r>
        <w:t xml:space="preserve">that, instead, the influence of gender-based expectations in speech</w:t>
      </w:r>
      <w:r>
        <w:t xml:space="preserve"> </w:t>
      </w:r>
      <w:r>
        <w:t xml:space="preserve">perception is evidence of the influence of cultural knowledge on what</w:t>
      </w:r>
      <w:r>
        <w:t xml:space="preserve"> </w:t>
      </w:r>
      <w:r>
        <w:t xml:space="preserve">might previously have been construed as purely linguistic decisions</w:t>
      </w:r>
      <w:r>
        <w:t xml:space="preserve"> </w:t>
      </w:r>
      <w:r>
        <w:t xml:space="preserve">(Boyd, Fruehwald, and Hall-Lew 2021)</w:t>
      </w:r>
      <w:r>
        <w:t xml:space="preserve">. Just as vowel quality, lip rounding, and</w:t>
      </w:r>
      <w:r>
        <w:t xml:space="preserve"> </w:t>
      </w:r>
      <w:r>
        <w:t xml:space="preserve">syllable affiliation influence the perception of these fricatives, so</w:t>
      </w:r>
      <w:r>
        <w:t xml:space="preserve"> </w:t>
      </w:r>
      <w:r>
        <w:t xml:space="preserve">too do socially-constructed gender categories.</w:t>
      </w:r>
    </w:p>
    <w:p>
      <w:pPr>
        <w:pStyle w:val="BodyText"/>
      </w:pPr>
      <w:r>
        <w:t xml:space="preserve">This paper reports an audiovisual matched guise experiment with both</w:t>
      </w:r>
      <w:r>
        <w:t xml:space="preserve"> </w:t>
      </w:r>
      <w:r>
        <w:t xml:space="preserve">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w:t>
      </w:r>
      <w:r>
        <w:t xml:space="preserve"> </w:t>
      </w:r>
      <w:r>
        <w:t xml:space="preserve">task is a replication of</w:t>
      </w:r>
      <w:r>
        <w:t xml:space="preserve"> </w:t>
      </w:r>
      <w:r>
        <w:t xml:space="preserve">Strand and Johnson (1996)</w:t>
      </w:r>
      <w:r>
        <w:t xml:space="preserve">. Listeners are asked to</w:t>
      </w:r>
      <w:r>
        <w:t xml:space="preserve"> </w:t>
      </w:r>
      <w:r>
        <w:t xml:space="preserve">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w:t>
      </w:r>
      <w:r>
        <w:t xml:space="preserve"> </w:t>
      </w:r>
      <w:r>
        <w:t xml:space="preserve">continuum given manipulated beliefs about the gender identity of the</w:t>
      </w:r>
      <w:r>
        <w:t xml:space="preserve"> </w:t>
      </w:r>
      <w:r>
        <w:t xml:space="preserve">talker</w:t>
      </w:r>
      <w:r>
        <w:t xml:space="preserve"> </w:t>
      </w:r>
      <w:r>
        <w:t xml:space="preserve">(Tripp and Munson 2022; Stecker and D’Onofrio, this volume)</w:t>
      </w:r>
      <w:r>
        <w:t xml:space="preserve">. As described above,</w:t>
      </w:r>
      <w:r>
        <w:t xml:space="preserve"> </w:t>
      </w:r>
      <w:r>
        <w:t xml:space="preserve">numerous previous replications have found that listeners perceive more</w:t>
      </w:r>
      <w:r>
        <w:t xml:space="preserve"> </w:t>
      </w:r>
      <w:r>
        <w:t xml:space="preserve">of the ambiguous continuum as [ʃ] when they believe the speaker</w:t>
      </w:r>
      <w:r>
        <w:t xml:space="preserve"> </w:t>
      </w:r>
      <w:r>
        <w:t xml:space="preserve">identifies as a woman and more as [s] when they believe the speaker</w:t>
      </w:r>
      <w:r>
        <w:t xml:space="preserve"> </w:t>
      </w:r>
      <w:r>
        <w:t xml:space="preserve">identifies as a man and that, furthermore, this effect is</w:t>
      </w:r>
      <w:r>
        <w:t xml:space="preserve"> </w:t>
      </w:r>
      <w:r>
        <w:t xml:space="preserve">bi-directional, with fricative type influencing perception of gender for</w:t>
      </w:r>
      <w:r>
        <w:t xml:space="preserve"> </w:t>
      </w:r>
      <w:r>
        <w:t xml:space="preserve">an ambiguous voice</w:t>
      </w:r>
      <w:r>
        <w:t xml:space="preserve"> </w:t>
      </w:r>
      <w:r>
        <w:t xml:space="preserve">(Bouavichith et al. 2019)</w:t>
      </w:r>
      <w:r>
        <w:t xml:space="preserve">. Unusually, participants in</w:t>
      </w:r>
      <w:r>
        <w:t xml:space="preserve"> </w:t>
      </w:r>
      <w:r>
        <w:t xml:space="preserve">the present study’s</w:t>
      </w:r>
      <w:r>
        <w:t xml:space="preserve"> </w:t>
      </w:r>
      <w:r>
        <w:t xml:space="preserve">‘unhidden’</w:t>
      </w:r>
      <w:r>
        <w:t xml:space="preserve"> </w:t>
      </w:r>
      <w:r>
        <w:t xml:space="preserve">instruction condition were briefed, in</w:t>
      </w:r>
      <w:r>
        <w:t xml:space="preserve"> </w:t>
      </w:r>
      <w:r>
        <w:t xml:space="preserve">the instructions, about the guise manipulation. They were instructed</w:t>
      </w:r>
      <w:r>
        <w:t xml:space="preserve"> </w:t>
      </w:r>
      <w:r>
        <w:t xml:space="preserve">that the man or woman in the photo was not associated with the voice</w:t>
      </w:r>
      <w:r>
        <w:t xml:space="preserve"> </w:t>
      </w:r>
      <w:r>
        <w:t xml:space="preserve">they were listening to.</w:t>
      </w:r>
      <w:r>
        <w:t xml:space="preserve"> </w:t>
      </w:r>
      <w:r>
        <w:t xml:space="preserve">(Campbell-Kibler 2021)</w:t>
      </w:r>
      <w:r>
        <w:t xml:space="preserve">, using a similar</w:t>
      </w:r>
      <w:r>
        <w:t xml:space="preserve"> </w:t>
      </w:r>
      <w:r>
        <w:t xml:space="preserve">manipulation, finds that listeners have some ability to disregard social</w:t>
      </w:r>
      <w:r>
        <w:t xml:space="preserve"> </w:t>
      </w:r>
      <w:r>
        <w:t xml:space="preserve">information when making accentedness or attractiveness judgments but</w:t>
      </w:r>
      <w:r>
        <w:t xml:space="preserve"> </w:t>
      </w:r>
      <w:r>
        <w:t xml:space="preserve">that influence of available social information, particularly from the</w:t>
      </w:r>
      <w:r>
        <w:t xml:space="preserve"> </w:t>
      </w:r>
      <w:r>
        <w:t xml:space="preserve">voice, is difficult to disregard completely. In the present study,</w:t>
      </w:r>
      <w:r>
        <w:t xml:space="preserve"> </w:t>
      </w:r>
      <w:r>
        <w:t xml:space="preserve">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w:t>
      </w:r>
      <w:r>
        <w:t xml:space="preserve"> </w:t>
      </w:r>
      <w:r>
        <w:t xml:space="preserve">stimulus.</w:t>
      </w:r>
    </w:p>
    <w:bookmarkEnd w:id="22"/>
    <w:bookmarkEnd w:id="23"/>
    <w:bookmarkStart w:id="39" w:name="method"/>
    <w:p>
      <w:pPr>
        <w:pStyle w:val="Heading1"/>
      </w:pPr>
      <w:r>
        <w:t xml:space="preserve">Method</w:t>
      </w:r>
    </w:p>
    <w:bookmarkStart w:id="24" w:name="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4"/>
    <w:bookmarkStart w:id="30" w:name="stimulus-materials"/>
    <w:p>
      <w:pPr>
        <w:pStyle w:val="Heading2"/>
      </w:pPr>
      <w:r>
        <w:t xml:space="preserve">Stimulus Materials</w:t>
      </w:r>
    </w:p>
    <w:bookmarkStart w:id="29" w:name="auditory-stimuli"/>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8" w:name="fig-stimuli"/>
          <w:p>
            <w:pPr>
              <w:pStyle w:val="Compact"/>
              <w:jc w:val="center"/>
            </w:pPr>
            <w:r>
              <w:drawing>
                <wp:inline>
                  <wp:extent cx="4754880" cy="3361404"/>
                  <wp:effectExtent b="0" l="0" r="0" t="0"/>
                  <wp:docPr descr="" title=""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8"/>
        </w:tc>
      </w:tr>
    </w:tbl>
    <w:bookmarkEnd w:id="29"/>
    <w:bookmarkEnd w:id="30"/>
    <w:bookmarkStart w:id="36" w:name="explicit-evaluations-of-auditory-stimuli"/>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5" w:name="visual-stimuli"/>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4" w:name="fig-visual"/>
          <w:p>
            <w:pPr>
              <w:pStyle w:val="Compact"/>
              <w:jc w:val="center"/>
            </w:pPr>
            <w:r>
              <w:drawing>
                <wp:inline>
                  <wp:extent cx="4754880" cy="4754880"/>
                  <wp:effectExtent b="0" l="0" r="0" t="0"/>
                  <wp:docPr descr="" title="" id="32" name="Picture"/>
                  <a:graphic>
                    <a:graphicData uri="http://schemas.openxmlformats.org/drawingml/2006/picture">
                      <pic:pic>
                        <pic:nvPicPr>
                          <pic:cNvPr descr="images/facesanddrawings.jpg" id="33" name="Picture"/>
                          <pic:cNvPicPr>
                            <a:picLocks noChangeArrowheads="1" noChangeAspect="1"/>
                          </pic:cNvPicPr>
                        </pic:nvPicPr>
                        <pic:blipFill>
                          <a:blip r:embed="rId31"/>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4"/>
        </w:tc>
      </w:tr>
    </w:tbl>
    <w:bookmarkEnd w:id="35"/>
    <w:bookmarkEnd w:id="36"/>
    <w:bookmarkStart w:id="38" w:name="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7"/>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8"/>
    <w:bookmarkEnd w:id="39"/>
    <w:bookmarkStart w:id="43" w:name="predicted-results"/>
    <w:p>
      <w:pPr>
        <w:pStyle w:val="Heading1"/>
      </w:pPr>
      <w:r>
        <w:t xml:space="preserve">Predicted Results</w:t>
      </w:r>
    </w:p>
    <w:bookmarkStart w:id="40" w:name="face-male-or-femal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0"/>
    <w:bookmarkStart w:id="41" w:name="congruence-pairing-of-face-and-voi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1"/>
    <w:bookmarkStart w:id="42" w:name="guise-hidden-or-unhidden"/>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2"/>
    <w:bookmarkEnd w:id="43"/>
    <w:bookmarkStart w:id="63" w:name="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2" w:name="ʃ-s-percepts"/>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7" w:name="fig-scurve"/>
          <w:p>
            <w:pPr>
              <w:pStyle w:val="Compact"/>
              <w:jc w:val="center"/>
            </w:pPr>
            <w:r>
              <w:drawing>
                <wp:inline>
                  <wp:extent cx="4754880" cy="2937285"/>
                  <wp:effectExtent b="0" l="0" r="0" t="0"/>
                  <wp:docPr descr="" title="" id="45" name="Picture"/>
                  <a:graphic>
                    <a:graphicData uri="http://schemas.openxmlformats.org/drawingml/2006/picture">
                      <pic:pic>
                        <pic:nvPicPr>
                          <pic:cNvPr descr="images/Scurve.png" id="46" name="Picture"/>
                          <pic:cNvPicPr>
                            <a:picLocks noChangeArrowheads="1" noChangeAspect="1"/>
                          </pic:cNvPicPr>
                        </pic:nvPicPr>
                        <pic:blipFill>
                          <a:blip r:embed="rId44"/>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7"/>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1" w:name="fig-rimes"/>
          <w:p>
            <w:pPr>
              <w:pStyle w:val="Compact"/>
              <w:jc w:val="center"/>
            </w:pPr>
            <w:r>
              <w:drawing>
                <wp:inline>
                  <wp:extent cx="4754880" cy="2937285"/>
                  <wp:effectExtent b="0" l="0" r="0" t="0"/>
                  <wp:docPr descr="" title="" id="49" name="Picture"/>
                  <a:graphic>
                    <a:graphicData uri="http://schemas.openxmlformats.org/drawingml/2006/picture">
                      <pic:pic>
                        <pic:nvPicPr>
                          <pic:cNvPr descr="images/ambiguous-by-rime-step.png" id="50" name="Picture"/>
                          <pic:cNvPicPr>
                            <a:picLocks noChangeArrowheads="1" noChangeAspect="1"/>
                          </pic:cNvPicPr>
                        </pic:nvPicPr>
                        <pic:blipFill>
                          <a:blip r:embed="rId48"/>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1"/>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2"/>
    <w:bookmarkStart w:id="57" w:name="X4404f4c35ed7b8817c56c221b22ebc46f898c63"/>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6" w:name="fig-coefs"/>
          <w:p>
            <w:pPr>
              <w:pStyle w:val="Compact"/>
              <w:jc w:val="center"/>
            </w:pPr>
            <w:r>
              <w:drawing>
                <wp:inline>
                  <wp:extent cx="4754880" cy="3169919"/>
                  <wp:effectExtent b="0" l="0" r="0" t="0"/>
                  <wp:docPr descr="" title="" id="54" name="Picture"/>
                  <a:graphic>
                    <a:graphicData uri="http://schemas.openxmlformats.org/drawingml/2006/picture">
                      <pic:pic>
                        <pic:nvPicPr>
                          <pic:cNvPr descr="images/coefs_instruction.png" id="55" name="Picture"/>
                          <pic:cNvPicPr>
                            <a:picLocks noChangeArrowheads="1" noChangeAspect="1"/>
                          </pic:cNvPicPr>
                        </pic:nvPicPr>
                        <pic:blipFill>
                          <a:blip r:embed="rId53"/>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6"/>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7"/>
    <w:bookmarkStart w:id="62" w:name="response-times"/>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coefs-logRT"/>
          <w:p>
            <w:pPr>
              <w:pStyle w:val="Compact"/>
              <w:jc w:val="center"/>
            </w:pPr>
            <w:r>
              <w:drawing>
                <wp:inline>
                  <wp:extent cx="4754880" cy="3169919"/>
                  <wp:effectExtent b="0" l="0" r="0" t="0"/>
                  <wp:docPr descr="" title="" id="59" name="Picture"/>
                  <a:graphic>
                    <a:graphicData uri="http://schemas.openxmlformats.org/drawingml/2006/picture">
                      <pic:pic>
                        <pic:nvPicPr>
                          <pic:cNvPr descr="images/coefs-logRT_instructions.png" id="60" name="Picture"/>
                          <pic:cNvPicPr>
                            <a:picLocks noChangeArrowheads="1" noChangeAspect="1"/>
                          </pic:cNvPicPr>
                        </pic:nvPicPr>
                        <pic:blipFill>
                          <a:blip r:embed="rId58"/>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1"/>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2"/>
    <w:bookmarkEnd w:id="63"/>
    <w:bookmarkStart w:id="64"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(Niedzielski 1999; Hay, Nolan, and Drager 2006;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1991b)</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4"/>
    <w:bookmarkStart w:id="183"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volume)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Start w:id="182" w:name="references"/>
    <w:p>
      <w:pPr>
        <w:pStyle w:val="Heading2"/>
      </w:pPr>
      <w:r>
        <w:t xml:space="preserve">References</w:t>
      </w:r>
    </w:p>
    <w:bookmarkStart w:id="181" w:name="refs"/>
    <w:bookmarkStart w:id="65"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5"/>
    <w:bookmarkStart w:id="66" w:name="ref-BabelVolume"/>
    <w:p>
      <w:pPr>
        <w:pStyle w:val="Bibliography"/>
      </w:pPr>
      <w:r>
        <w:t xml:space="preserve">Babel, Anna M. This volume.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6"/>
    <w:bookmarkStart w:id="67" w:name="ref-babelCampbell-kiblerMcGowanVolume"/>
    <w:p>
      <w:pPr>
        <w:pStyle w:val="Bibliography"/>
      </w:pPr>
      <w:r>
        <w:t xml:space="preserve">Babel, Anna M., Kathryn Campbell-Kibler, and Kevin B. McGowan. This volume.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67"/>
    <w:bookmarkStart w:id="68"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8"/>
    <w:bookmarkStart w:id="69"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69"/>
    <w:bookmarkStart w:id="71"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0">
        <w:r>
          <w:rPr>
            <w:rStyle w:val="Hyperlink"/>
          </w:rPr>
          <w:t xml:space="preserve">http://CRAN.R-project.org/package=lme4</w:t>
        </w:r>
      </w:hyperlink>
      <w:r>
        <w:t xml:space="preserve">.</w:t>
      </w:r>
    </w:p>
    <w:bookmarkEnd w:id="71"/>
    <w:bookmarkStart w:id="72"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2"/>
    <w:bookmarkStart w:id="74"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3">
        <w:r>
          <w:rPr>
            <w:rStyle w:val="Hyperlink"/>
          </w:rPr>
          <w:t xml:space="preserve">https://doi.org/10.1121/1.5101933</w:t>
        </w:r>
      </w:hyperlink>
      <w:r>
        <w:t xml:space="preserve">.</w:t>
      </w:r>
    </w:p>
    <w:bookmarkEnd w:id="74"/>
    <w:bookmarkStart w:id="76"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5">
        <w:r>
          <w:rPr>
            <w:rStyle w:val="Hyperlink"/>
          </w:rPr>
          <w:t xml:space="preserve">https://doi.org/10.1017/S0954394521000089</w:t>
        </w:r>
      </w:hyperlink>
      <w:r>
        <w:t xml:space="preserve">.</w:t>
      </w:r>
    </w:p>
    <w:bookmarkEnd w:id="76"/>
    <w:bookmarkStart w:id="77"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7"/>
    <w:bookmarkStart w:id="78"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78"/>
    <w:bookmarkStart w:id="79"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79"/>
    <w:bookmarkStart w:id="80"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0"/>
    <w:bookmarkStart w:id="81"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1"/>
    <w:bookmarkStart w:id="82"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2"/>
    <w:bookmarkStart w:id="83"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3"/>
    <w:bookmarkStart w:id="84" w:name="ref-campbell-kiblerVolume"/>
    <w:p>
      <w:pPr>
        <w:pStyle w:val="Bibliography"/>
      </w:pPr>
      <w:r>
        <w:t xml:space="preserve">———. This volume.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4"/>
    <w:bookmarkStart w:id="85"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5"/>
    <w:bookmarkStart w:id="86"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6"/>
    <w:bookmarkStart w:id="88"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87">
        <w:r>
          <w:rPr>
            <w:rStyle w:val="Hyperlink"/>
          </w:rPr>
          <w:t xml:space="preserve">https://doi.org/10.1037/xlm0000137</w:t>
        </w:r>
      </w:hyperlink>
      <w:r>
        <w:t xml:space="preserve">.</w:t>
      </w:r>
    </w:p>
    <w:bookmarkEnd w:id="88"/>
    <w:bookmarkStart w:id="89"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89"/>
    <w:bookmarkStart w:id="90"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0"/>
    <w:bookmarkStart w:id="92"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1">
        <w:r>
          <w:rPr>
            <w:rStyle w:val="Hyperlink"/>
          </w:rPr>
          <w:t xml:space="preserve">https://doi.org/10.1016/s0010-0277(00)00123-2</w:t>
        </w:r>
      </w:hyperlink>
      <w:r>
        <w:t xml:space="preserve">.</w:t>
      </w:r>
    </w:p>
    <w:bookmarkEnd w:id="92"/>
    <w:bookmarkStart w:id="93"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3"/>
    <w:bookmarkStart w:id="94"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4"/>
    <w:bookmarkStart w:id="95"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5"/>
    <w:bookmarkStart w:id="96"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96"/>
    <w:bookmarkStart w:id="97"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97"/>
    <w:bookmarkStart w:id="98"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98"/>
    <w:bookmarkStart w:id="99"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99"/>
    <w:bookmarkStart w:id="100"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0"/>
    <w:bookmarkStart w:id="101"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1"/>
    <w:bookmarkStart w:id="102"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2"/>
    <w:bookmarkStart w:id="103"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3"/>
    <w:bookmarkStart w:id="104"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4"/>
    <w:bookmarkStart w:id="106"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5">
        <w:r>
          <w:rPr>
            <w:rStyle w:val="Hyperlink"/>
          </w:rPr>
          <w:t xml:space="preserve">https://doi.org/10.3389/fpsyg.2015.00500</w:t>
        </w:r>
      </w:hyperlink>
      <w:r>
        <w:t xml:space="preserve">.</w:t>
      </w:r>
    </w:p>
    <w:bookmarkEnd w:id="106"/>
    <w:bookmarkStart w:id="108" w:name="ref-GreenEtAl1991"/>
    <w:p>
      <w:pPr>
        <w:pStyle w:val="Bibliography"/>
      </w:pPr>
      <w:r>
        <w:t xml:space="preserve">Green, Kerry, Patricia Kuhl, Andrew Meltzoff, and Erica Stevens. 1991b.</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07">
        <w:r>
          <w:rPr>
            <w:rStyle w:val="Hyperlink"/>
          </w:rPr>
          <w:t xml:space="preserve">http://dx.doi.org/10.3758/BF03207536</w:t>
        </w:r>
      </w:hyperlink>
      <w:r>
        <w:t xml:space="preserve">.</w:t>
      </w:r>
    </w:p>
    <w:bookmarkEnd w:id="108"/>
    <w:bookmarkStart w:id="109" w:name="ref-greenKuhlMeltzoffStevens1991"/>
    <w:p>
      <w:pPr>
        <w:pStyle w:val="Bibliography"/>
      </w:pPr>
      <w:r>
        <w:t xml:space="preserve">———. 1991a.</w:t>
      </w:r>
      <w:r>
        <w:t xml:space="preserve"> </w:t>
      </w:r>
      <w:r>
        <w:t xml:space="preserve">“Integrating Speech Information Across Talkers, Gender, and Sensory Modality:</w:t>
      </w:r>
      <w:r>
        <w:t xml:space="preserve"> </w:t>
      </w:r>
      <w:r>
        <w:t xml:space="preserve">Female</w:t>
      </w:r>
      <w:r>
        <w:t xml:space="preserve"> </w:t>
      </w:r>
      <w:r>
        <w:t xml:space="preserve">Faces and Male Voices in the</w:t>
      </w:r>
      <w:r>
        <w:t xml:space="preserve"> </w:t>
      </w:r>
      <w:r>
        <w:t xml:space="preserve">McGurk</w:t>
      </w:r>
      <w:r>
        <w:t xml:space="preserve"> </w:t>
      </w:r>
      <w:r>
        <w:t xml:space="preserve">Effect.”</w:t>
      </w:r>
      <w:r>
        <w:t xml:space="preserve"> </w:t>
      </w:r>
      <w:r>
        <w:rPr>
          <w:i/>
          <w:iCs/>
        </w:rPr>
        <w:t xml:space="preserve">Attention, Perception, &amp; Psychophysics</w:t>
      </w:r>
      <w:r>
        <w:t xml:space="preserve"> </w:t>
      </w:r>
      <w:r>
        <w:t xml:space="preserve">50 (6): 524–36.</w:t>
      </w:r>
      <w:r>
        <w:t xml:space="preserve"> </w:t>
      </w:r>
      <w:hyperlink r:id="rId107">
        <w:r>
          <w:rPr>
            <w:rStyle w:val="Hyperlink"/>
          </w:rPr>
          <w:t xml:space="preserve">http://dx.doi.org/10.3758/BF03207536</w:t>
        </w:r>
      </w:hyperlink>
      <w:r>
        <w:t xml:space="preserve">.</w:t>
      </w:r>
    </w:p>
    <w:bookmarkEnd w:id="109"/>
    <w:bookmarkStart w:id="110" w:name="ref-hadodoVolume"/>
    <w:p>
      <w:pPr>
        <w:pStyle w:val="Bibliography"/>
      </w:pPr>
      <w:r>
        <w:t xml:space="preserve">Hadodo, Matthew. this volume.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0"/>
    <w:bookmarkStart w:id="111"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1"/>
    <w:bookmarkStart w:id="112"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2"/>
    <w:bookmarkStart w:id="113"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3"/>
    <w:bookmarkStart w:id="114"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4"/>
    <w:bookmarkStart w:id="115"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5"/>
    <w:bookmarkStart w:id="116"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16"/>
    <w:bookmarkStart w:id="118"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17">
        <w:r>
          <w:rPr>
            <w:rStyle w:val="Hyperlink"/>
          </w:rPr>
          <w:t xml:space="preserve">http://www.jstor.org/stable/522229</w:t>
        </w:r>
      </w:hyperlink>
      <w:r>
        <w:t xml:space="preserve">.</w:t>
      </w:r>
    </w:p>
    <w:bookmarkEnd w:id="118"/>
    <w:bookmarkStart w:id="119"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19"/>
    <w:bookmarkStart w:id="120"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0"/>
    <w:bookmarkStart w:id="121"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1"/>
    <w:bookmarkStart w:id="122" w:name="ref-kunisakifujisaki1977"/>
    <w:p>
      <w:pPr>
        <w:pStyle w:val="Bibliography"/>
      </w:pPr>
      <w:r>
        <w:t xml:space="preserve">Kunisaki, Osamu, and Hyroya Fujisaki. 1977.</w:t>
      </w:r>
      <w:r>
        <w:t xml:space="preserve"> </w:t>
      </w:r>
      <w:r>
        <w:t xml:space="preserve">“On the Influence of Context Upon Perception of Voiceless Fricative Consonants.”</w:t>
      </w:r>
      <w:r>
        <w:t xml:space="preserve"> </w:t>
      </w:r>
      <w:r>
        <w:rPr>
          <w:i/>
          <w:iCs/>
        </w:rPr>
        <w:t xml:space="preserve">Annual Bulletin</w:t>
      </w:r>
      <w:r>
        <w:t xml:space="preserve"> </w:t>
      </w:r>
      <w:r>
        <w:t xml:space="preserve">11: 85–91.</w:t>
      </w:r>
    </w:p>
    <w:bookmarkEnd w:id="122"/>
    <w:bookmarkStart w:id="123"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3"/>
    <w:bookmarkStart w:id="124"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4"/>
    <w:bookmarkStart w:id="126"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5">
        <w:r>
          <w:rPr>
            <w:rStyle w:val="Hyperlink"/>
          </w:rPr>
          <w:t xml:space="preserve">https://doi.org/10.1371/journal.pone.0130834</w:t>
        </w:r>
      </w:hyperlink>
      <w:r>
        <w:t xml:space="preserve">.</w:t>
      </w:r>
    </w:p>
    <w:bookmarkEnd w:id="126"/>
    <w:bookmarkStart w:id="128"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27">
        <w:r>
          <w:rPr>
            <w:rStyle w:val="Hyperlink"/>
          </w:rPr>
          <w:t xml:space="preserve">https://doi.org/10.3109/13682826809011440</w:t>
        </w:r>
      </w:hyperlink>
      <w:r>
        <w:t xml:space="preserve">.</w:t>
      </w:r>
    </w:p>
    <w:bookmarkEnd w:id="128"/>
    <w:bookmarkStart w:id="129"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29"/>
    <w:bookmarkStart w:id="131" w:name="ref-imagemagick"/>
    <w:p>
      <w:pPr>
        <w:pStyle w:val="Bibliography"/>
      </w:pPr>
      <w:r>
        <w:t xml:space="preserve">LLC, ImageMagick Studio. 2023.</w:t>
      </w:r>
      <w:r>
        <w:t xml:space="preserve"> </w:t>
      </w:r>
      <w:r>
        <w:t xml:space="preserve">“ImageMagick.”</w:t>
      </w:r>
      <w:r>
        <w:t xml:space="preserve"> </w:t>
      </w:r>
      <w:hyperlink r:id="rId130">
        <w:r>
          <w:rPr>
            <w:rStyle w:val="Hyperlink"/>
          </w:rPr>
          <w:t xml:space="preserve">https://imagemagick.org</w:t>
        </w:r>
      </w:hyperlink>
      <w:r>
        <w:t xml:space="preserve">.</w:t>
      </w:r>
    </w:p>
    <w:bookmarkEnd w:id="131"/>
    <w:bookmarkStart w:id="133"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2">
        <w:r>
          <w:rPr>
            <w:rStyle w:val="Hyperlink"/>
          </w:rPr>
          <w:t xml:space="preserve">https://doi.org/10.3758/s13428-014-0532-5</w:t>
        </w:r>
      </w:hyperlink>
      <w:r>
        <w:t xml:space="preserve">.</w:t>
      </w:r>
    </w:p>
    <w:bookmarkEnd w:id="133"/>
    <w:bookmarkStart w:id="134"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4"/>
    <w:bookmarkStart w:id="136"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35">
        <w:r>
          <w:rPr>
            <w:rStyle w:val="Hyperlink"/>
          </w:rPr>
          <w:t xml:space="preserve">https://doi.org/10.1016/j.wocn.2011.10.002</w:t>
        </w:r>
      </w:hyperlink>
      <w:r>
        <w:t xml:space="preserve">.</w:t>
      </w:r>
    </w:p>
    <w:bookmarkEnd w:id="136"/>
    <w:bookmarkStart w:id="137"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37"/>
    <w:bookmarkStart w:id="138"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38"/>
    <w:bookmarkStart w:id="139"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39"/>
    <w:bookmarkStart w:id="140"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0"/>
    <w:bookmarkStart w:id="141"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1"/>
    <w:bookmarkStart w:id="142"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2"/>
    <w:bookmarkStart w:id="143"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3"/>
    <w:bookmarkStart w:id="144"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4"/>
    <w:bookmarkStart w:id="145"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45"/>
    <w:bookmarkStart w:id="146"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46"/>
    <w:bookmarkStart w:id="147"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47"/>
    <w:bookmarkStart w:id="148"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48"/>
    <w:bookmarkStart w:id="149"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49"/>
    <w:bookmarkStart w:id="150" w:name="ref-ohala1984"/>
    <w:p>
      <w:pPr>
        <w:pStyle w:val="Bibliography"/>
      </w:pPr>
      <w:r>
        <w:t xml:space="preserve">Ohala, John J. 1984.</w:t>
      </w:r>
      <w:r>
        <w:t xml:space="preserve"> </w:t>
      </w:r>
      <w:r>
        <w:t xml:space="preserve">“An Ethological Perspective on Common Cross-Language Utilization of F₀ of Voice.”</w:t>
      </w:r>
      <w:r>
        <w:t xml:space="preserve"> </w:t>
      </w:r>
      <w:r>
        <w:rPr>
          <w:i/>
          <w:iCs/>
        </w:rPr>
        <w:t xml:space="preserve">Phonetica</w:t>
      </w:r>
      <w:r>
        <w:t xml:space="preserve"> </w:t>
      </w:r>
      <w:r>
        <w:t xml:space="preserve">41 (1): 1–16.</w:t>
      </w:r>
    </w:p>
    <w:bookmarkEnd w:id="150"/>
    <w:bookmarkStart w:id="151" w:name="ref-ohala1994"/>
    <w:p>
      <w:pPr>
        <w:pStyle w:val="Bibliography"/>
      </w:pPr>
      <w:r>
        <w:t xml:space="preserve">———. 1994.</w:t>
      </w:r>
      <w:r>
        <w:t xml:space="preserve"> </w:t>
      </w:r>
      <w:r>
        <w:t xml:space="preserve">“The Frequency Code Underlies the Sound-Symbolic Use of Voice Pitch.”</w:t>
      </w:r>
      <w:r>
        <w:t xml:space="preserve"> </w:t>
      </w:r>
      <w:r>
        <w:rPr>
          <w:i/>
          <w:iCs/>
        </w:rPr>
        <w:t xml:space="preserve">Sound Symbolism</w:t>
      </w:r>
      <w:r>
        <w:t xml:space="preserve">, 325–47.</w:t>
      </w:r>
    </w:p>
    <w:bookmarkEnd w:id="151"/>
    <w:bookmarkStart w:id="152"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2"/>
    <w:bookmarkStart w:id="153"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3"/>
    <w:bookmarkStart w:id="154"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4"/>
    <w:bookmarkStart w:id="155"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5"/>
    <w:bookmarkStart w:id="156"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56"/>
    <w:bookmarkStart w:id="157"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57"/>
    <w:bookmarkStart w:id="159"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58">
        <w:r>
          <w:rPr>
            <w:rStyle w:val="Hyperlink"/>
          </w:rPr>
          <w:t xml:space="preserve">https://doi.org/10.1093/oxfordhb/9780199600472.001.0001</w:t>
        </w:r>
      </w:hyperlink>
      <w:r>
        <w:t xml:space="preserve">.</w:t>
      </w:r>
    </w:p>
    <w:bookmarkEnd w:id="159"/>
    <w:bookmarkStart w:id="160"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0"/>
    <w:bookmarkStart w:id="161"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1"/>
    <w:bookmarkStart w:id="162" w:name="ref-rubin1992"/>
    <w:p>
      <w:pPr>
        <w:pStyle w:val="Bibliography"/>
      </w:pPr>
      <w:r>
        <w:t xml:space="preserve">Rubin, Donald L. 1992.</w:t>
      </w:r>
      <w:r>
        <w:t xml:space="preserve"> </w:t>
      </w:r>
      <w:r>
        <w:t xml:space="preserve">“Nonlanguage Factors Affecting Undergraduates’ Judgments of Nonnative English-Speaking Teaching Assistants.”</w:t>
      </w:r>
      <w:r>
        <w:t xml:space="preserve"> </w:t>
      </w:r>
      <w:r>
        <w:rPr>
          <w:i/>
          <w:iCs/>
        </w:rPr>
        <w:t xml:space="preserve">Research in Higher Education</w:t>
      </w:r>
      <w:r>
        <w:t xml:space="preserve"> </w:t>
      </w:r>
      <w:r>
        <w:t xml:space="preserve">33 (4): 511–31.</w:t>
      </w:r>
    </w:p>
    <w:bookmarkEnd w:id="162"/>
    <w:bookmarkStart w:id="163"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3"/>
    <w:bookmarkStart w:id="164"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4"/>
    <w:bookmarkStart w:id="166"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5">
        <w:r>
          <w:rPr>
            <w:rStyle w:val="Hyperlink"/>
          </w:rPr>
          <w:t xml:space="preserve">https://doi.org/10.3758/BF03197491</w:t>
        </w:r>
      </w:hyperlink>
      <w:r>
        <w:t xml:space="preserve">.</w:t>
      </w:r>
    </w:p>
    <w:bookmarkEnd w:id="166"/>
    <w:bookmarkStart w:id="167"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67"/>
    <w:bookmarkStart w:id="168" w:name="ref-steckerDOnofrioVolume"/>
    <w:p>
      <w:pPr>
        <w:pStyle w:val="Bibliography"/>
      </w:pPr>
      <w:r>
        <w:t xml:space="preserve">Stecker, Amelia, and Annette D’Onofrio. This volume.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68"/>
    <w:bookmarkStart w:id="169"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69"/>
    <w:bookmarkStart w:id="170"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0"/>
    <w:bookmarkStart w:id="171"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1"/>
    <w:bookmarkStart w:id="172"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2"/>
    <w:bookmarkStart w:id="173"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73"/>
    <w:bookmarkStart w:id="174" w:name="ref-whalen1981"/>
    <w:p>
      <w:pPr>
        <w:pStyle w:val="Bibliography"/>
      </w:pPr>
      <w:r>
        <w:t xml:space="preserve">Whalen, Douglas H. 1981.</w:t>
      </w:r>
      <w:r>
        <w:t xml:space="preserve"> </w:t>
      </w:r>
      <w:r>
        <w:t xml:space="preserve">“Effects of Vocalic Formant Transitions and Vowel Quality on the English [s]–[</w:t>
      </w:r>
      <w:r>
        <w:t xml:space="preserve">š</w:t>
      </w:r>
      <w:r>
        <w:t xml:space="preserve">] Boundary.”</w:t>
      </w:r>
      <w:r>
        <w:t xml:space="preserve"> </w:t>
      </w:r>
      <w:r>
        <w:rPr>
          <w:i/>
          <w:iCs/>
        </w:rPr>
        <w:t xml:space="preserve">The Journal of the Acoustical Society of America</w:t>
      </w:r>
      <w:r>
        <w:t xml:space="preserve"> </w:t>
      </w:r>
      <w:r>
        <w:t xml:space="preserve">69 (1): 275–82.</w:t>
      </w:r>
    </w:p>
    <w:bookmarkEnd w:id="174"/>
    <w:bookmarkStart w:id="175" w:name="ref-whalen1984"/>
    <w:p>
      <w:pPr>
        <w:pStyle w:val="Bibliography"/>
      </w:pPr>
      <w:r>
        <w:t xml:space="preserve">———.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5"/>
    <w:bookmarkStart w:id="176" w:name="ref-whalen1991"/>
    <w:p>
      <w:pPr>
        <w:pStyle w:val="Bibliography"/>
      </w:pPr>
      <w:r>
        <w:t xml:space="preserve">———. 1991.</w:t>
      </w:r>
      <w:r>
        <w:t xml:space="preserve"> </w:t>
      </w:r>
      <w:r>
        <w:t xml:space="preserve">“Perception of the English/s/–/</w:t>
      </w:r>
      <w:r>
        <w:t xml:space="preserve">/Distinction Relies on Fricative Noises and Transitions, Not on Brief Spectral Slices.”</w:t>
      </w:r>
      <w:r>
        <w:t xml:space="preserve"> </w:t>
      </w:r>
      <w:r>
        <w:rPr>
          <w:i/>
          <w:iCs/>
        </w:rPr>
        <w:t xml:space="preserve">The Journal of the Acoustical Society of America</w:t>
      </w:r>
      <w:r>
        <w:t xml:space="preserve"> </w:t>
      </w:r>
      <w:r>
        <w:t xml:space="preserve">90 (4): 1776–85.</w:t>
      </w:r>
    </w:p>
    <w:bookmarkEnd w:id="176"/>
    <w:bookmarkStart w:id="177"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7"/>
    <w:bookmarkStart w:id="178"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8"/>
    <w:bookmarkStart w:id="179"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79"/>
    <w:bookmarkStart w:id="180"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0"/>
    <w:bookmarkEnd w:id="181"/>
    <w:bookmarkEnd w:id="182"/>
    <w:bookmarkEnd w:id="18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7">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31" Target="media/rId31.jpg" /><Relationship Type="http://schemas.openxmlformats.org/officeDocument/2006/relationships/image" Id="rId25" Target="media/rId25.png" /><Relationship Type="http://schemas.openxmlformats.org/officeDocument/2006/relationships/hyperlink" Id="rId70" Target="http://CRAN.R-project.org/package=lme4" TargetMode="External" /><Relationship Type="http://schemas.openxmlformats.org/officeDocument/2006/relationships/hyperlink" Id="rId107" Target="http://dx.doi.org/10.3758/BF03207536" TargetMode="External" /><Relationship Type="http://schemas.openxmlformats.org/officeDocument/2006/relationships/hyperlink" Id="rId117" Target="http://www.jstor.org/stable/522229" TargetMode="External" /><Relationship Type="http://schemas.openxmlformats.org/officeDocument/2006/relationships/hyperlink" Id="rId135" Target="https://doi.org/10.1016/j.wocn.2011.10.002" TargetMode="External" /><Relationship Type="http://schemas.openxmlformats.org/officeDocument/2006/relationships/hyperlink" Id="rId91" Target="https://doi.org/10.1016/s0010-0277(00)00123-2" TargetMode="External" /><Relationship Type="http://schemas.openxmlformats.org/officeDocument/2006/relationships/hyperlink" Id="rId75" Target="https://doi.org/10.1017/S0954394521000089" TargetMode="External" /><Relationship Type="http://schemas.openxmlformats.org/officeDocument/2006/relationships/hyperlink" Id="rId87" Target="https://doi.org/10.1037/xlm0000137" TargetMode="External" /><Relationship Type="http://schemas.openxmlformats.org/officeDocument/2006/relationships/hyperlink" Id="rId158" Target="https://doi.org/10.1093/oxfordhb/9780199600472.001.0001" TargetMode="External" /><Relationship Type="http://schemas.openxmlformats.org/officeDocument/2006/relationships/hyperlink" Id="rId73" Target="https://doi.org/10.1121/1.5101933" TargetMode="External" /><Relationship Type="http://schemas.openxmlformats.org/officeDocument/2006/relationships/hyperlink" Id="rId125" Target="https://doi.org/10.1371/journal.pone.0130834" TargetMode="External" /><Relationship Type="http://schemas.openxmlformats.org/officeDocument/2006/relationships/hyperlink" Id="rId127" Target="https://doi.org/10.3109/13682826809011440" TargetMode="External" /><Relationship Type="http://schemas.openxmlformats.org/officeDocument/2006/relationships/hyperlink" Id="rId105" Target="https://doi.org/10.3389/fpsyg.2015.00500" TargetMode="External" /><Relationship Type="http://schemas.openxmlformats.org/officeDocument/2006/relationships/hyperlink" Id="rId165" Target="https://doi.org/10.3758/BF03197491" TargetMode="External" /><Relationship Type="http://schemas.openxmlformats.org/officeDocument/2006/relationships/hyperlink" Id="rId132" Target="https://doi.org/10.3758/s13428-014-0532-5" TargetMode="External" /><Relationship Type="http://schemas.openxmlformats.org/officeDocument/2006/relationships/hyperlink" Id="rId130"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0" Target="http://CRAN.R-project.org/package=lme4" TargetMode="External" /><Relationship Type="http://schemas.openxmlformats.org/officeDocument/2006/relationships/hyperlink" Id="rId107" Target="http://dx.doi.org/10.3758/BF03207536" TargetMode="External" /><Relationship Type="http://schemas.openxmlformats.org/officeDocument/2006/relationships/hyperlink" Id="rId117" Target="http://www.jstor.org/stable/522229" TargetMode="External" /><Relationship Type="http://schemas.openxmlformats.org/officeDocument/2006/relationships/hyperlink" Id="rId135" Target="https://doi.org/10.1016/j.wocn.2011.10.002" TargetMode="External" /><Relationship Type="http://schemas.openxmlformats.org/officeDocument/2006/relationships/hyperlink" Id="rId91" Target="https://doi.org/10.1016/s0010-0277(00)00123-2" TargetMode="External" /><Relationship Type="http://schemas.openxmlformats.org/officeDocument/2006/relationships/hyperlink" Id="rId75" Target="https://doi.org/10.1017/S0954394521000089" TargetMode="External" /><Relationship Type="http://schemas.openxmlformats.org/officeDocument/2006/relationships/hyperlink" Id="rId87" Target="https://doi.org/10.1037/xlm0000137" TargetMode="External" /><Relationship Type="http://schemas.openxmlformats.org/officeDocument/2006/relationships/hyperlink" Id="rId158" Target="https://doi.org/10.1093/oxfordhb/9780199600472.001.0001" TargetMode="External" /><Relationship Type="http://schemas.openxmlformats.org/officeDocument/2006/relationships/hyperlink" Id="rId73" Target="https://doi.org/10.1121/1.5101933" TargetMode="External" /><Relationship Type="http://schemas.openxmlformats.org/officeDocument/2006/relationships/hyperlink" Id="rId125" Target="https://doi.org/10.1371/journal.pone.0130834" TargetMode="External" /><Relationship Type="http://schemas.openxmlformats.org/officeDocument/2006/relationships/hyperlink" Id="rId127" Target="https://doi.org/10.3109/13682826809011440" TargetMode="External" /><Relationship Type="http://schemas.openxmlformats.org/officeDocument/2006/relationships/hyperlink" Id="rId105" Target="https://doi.org/10.3389/fpsyg.2015.00500" TargetMode="External" /><Relationship Type="http://schemas.openxmlformats.org/officeDocument/2006/relationships/hyperlink" Id="rId165" Target="https://doi.org/10.3758/BF03197491" TargetMode="External" /><Relationship Type="http://schemas.openxmlformats.org/officeDocument/2006/relationships/hyperlink" Id="rId132" Target="https://doi.org/10.3758/s13428-014-0532-5" TargetMode="External" /><Relationship Type="http://schemas.openxmlformats.org/officeDocument/2006/relationships/hyperlink" Id="rId130"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2024-10-25T18:17:07Z</dcterms:created>
  <dcterms:modified xsi:type="dcterms:W3CDTF">2024-10-25T18:17:07Z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2024-10-25</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