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Title</w:t>
      </w:r>
    </w:p>
    <w:p>
      <w:pPr>
        <w:pStyle w:val="Heading1"/>
      </w:pPr>
      <w:r>
        <w:t>Objectives</w:t>
      </w:r>
    </w:p>
    <w:p>
      <w:pPr>
        <w:pStyle w:val="ListBullet"/>
      </w:pPr>
    </w:p>
    <w:p>
      <w:pPr>
        <w:pStyle w:val="ListBullet"/>
      </w:pPr>
      <w:r>
        <w:t>objective1</w:t>
      </w:r>
    </w:p>
    <w:p>
      <w:pPr>
        <w:pStyle w:val="ListBullet"/>
      </w:pPr>
      <w:r>
        <w:t>objective2</w:t>
      </w:r>
    </w:p>
    <w:p>
      <w:pPr>
        <w:pStyle w:val="ListBullet"/>
      </w:pPr>
      <w:r>
        <w:t>objective3</w:t>
      </w:r>
    </w:p>
    <w:p>
      <w:pPr>
        <w:pStyle w:val="ListBullet"/>
      </w:pPr>
      <w:r>
        <w:t>objective4</w:t>
      </w:r>
    </w:p>
    <w:p>
      <w:pPr>
        <w:pStyle w:val="ListBullet"/>
      </w:pPr>
      <w:r>
        <w:t>objective5</w:t>
      </w:r>
    </w:p>
    <w:p>
      <w:pPr>
        <w:pStyle w:val="Heading1"/>
      </w:pPr>
      <w:r>
        <w:t>Text Blob</w:t>
      </w:r>
    </w:p>
    <w:p>
      <w:pPr>
        <w:pStyle w:val="Heading2"/>
      </w:pPr>
      <w:r>
        <w:t>objective1</w:t>
      </w:r>
    </w:p>
    <w:p>
      <w:r>
        <w:t>Here is objective relavent text</w:t>
      </w:r>
    </w:p>
    <w:p>
      <w:pPr>
        <w:pStyle w:val="Heading2"/>
      </w:pPr>
      <w:r>
        <w:t>objective2</w:t>
      </w:r>
    </w:p>
    <w:p>
      <w:r>
        <w:t>Here is objective relavent text</w:t>
      </w:r>
    </w:p>
    <w:p>
      <w:pPr>
        <w:pStyle w:val="Heading2"/>
      </w:pPr>
      <w:r>
        <w:t>objective3</w:t>
      </w:r>
    </w:p>
    <w:p>
      <w:r>
        <w:t>Here is objective relavent text</w:t>
      </w:r>
    </w:p>
    <w:p>
      <w:pPr>
        <w:pStyle w:val="Heading2"/>
      </w:pPr>
      <w:r>
        <w:t>objective4</w:t>
      </w:r>
    </w:p>
    <w:p>
      <w:r>
        <w:t>Here is objective relavent text</w:t>
      </w:r>
    </w:p>
    <w:p>
      <w:pPr>
        <w:pStyle w:val="Heading2"/>
      </w:pPr>
      <w:r>
        <w:t>objective5</w:t>
      </w:r>
    </w:p>
    <w:p>
      <w:r>
        <w:t>Here is objective relavent text</w:t>
      </w:r>
    </w:p>
    <w:p>
      <w:pPr>
        <w:pStyle w:val="Heading1"/>
      </w:pPr>
      <w:r>
        <w:t>Summary</w:t>
      </w:r>
    </w:p>
    <w:p>
      <w:pPr>
        <w:pStyle w:val="Heading1"/>
      </w:pPr>
      <w:r>
        <w:t>Questions</w:t>
      </w:r>
    </w:p>
    <w:p>
      <w:pPr>
        <w:pStyle w:val="Heading1"/>
      </w:pPr>
      <w:r>
        <w:t>Sources</w:t>
      </w:r>
    </w:p>
    <w:p>
      <w:r>
        <w:t xml:space="preserve">Negative experiences included the following: emergency physicians telling patients they do not know enough about transgender persons to provide care, postponement of care, refusing to examine certain parts of a transgender individual’s body, and use of belittling or harassing language towards the transgender patient (15). Transgender patients report invasive and insensitive questions, postponement of care, and health care providers with inadequate medical knowledge of transgender health care. Educating pre-clerkship medical students on the barriers faced by transgender patients seeking health care will contribute to more positive interactions with transgender patients.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