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DF57A4"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DF57A4"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DF57A4" w:rsidP="00CB5DD7">
      <w:pPr>
        <w:rPr>
          <w:rFonts w:ascii="Tahoma" w:hAnsi="Tahoma" w:cs="Tahoma"/>
          <w:b/>
          <w:noProof/>
          <w:color w:val="FF0000"/>
          <w:lang w:eastAsia="pl-PL"/>
        </w:rPr>
      </w:pPr>
      <w:r w:rsidRPr="00DF57A4">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DF57A4" w:rsidP="003326AA">
      <w:pPr>
        <w:spacing w:line="240" w:lineRule="auto"/>
        <w:rPr>
          <w:rFonts w:ascii="Tahoma" w:hAnsi="Tahoma" w:cs="Tahoma"/>
        </w:rPr>
      </w:pPr>
      <w:r w:rsidRPr="00DF57A4">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DF57A4">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DF57A4">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57DC1">
        <w:rPr>
          <w:rFonts w:ascii="Tahoma" w:hAnsi="Tahoma" w:cs="Tahoma"/>
          <w:color w:val="FF0000"/>
        </w:rPr>
        <w:t xml:space="preserve"> na podobnym, ujemnym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DF57A4" w:rsidRPr="00DF57A4">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DF57A4" w:rsidRPr="00DF57A4">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516BB3" w:rsidRPr="00E258D9" w:rsidRDefault="00590D09" w:rsidP="00516BB3">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57A4">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57A4">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57A4">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DF57A4" w:rsidRPr="00DF57A4">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7"/>
      <w:headerReference w:type="default" r:id="rId8"/>
      <w:footerReference w:type="even" r:id="rId9"/>
      <w:footerReference w:type="default" r:id="rId10"/>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9DE" w:rsidRDefault="007F39DE">
      <w:r>
        <w:separator/>
      </w:r>
    </w:p>
  </w:endnote>
  <w:endnote w:type="continuationSeparator" w:id="1">
    <w:p w:rsidR="007F39DE" w:rsidRDefault="007F39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DF57A4" w:rsidP="00CE41CA">
    <w:pPr>
      <w:pStyle w:val="Stopka"/>
      <w:framePr w:wrap="around" w:vAnchor="text" w:hAnchor="margin" w:xAlign="right" w:y="1"/>
      <w:rPr>
        <w:rStyle w:val="Numerstrony"/>
      </w:rPr>
    </w:pPr>
    <w:r>
      <w:rPr>
        <w:rStyle w:val="Numerstrony"/>
      </w:rPr>
      <w:fldChar w:fldCharType="begin"/>
    </w:r>
    <w:r w:rsidR="000E7F92">
      <w:rPr>
        <w:rStyle w:val="Numerstrony"/>
      </w:rPr>
      <w:instrText xml:space="preserve">PAGE  </w:instrText>
    </w:r>
    <w:r>
      <w:rPr>
        <w:rStyle w:val="Numerstrony"/>
      </w:rPr>
      <w:fldChar w:fldCharType="end"/>
    </w:r>
  </w:p>
  <w:p w:rsidR="000E7F92" w:rsidRDefault="000E7F9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CE41CA">
    <w:pPr>
      <w:spacing w:after="20" w:line="240" w:lineRule="auto"/>
      <w:ind w:left="513" w:firstLine="57"/>
      <w:rPr>
        <w:b/>
        <w:color w:val="262626"/>
        <w:sz w:val="12"/>
        <w:szCs w:val="12"/>
      </w:rPr>
    </w:pPr>
  </w:p>
  <w:p w:rsidR="000E7F92" w:rsidRDefault="000E7F92" w:rsidP="00CE41CA">
    <w:pPr>
      <w:spacing w:after="20" w:line="240" w:lineRule="auto"/>
      <w:ind w:left="513" w:firstLine="57"/>
      <w:rPr>
        <w:b/>
        <w:color w:val="262626"/>
        <w:sz w:val="12"/>
        <w:szCs w:val="12"/>
      </w:rPr>
    </w:pPr>
  </w:p>
  <w:p w:rsidR="000E7F92" w:rsidRPr="00BA6572" w:rsidRDefault="00DF57A4" w:rsidP="00B72401">
    <w:pPr>
      <w:pStyle w:val="Stopka"/>
      <w:ind w:right="360"/>
      <w:rPr>
        <w:color w:val="262626"/>
        <w:sz w:val="12"/>
        <w:szCs w:val="12"/>
      </w:rPr>
    </w:pPr>
    <w:r w:rsidRPr="00DF57A4">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DF57A4">
      <w:rPr>
        <w:b/>
        <w:noProof/>
        <w:lang w:eastAsia="pl-PL"/>
      </w:rPr>
      <w:pict>
        <v:rect id="_x0000_s2049" style="position:absolute;margin-left:-53.85pt;margin-top:15pt;width:37.7pt;height:54pt;z-index:251656704" fillcolor="#f90" strokecolor="#f90" strokeweight="2.5pt">
          <v:shadow color="#868686"/>
        </v:rect>
      </w:pict>
    </w:r>
    <w:r w:rsidR="000E7F92" w:rsidRPr="00A91EE4">
      <w:rPr>
        <w:b/>
        <w:noProof/>
        <w:color w:val="262626"/>
        <w:sz w:val="12"/>
        <w:szCs w:val="12"/>
        <w:lang w:eastAsia="pl-PL"/>
      </w:rPr>
      <w:t>Info Veriti</w:t>
    </w:r>
    <w:r w:rsidR="000E7F92" w:rsidRPr="00BA6572">
      <w:rPr>
        <w:b/>
        <w:color w:val="262626"/>
        <w:sz w:val="12"/>
        <w:szCs w:val="12"/>
      </w:rPr>
      <w:t xml:space="preserve"> Polska</w:t>
    </w:r>
    <w:r w:rsidR="000E7F92">
      <w:rPr>
        <w:b/>
        <w:color w:val="262626"/>
        <w:sz w:val="12"/>
        <w:szCs w:val="12"/>
      </w:rPr>
      <w:tab/>
    </w:r>
    <w:r w:rsidR="000E7F92" w:rsidRPr="00B72401">
      <w:rPr>
        <w:sz w:val="18"/>
        <w:szCs w:val="18"/>
      </w:rPr>
      <w:t>Materiały poufne, przeznaczone wyłącznie do użytku wewnętrznego.</w:t>
    </w:r>
  </w:p>
  <w:p w:rsidR="000E7F92" w:rsidRPr="00BA6572" w:rsidRDefault="000E7F9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0E7F92" w:rsidRPr="00BA6572" w:rsidRDefault="000E7F9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0E7F92" w:rsidRPr="00BA6572" w:rsidRDefault="000E7F9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0E7F92" w:rsidRDefault="000E7F9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0E7F92" w:rsidRPr="00CE41CA" w:rsidRDefault="00DF57A4"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0E7F9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9DE" w:rsidRDefault="007F39DE">
      <w:r>
        <w:separator/>
      </w:r>
    </w:p>
  </w:footnote>
  <w:footnote w:type="continuationSeparator" w:id="1">
    <w:p w:rsidR="007F39DE" w:rsidRDefault="007F39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DF57A4" w:rsidP="00851FD5">
    <w:pPr>
      <w:pStyle w:val="Nagwek"/>
      <w:framePr w:wrap="around" w:vAnchor="text" w:hAnchor="margin" w:xAlign="right" w:y="1"/>
      <w:rPr>
        <w:rStyle w:val="Numerstrony"/>
      </w:rPr>
    </w:pPr>
    <w:r>
      <w:rPr>
        <w:rStyle w:val="Numerstrony"/>
      </w:rPr>
      <w:fldChar w:fldCharType="begin"/>
    </w:r>
    <w:r w:rsidR="000E7F92">
      <w:rPr>
        <w:rStyle w:val="Numerstrony"/>
      </w:rPr>
      <w:instrText xml:space="preserve">PAGE  </w:instrText>
    </w:r>
    <w:r>
      <w:rPr>
        <w:rStyle w:val="Numerstrony"/>
      </w:rPr>
      <w:fldChar w:fldCharType="end"/>
    </w:r>
  </w:p>
  <w:p w:rsidR="000E7F92" w:rsidRDefault="000E7F9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7650">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9DE"/>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f60"/>
    </o:shapedefaults>
    <o:shapelayout v:ext="edit">
      <o:idmap v:ext="edit" data="1"/>
      <o:rules v:ext="edit">
        <o:r id="V:Rule13" type="connector" idref="#_x0000_s1042"/>
        <o:r id="V:Rule14" type="connector" idref="#_x0000_s1041"/>
        <o:r id="V:Rule15" type="connector" idref="#_x0000_s1043"/>
        <o:r id="V:Rule16" type="connector" idref="#_x0000_s1046"/>
        <o:r id="V:Rule17" type="connector" idref="#_x0000_s1054"/>
        <o:r id="V:Rule18" type="connector" idref="#_x0000_s1047"/>
        <o:r id="V:Rule19" type="connector" idref="#_x0000_s1053"/>
        <o:r id="V:Rule20" type="connector" idref="#_x0000_s1049"/>
        <o:r id="V:Rule21" type="connector" idref="#_x0000_s1050"/>
        <o:r id="V:Rule22" type="connector" idref="#_x0000_s1048"/>
        <o:r id="V:Rule23" type="connector" idref="#_x0000_s1044"/>
        <o:r id="V:Rule2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21</Pages>
  <Words>3981</Words>
  <Characters>23891</Characters>
  <Application>Microsoft Office Word</Application>
  <DocSecurity>0</DocSecurity>
  <Lines>199</Lines>
  <Paragraphs>55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27817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34</cp:revision>
  <cp:lastPrinted>2017-10-26T09:32:00Z</cp:lastPrinted>
  <dcterms:created xsi:type="dcterms:W3CDTF">2018-11-21T19:17:00Z</dcterms:created>
  <dcterms:modified xsi:type="dcterms:W3CDTF">2019-03-28T18:25:00Z</dcterms:modified>
</cp:coreProperties>
</file>