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051929"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051929"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051929" w:rsidP="00CB5DD7">
      <w:pPr>
        <w:rPr>
          <w:rFonts w:ascii="Tahoma" w:hAnsi="Tahoma" w:cs="Tahoma"/>
          <w:b/>
          <w:noProof/>
          <w:color w:val="FF0000"/>
          <w:lang w:eastAsia="pl-PL"/>
        </w:rPr>
      </w:pPr>
      <w:r w:rsidRPr="00051929">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051929" w:rsidP="003326AA">
      <w:pPr>
        <w:spacing w:line="240" w:lineRule="auto"/>
        <w:rPr>
          <w:rFonts w:ascii="Tahoma" w:hAnsi="Tahoma" w:cs="Tahoma"/>
        </w:rPr>
      </w:pPr>
      <w:r w:rsidRPr="00051929">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051929">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051929">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57DC1">
        <w:rPr>
          <w:rFonts w:ascii="Tahoma" w:hAnsi="Tahoma" w:cs="Tahoma"/>
          <w:color w:val="FF0000"/>
        </w:rPr>
        <w:t xml:space="preserve"> na podobnym, ujemnym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051929" w:rsidRPr="00051929">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051929" w:rsidRPr="00051929">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Badając aktywa trwałe należy stwierdzić, że firma przyjmuje długą pozycję na aktywach. Wartość udziału aktywów trwałych w sumie bilansowej była na dość stabilnym poziomie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trwałych w sumie bilansowej w kolejnych latach wynosił 76,33% w 2016, 73,79% w 2017 roku</w:t>
      </w:r>
      <w:r w:rsidRPr="00EA71E9">
        <w:rPr>
          <w:rFonts w:ascii="Tahoma" w:eastAsia="Times New Roman" w:hAnsi="Tahoma" w:cs="Tahoma"/>
          <w:lang w:eastAsia="pl-PL"/>
        </w:rPr>
        <w:t xml:space="preserve">. </w:t>
      </w:r>
      <w:r w:rsidRPr="00354171">
        <w:rPr>
          <w:rFonts w:ascii="Tahoma" w:eastAsia="Times New Roman" w:hAnsi="Tahoma" w:cs="Tahoma"/>
          <w:color w:val="00B050"/>
          <w:lang w:eastAsia="pl-PL"/>
        </w:rPr>
        <w:t>W 2018 roku udział ten spadł i wyniósł 69,47%.Do największych pozycji aktywów trwałych zaliczyć można: budynki, lokale i obiekty, urządzenia techniczne i maszyny, grunty w tym prawa wieczyste.</w:t>
      </w:r>
      <w:r>
        <w:rPr>
          <w:rFonts w:ascii="Tahoma" w:eastAsia="Times New Roman" w:hAnsi="Tahoma" w:cs="Tahoma"/>
          <w:color w:val="00B050"/>
          <w:lang w:eastAsia="pl-PL"/>
        </w:rPr>
        <w:t xml:space="preserve"> </w:t>
      </w:r>
      <w:r w:rsidRPr="00354171">
        <w:rPr>
          <w:rFonts w:ascii="Tahoma" w:eastAsia="Times New Roman" w:hAnsi="Tahoma" w:cs="Tahoma"/>
          <w:color w:val="00B050"/>
          <w:lang w:eastAsia="pl-PL"/>
        </w:rPr>
        <w:t>Dynamika wartości aktywów trwałych wskazuje, iż pozycja ta wykazała się ujemną dynamiką w 2018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B0B12" w:rsidRDefault="00A57E7D" w:rsidP="00A57E7D">
      <w:pPr>
        <w:pStyle w:val="NormalnyWeb"/>
        <w:jc w:val="center"/>
        <w:rPr>
          <w:rFonts w:ascii="Tahoma" w:hAnsi="Tahoma" w:cs="Tahoma"/>
          <w:color w:val="000000"/>
          <w:sz w:val="20"/>
          <w:szCs w:val="20"/>
        </w:rPr>
      </w:pPr>
      <w:r>
        <w:rPr>
          <w:noProof/>
        </w:rPr>
        <w:drawing>
          <wp:inline distT="0" distB="0" distL="0" distR="0">
            <wp:extent cx="5184775" cy="2294890"/>
            <wp:effectExtent l="0" t="0" r="0" b="0"/>
            <wp:docPr id="10"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Udział aktywów obrotowych w sumie bilansowej dość istotnie zmienił się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obrotowych w sumie bilansowej w kolejnych latach wynosił 23,67% w 2016, 26,21% w 2017 roku. W 2018 roku udział ten wzrósł i wyniósł 30,53%.</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Pr="00354171">
        <w:rPr>
          <w:rFonts w:ascii="Tahoma" w:eastAsia="Times New Roman" w:hAnsi="Tahoma" w:cs="Tahoma"/>
          <w:color w:val="00B050"/>
          <w:lang w:eastAsia="pl-PL"/>
        </w:rPr>
        <w:t>zwiększa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w:t>
      </w:r>
      <w:r w:rsidRPr="00354171">
        <w:rPr>
          <w:rFonts w:ascii="Tahoma" w:eastAsia="Times New Roman" w:hAnsi="Tahoma" w:cs="Tahoma"/>
          <w:color w:val="00B050"/>
          <w:lang w:eastAsia="pl-PL"/>
        </w:rPr>
        <w:lastRenderedPageBreak/>
        <w:t>stanowią bardzo duży udział w wartości pasywów</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Wartość udziału kapitałów własnych w sumie bilansowej utrzymuje się w kolejnych latach odpowiednio na poziomie 92,73% w 2016 roku, 93,30% w 2017 roku i 92,39% w roku 2018.</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Widać zatem pogorszenie wyników w 2018 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Wartość udziału pasywów krótkoterminowych w 2018 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2018 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051929" w:rsidP="00A57E7D">
      <w:pPr>
        <w:autoSpaceDE w:val="0"/>
        <w:autoSpaceDN w:val="0"/>
        <w:adjustRightInd w:val="0"/>
        <w:spacing w:after="0" w:line="360" w:lineRule="auto"/>
        <w:jc w:val="both"/>
        <w:rPr>
          <w:rFonts w:eastAsia="Times New Roman"/>
          <w:b/>
          <w:bCs/>
          <w:lang w:eastAsia="pl-PL"/>
        </w:rPr>
      </w:pPr>
      <w:r w:rsidRPr="00051929">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zajmowała w latach 2016, 2017, 2018 bardzo bezpieczną pozycję z punktu widzenia dostawców. Jest to bardzo korzystny sygnał. Tak dobre wyniki należą do rzadkości. Wyniki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na tym poziomie należy uznać za jej silną stronę. Zaznaczyć jednocześnie należy, że wyniki tej firmy mieszczą się powyżej wartości średnich dla branży.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uzyskuje wyniki płynności bieżącej w latach 2017 - 2018 na stabilnym poziomie. Wartości płynności bieżącej i szybkiej były w analizowanym okresie na bardzo korzystnym poziomie. Dynamika w 2018 roku na płynności bieżącej była na dość niekorzystnym poziomie i wyniosła (-1,70)%. Ocena płynności gotówkowej w 2018 roku pozwala na przyznanie maksymalnej liczby punktów, gdyż wyniki tej firmy wskazują, iż jest ona w stanie pokryć wszystkie zobowiązania 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A57E7D" w:rsidRPr="00271901">
        <w:rPr>
          <w:rFonts w:ascii="Tahoma" w:hAnsi="Tahoma" w:cs="Tahoma"/>
          <w:color w:val="00B050"/>
          <w:sz w:val="22"/>
          <w:szCs w:val="22"/>
        </w:rPr>
        <w:t xml:space="preserve">Ważną obserwacją są wyniki dynamiki w 2018 dla płynności gotówkowej, które wskazują, że </w:t>
      </w:r>
      <w:r w:rsidRPr="00CF0A9D">
        <w:rPr>
          <w:rFonts w:ascii="Tahoma" w:hAnsi="Tahoma" w:cs="Tahoma"/>
          <w:sz w:val="22"/>
          <w:szCs w:val="22"/>
        </w:rPr>
        <w:t>${firma}</w:t>
      </w:r>
      <w:r w:rsidR="00A57E7D" w:rsidRPr="00271901">
        <w:rPr>
          <w:rFonts w:ascii="Tahoma" w:hAnsi="Tahoma" w:cs="Tahoma"/>
          <w:color w:val="00B050"/>
          <w:sz w:val="22"/>
          <w:szCs w:val="22"/>
        </w:rPr>
        <w:t xml:space="preserve"> zmniejszyła wartość najistotniejszego wskaźnika płynności</w:t>
      </w:r>
      <w:r w:rsidR="00A57E7D" w:rsidRPr="009D4560">
        <w:rPr>
          <w:rFonts w:ascii="Tahoma" w:hAnsi="Tahoma" w:cs="Tahoma"/>
          <w:sz w:val="22"/>
          <w:szCs w:val="22"/>
        </w:rPr>
        <w:t xml:space="preserve">. </w:t>
      </w:r>
    </w:p>
    <w:p w:rsidR="00A57E7D" w:rsidRPr="000B0B12" w:rsidRDefault="00A57E7D" w:rsidP="00A57E7D">
      <w:pPr>
        <w:pStyle w:val="NormalnyWeb"/>
        <w:spacing w:after="240" w:afterAutospacing="0" w:line="360" w:lineRule="auto"/>
        <w:jc w:val="both"/>
        <w:rPr>
          <w:rFonts w:ascii="Tahoma" w:hAnsi="Tahoma" w:cs="Tahoma"/>
          <w:sz w:val="22"/>
          <w:szCs w:val="22"/>
        </w:rPr>
      </w:pPr>
      <w:r>
        <w:rPr>
          <w:noProof/>
        </w:rPr>
        <w:lastRenderedPageBreak/>
        <w:drawing>
          <wp:inline distT="0" distB="0" distL="0" distR="0">
            <wp:extent cx="6288405" cy="2225675"/>
            <wp:effectExtent l="0" t="0" r="0" b="0"/>
            <wp:docPr id="11"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A57E7D" w:rsidRDefault="00A57E7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271901">
        <w:rPr>
          <w:rFonts w:ascii="Tahoma" w:hAnsi="Tahoma" w:cs="Tahoma"/>
          <w:color w:val="00B050"/>
          <w:sz w:val="22"/>
          <w:szCs w:val="22"/>
        </w:rPr>
        <w:t xml:space="preserve">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należności pozwalają stwierdzić, że wartości te są na korzystnym poziomie, gdyż wskazują na szybkie inkasowanie środków od klientów przez </w:t>
      </w:r>
      <w:r w:rsidR="00A87D71" w:rsidRPr="00A87D71">
        <w:rPr>
          <w:rFonts w:ascii="Tahoma" w:hAnsi="Tahoma" w:cs="Tahoma"/>
          <w:sz w:val="22"/>
          <w:szCs w:val="22"/>
        </w:rPr>
        <w:t>${firma}</w:t>
      </w:r>
      <w:r w:rsidRPr="00271901">
        <w:rPr>
          <w:rFonts w:ascii="Tahoma" w:hAnsi="Tahoma" w:cs="Tahoma"/>
          <w:color w:val="00B050"/>
          <w:sz w:val="22"/>
          <w:szCs w:val="22"/>
        </w:rPr>
        <w:t xml:space="preserve">. Zmiany wartości tego wskaźnika w 2018 są na niekorzystnym poziomie, gdyż zauważono dość istotne zwiększenie wartości na rotacji należności. Jest to negatywny sygnał. W następnej kolejności oceniano 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zobowiązań. Wyniki te pozwalają stwierdzić, że </w:t>
      </w:r>
      <w:r w:rsidR="00A87D71" w:rsidRPr="00A87D71">
        <w:rPr>
          <w:rFonts w:ascii="Tahoma" w:hAnsi="Tahoma" w:cs="Tahoma"/>
          <w:sz w:val="22"/>
          <w:szCs w:val="22"/>
        </w:rPr>
        <w:t>${firma}</w:t>
      </w:r>
      <w:r w:rsidRPr="00271901">
        <w:rPr>
          <w:rFonts w:ascii="Tahoma" w:hAnsi="Tahoma" w:cs="Tahoma"/>
          <w:color w:val="00B050"/>
          <w:sz w:val="22"/>
          <w:szCs w:val="22"/>
        </w:rPr>
        <w:t xml:space="preserve"> osiąga wartości na bardzo korzystnym poziomie, gdyż wskazują na bardzo szybkie spłacanie zobowiązań przez </w:t>
      </w:r>
      <w:r w:rsidR="00A87D71" w:rsidRPr="00A87D71">
        <w:rPr>
          <w:rFonts w:ascii="Tahoma" w:hAnsi="Tahoma" w:cs="Tahoma"/>
          <w:sz w:val="22"/>
          <w:szCs w:val="22"/>
        </w:rPr>
        <w:t>${firma}</w:t>
      </w:r>
      <w:r w:rsidRPr="00271901">
        <w:rPr>
          <w:rFonts w:ascii="Tahoma" w:hAnsi="Tahoma" w:cs="Tahoma"/>
          <w:color w:val="00B050"/>
          <w:sz w:val="22"/>
          <w:szCs w:val="22"/>
        </w:rPr>
        <w:t>. Wartości wskaźnika rotacji zobowiązań w 2018 zostały istotnie podniesione. Jest to negatywny sygnał, gdyż jednocześnie wzrastają zagrożenia na okresy kolejne</w:t>
      </w:r>
      <w:r w:rsidRPr="00097A26">
        <w:rPr>
          <w:rFonts w:ascii="Tahoma" w:hAnsi="Tahoma" w:cs="Tahoma"/>
          <w:sz w:val="22"/>
          <w:szCs w:val="22"/>
        </w:rPr>
        <w:t>.</w:t>
      </w:r>
    </w:p>
    <w:p w:rsidR="00A57E7D" w:rsidRPr="000B0B12" w:rsidRDefault="00A57E7D"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lastRenderedPageBreak/>
        <w:br/>
      </w:r>
      <w:r>
        <w:rPr>
          <w:noProof/>
        </w:rPr>
        <w:drawing>
          <wp:inline distT="0" distB="0" distL="0" distR="0">
            <wp:extent cx="5184775" cy="2241043"/>
            <wp:effectExtent l="0" t="0" r="0" b="0"/>
            <wp:docPr id="12"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271901">
        <w:rPr>
          <w:rFonts w:ascii="Tahoma" w:hAnsi="Tahoma" w:cs="Tahoma"/>
          <w:color w:val="00B050"/>
          <w:sz w:val="22"/>
          <w:szCs w:val="22"/>
        </w:rPr>
        <w:t xml:space="preserve">Analiza cyklu konwersji gotówkowej wskazuje na finansowanie cyklu handlowego przez </w:t>
      </w:r>
      <w:r w:rsidR="00A87D71" w:rsidRPr="00A87D71">
        <w:rPr>
          <w:rFonts w:ascii="Tahoma" w:hAnsi="Tahoma" w:cs="Tahoma"/>
          <w:sz w:val="22"/>
          <w:szCs w:val="22"/>
        </w:rPr>
        <w:t>${firma}</w:t>
      </w:r>
      <w:r w:rsidRPr="00271901">
        <w:rPr>
          <w:rFonts w:ascii="Tahoma" w:hAnsi="Tahoma" w:cs="Tahoma"/>
          <w:color w:val="00B050"/>
          <w:sz w:val="22"/>
          <w:szCs w:val="22"/>
        </w:rPr>
        <w:t xml:space="preserve"> z kapitałów własnych, o czym świadczy dodatnia wartość. Wartości wskaźnika cyklu konwersji gotówkowej w 2018 zostały podniesione. Jest to pozytywny sygnał, gdyż wskazuje na większe finansowanie cyklu handlowego przez </w:t>
      </w:r>
      <w:r w:rsidR="00A87D71" w:rsidRPr="00A87D71">
        <w:rPr>
          <w:rFonts w:ascii="Tahoma" w:hAnsi="Tahoma" w:cs="Tahoma"/>
          <w:sz w:val="22"/>
          <w:szCs w:val="22"/>
        </w:rPr>
        <w:t>${firma}</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Badając wskaźnik ROI </w:t>
      </w:r>
      <w:r w:rsidR="00A87D71" w:rsidRPr="00A87D71">
        <w:rPr>
          <w:rFonts w:ascii="Tahoma" w:hAnsi="Tahoma" w:cs="Tahoma"/>
        </w:rPr>
        <w:t>${firma}</w:t>
      </w:r>
      <w:r w:rsidRPr="00271901">
        <w:rPr>
          <w:rFonts w:ascii="Tahoma" w:eastAsia="Times New Roman" w:hAnsi="Tahoma" w:cs="Tahoma"/>
          <w:color w:val="00B050"/>
          <w:lang w:eastAsia="pl-PL"/>
        </w:rPr>
        <w:t xml:space="preserve"> należy stwierdzić, że osiągnęła ona w 2018 roku wartości na umiarkowanym poziomie. Wartości te wskazują na niezbyt wysoki zwrot na posiadanych przez Spółkę aktywach. Następnie badano wyniki wskaźnika ROE i na podstawie wyników tego wskaźnika można stwierdzić, iż w roku 2018 znajdował się na umiarkowanym poziomie. Wartość tego wskaźnika pozwala jednak na pozytywne ocenienie </w:t>
      </w:r>
      <w:r w:rsidR="00A87D71" w:rsidRPr="00A87D71">
        <w:rPr>
          <w:rFonts w:ascii="Tahoma" w:hAnsi="Tahoma" w:cs="Tahoma"/>
        </w:rPr>
        <w:t>${firma}</w:t>
      </w:r>
      <w:r w:rsidRPr="00271901">
        <w:rPr>
          <w:rFonts w:ascii="Tahoma" w:eastAsia="Times New Roman" w:hAnsi="Tahoma" w:cs="Tahoma"/>
          <w:color w:val="00B050"/>
          <w:lang w:eastAsia="pl-PL"/>
        </w:rPr>
        <w:t xml:space="preserve">. Ważną obserwacją są wyniki dynamiki ROE w 2018, które wskazują, że </w:t>
      </w:r>
      <w:r w:rsidR="00A87D71" w:rsidRPr="00A87D71">
        <w:rPr>
          <w:rFonts w:ascii="Tahoma" w:hAnsi="Tahoma" w:cs="Tahoma"/>
        </w:rPr>
        <w:t>${firma}</w:t>
      </w:r>
      <w:r w:rsidRPr="00271901">
        <w:rPr>
          <w:rFonts w:ascii="Tahoma" w:eastAsia="Times New Roman" w:hAnsi="Tahoma" w:cs="Tahoma"/>
          <w:color w:val="00B050"/>
          <w:lang w:eastAsia="pl-PL"/>
        </w:rPr>
        <w:t xml:space="preserve"> znacznie zmniejszyła zwrot z inwestycji właścicielskiej. Jest to niekorzystny sygnał </w:t>
      </w:r>
      <w:r w:rsidRPr="00271901">
        <w:rPr>
          <w:rFonts w:ascii="Tahoma" w:eastAsia="Times New Roman" w:hAnsi="Tahoma" w:cs="Tahoma"/>
          <w:color w:val="00B050"/>
          <w:lang w:eastAsia="pl-PL"/>
        </w:rPr>
        <w:lastRenderedPageBreak/>
        <w:t xml:space="preserve">wskazujący na znaczne pogorszenie sytuacji w tej firmie w tym względzie. Ostatnim analizowanym wskaźnikiem jest rentowność przychodów, na tym wskaźniku </w:t>
      </w:r>
      <w:r w:rsidR="00A87D71" w:rsidRPr="00A87D71">
        <w:rPr>
          <w:rFonts w:ascii="Tahoma" w:hAnsi="Tahoma" w:cs="Tahoma"/>
        </w:rPr>
        <w:t>${firma}</w:t>
      </w:r>
      <w:r w:rsidRPr="00271901">
        <w:rPr>
          <w:rFonts w:ascii="Tahoma" w:eastAsia="Times New Roman" w:hAnsi="Tahoma" w:cs="Tahoma"/>
          <w:color w:val="00B050"/>
          <w:lang w:eastAsia="pl-PL"/>
        </w:rPr>
        <w:t xml:space="preserve"> osiąga w 2018 roku umiarkowane wartości. Rentowność przychodów firmy jest na dość niskim poziomie. Podsumowując wyniki rentowności badanego podmiotu należy stwierdzić, że osiągnął on umiarkowane wyniki na rentowności. Wyniki takie stanowią jednak podstawę do wydania pozytywnej opinii nt. tej firmy</w:t>
      </w:r>
      <w:r>
        <w:rPr>
          <w:rFonts w:ascii="Tahoma" w:eastAsia="Times New Roman" w:hAnsi="Tahoma" w:cs="Tahoma"/>
          <w:lang w:eastAsia="pl-PL"/>
        </w:rPr>
        <w:t>.</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271901" w:rsidRDefault="00A57E7D" w:rsidP="00A57E7D">
      <w:pPr>
        <w:pStyle w:val="NormalnyWeb"/>
        <w:jc w:val="center"/>
        <w:rPr>
          <w:color w:val="0070C0"/>
          <w:szCs w:val="20"/>
        </w:rPr>
      </w:pPr>
      <w:r w:rsidRPr="00271901">
        <w:rPr>
          <w:color w:val="0070C0"/>
        </w:rPr>
        <w:tab/>
      </w:r>
      <w:r>
        <w:rPr>
          <w:noProof/>
          <w:color w:val="0070C0"/>
        </w:rPr>
        <w:drawing>
          <wp:inline distT="0" distB="0" distL="0" distR="0">
            <wp:extent cx="5193030" cy="2250184"/>
            <wp:effectExtent l="0" t="0" r="0" b="0"/>
            <wp:docPr id="13"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271901">
        <w:rPr>
          <w:rFonts w:ascii="Tahoma" w:hAnsi="Tahoma" w:cs="Tahoma"/>
          <w:color w:val="00B050"/>
          <w:sz w:val="22"/>
          <w:szCs w:val="22"/>
        </w:rPr>
        <w:t xml:space="preserve">Wskaźnik pokrycia aktywów w 2018 roku znajduje się na bardzo bezpiecznym poziomie. Wskazuje na bardzo duże zaangażowanie właścicielskie w proces finansowania składników majątku Spółki. Osiągnięta na tym wskaźniku dynamika w roku 2018 w stosunku do roku 2017 jest na dość niekorzystnym poziomie, gdyż wskazuje na zmniejszenie pokrycia aktywów przez kapitały własne. </w:t>
      </w:r>
      <w:r w:rsidRPr="00271901">
        <w:rPr>
          <w:rFonts w:ascii="Tahoma" w:hAnsi="Tahoma" w:cs="Tahoma"/>
          <w:color w:val="00B050"/>
          <w:sz w:val="22"/>
          <w:szCs w:val="22"/>
        </w:rPr>
        <w:lastRenderedPageBreak/>
        <w:t xml:space="preserve">Następnie badano wyniki wskaźnika zadłużenia ogólnego i na podstawie jego wyników można stwierdzić, iż w roku 2018 znajdował się na bardzo bezpiecznym poziomie. Wartość tego wskaźnika pozwala na bardzo pozytywne ocenienie </w:t>
      </w:r>
      <w:r w:rsidR="004462DA" w:rsidRPr="00A87D71">
        <w:rPr>
          <w:rFonts w:ascii="Tahoma" w:hAnsi="Tahoma" w:cs="Tahoma"/>
          <w:sz w:val="22"/>
          <w:szCs w:val="22"/>
        </w:rPr>
        <w:t>${firma}</w:t>
      </w:r>
      <w:r w:rsidRPr="00271901">
        <w:rPr>
          <w:rFonts w:ascii="Tahoma" w:hAnsi="Tahoma" w:cs="Tahoma"/>
          <w:color w:val="00B050"/>
          <w:sz w:val="22"/>
          <w:szCs w:val="22"/>
        </w:rPr>
        <w:t>. Dynamika na zadłużeniu w ostatnim z analizowanych lat jest na niekorzystnym poziomie, gdyż wskazuje na zwiększenie poziomu zadłużenia analizowanego podmiotu</w:t>
      </w:r>
      <w:r w:rsidRPr="00BB3D7E">
        <w:rPr>
          <w:rFonts w:ascii="Tahoma" w:hAnsi="Tahoma" w:cs="Tahoma"/>
          <w:sz w:val="22"/>
          <w:szCs w:val="22"/>
        </w:rPr>
        <w:t xml:space="preserve">. </w:t>
      </w:r>
    </w:p>
    <w:p w:rsidR="00A57E7D" w:rsidRDefault="00A57E7D" w:rsidP="00A57E7D">
      <w:pPr>
        <w:spacing w:line="360" w:lineRule="auto"/>
        <w:jc w:val="both"/>
        <w:rPr>
          <w:rFonts w:ascii="Tahoma" w:eastAsia="Times New Roman" w:hAnsi="Tahoma" w:cs="Tahoma"/>
          <w:lang w:eastAsia="pl-PL"/>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271901">
        <w:rPr>
          <w:rFonts w:ascii="Tahoma" w:hAnsi="Tahoma" w:cs="Tahoma"/>
          <w:color w:val="00B050"/>
        </w:rPr>
        <w:t xml:space="preserve">Z wyników odczytać możemy, iż finansowanie w 2018 roku w największym stopniu pochodzi od właściciela. Aktualnie finansowanie zewnętrzne jest zasadniczo niższe od finansowania udzielonego przez właściciela. Jest to korzystny sygnał i pozwala na pozytywne ocenienie badanego podmiotu. Wartości tego wskaźnika pozwalają stwierdzić, iż właściciel zmniejszył wartość finansowania udzielonego (mierzonego udziałem kapitału własnego w sumie bilansowej) </w:t>
      </w:r>
      <w:r w:rsidR="004462DA" w:rsidRPr="00A87D71">
        <w:rPr>
          <w:rFonts w:ascii="Tahoma" w:hAnsi="Tahoma" w:cs="Tahoma"/>
        </w:rPr>
        <w:t>${firma}</w:t>
      </w:r>
      <w:r w:rsidRPr="00271901">
        <w:rPr>
          <w:rFonts w:ascii="Tahoma" w:hAnsi="Tahoma" w:cs="Tahoma"/>
          <w:color w:val="00B050"/>
        </w:rPr>
        <w:t xml:space="preserve"> w 2018 roku w stosunku do roku 2017</w:t>
      </w:r>
      <w:r w:rsidRPr="00BB3D7E">
        <w:rPr>
          <w:rFonts w:ascii="Tahoma" w:eastAsia="Times New Roman" w:hAnsi="Tahoma" w:cs="Tahoma"/>
          <w:lang w:eastAsia="pl-PL"/>
        </w:rPr>
        <w:t xml:space="preserve">. </w:t>
      </w:r>
    </w:p>
    <w:p w:rsidR="00A57E7D" w:rsidRPr="000B0B12" w:rsidRDefault="00A57E7D" w:rsidP="00A57E7D">
      <w:pPr>
        <w:spacing w:line="360" w:lineRule="auto"/>
        <w:jc w:val="center"/>
        <w:rPr>
          <w:color w:val="000000"/>
          <w:szCs w:val="20"/>
        </w:rPr>
      </w:pPr>
      <w:r>
        <w:rPr>
          <w:noProof/>
          <w:lang w:eastAsia="pl-PL"/>
        </w:rPr>
        <w:drawing>
          <wp:inline distT="0" distB="0" distL="0" distR="0">
            <wp:extent cx="5201920" cy="2258950"/>
            <wp:effectExtent l="0" t="0" r="0" b="0"/>
            <wp:docPr id="14"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7E7D" w:rsidRDefault="00A57E7D" w:rsidP="00A57E7D">
      <w:pPr>
        <w:spacing w:after="240" w:line="360" w:lineRule="auto"/>
        <w:jc w:val="both"/>
        <w:rPr>
          <w:rFonts w:ascii="Tahoma" w:hAnsi="Tahoma" w:cs="Tahoma"/>
          <w:color w:val="000000"/>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Pr>
          <w:rFonts w:ascii="Tahoma" w:hAnsi="Tahoma" w:cs="Tahoma"/>
          <w:color w:val="0070C0"/>
        </w:rPr>
        <w:t xml:space="preserve"> </w:t>
      </w:r>
      <w:r w:rsidRPr="00271901">
        <w:rPr>
          <w:rFonts w:ascii="Tahoma" w:hAnsi="Tahoma" w:cs="Tahoma"/>
          <w:color w:val="00B050"/>
        </w:rPr>
        <w:t xml:space="preserve">Analizowana firma wykazuje w 2018 roku dobre wartości na tym wskaźniku, gdyż wskazują one na całkowite pokrycie aktywów trwałych kapitałami własnymi. Obserwując dynamikę tego wskaźnika zauważyć należy, że </w:t>
      </w:r>
      <w:r w:rsidR="004462DA" w:rsidRPr="00A87D71">
        <w:rPr>
          <w:rFonts w:ascii="Tahoma" w:hAnsi="Tahoma" w:cs="Tahoma"/>
        </w:rPr>
        <w:t>${firma}</w:t>
      </w:r>
      <w:r w:rsidRPr="00271901">
        <w:rPr>
          <w:rFonts w:ascii="Tahoma" w:hAnsi="Tahoma" w:cs="Tahoma"/>
          <w:color w:val="00B050"/>
        </w:rPr>
        <w:t xml:space="preserve"> podniosła stopień pokrycia aktywów trwałych kapitałami własnymi. Jest to korzystny sygnał. W 2018 roku udziałowcy finansowali za pomocą kapitału własnego całą wartość aktywów trwałych</w:t>
      </w:r>
      <w:r>
        <w:rPr>
          <w:rFonts w:ascii="Tahoma" w:hAnsi="Tahoma" w:cs="Tahoma"/>
          <w:color w:val="000000"/>
        </w:rPr>
        <w:t>.</w:t>
      </w:r>
    </w:p>
    <w:p w:rsidR="00A57E7D" w:rsidRDefault="00A57E7D" w:rsidP="00A57E7D">
      <w:pPr>
        <w:spacing w:after="240" w:line="360" w:lineRule="auto"/>
        <w:jc w:val="both"/>
        <w:rPr>
          <w:rFonts w:ascii="Tahoma" w:hAnsi="Tahoma" w:cs="Tahoma"/>
          <w:color w:val="000000"/>
        </w:rPr>
      </w:pP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lastRenderedPageBreak/>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osiągnęła bardzo korzystne wyniki na produktywności. Wyniki tej firmy były na znacznie korzystniejszym poziomie niż w branży</w:t>
      </w:r>
      <w:r>
        <w:rPr>
          <w:rFonts w:ascii="Tahoma" w:hAnsi="Tahoma" w:cs="Tahoma"/>
          <w:color w:val="000000"/>
          <w:sz w:val="20"/>
          <w:szCs w:val="20"/>
        </w:rPr>
        <w:t>.</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51929">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51929">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51929">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051929" w:rsidRPr="00051929">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20"/>
      <w:headerReference w:type="default" r:id="rId21"/>
      <w:footerReference w:type="even" r:id="rId22"/>
      <w:footerReference w:type="default" r:id="rId23"/>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0B7" w:rsidRDefault="009570B7">
      <w:r>
        <w:separator/>
      </w:r>
    </w:p>
  </w:endnote>
  <w:endnote w:type="continuationSeparator" w:id="1">
    <w:p w:rsidR="009570B7" w:rsidRDefault="00957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051929"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051929" w:rsidP="00B72401">
    <w:pPr>
      <w:pStyle w:val="Stopka"/>
      <w:ind w:right="360"/>
      <w:rPr>
        <w:color w:val="262626"/>
        <w:sz w:val="12"/>
        <w:szCs w:val="12"/>
      </w:rPr>
    </w:pPr>
    <w:r w:rsidRPr="00051929">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051929">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051929"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0B7" w:rsidRDefault="009570B7">
      <w:r>
        <w:separator/>
      </w:r>
    </w:p>
  </w:footnote>
  <w:footnote w:type="continuationSeparator" w:id="1">
    <w:p w:rsidR="009570B7" w:rsidRDefault="009570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051929"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9698">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f60"/>
    </o:shapedefaults>
    <o:shapelayout v:ext="edit">
      <o:idmap v:ext="edit" data="1"/>
      <o:rules v:ext="edit">
        <o:r id="V:Rule14" type="connector" idref="#_x0000_s1047"/>
        <o:r id="V:Rule15" type="connector" idref="#_x0000_s1053"/>
        <o:r id="V:Rule16" type="connector" idref="#_x0000_s1050"/>
        <o:r id="V:Rule17" type="connector" idref="#_x0000_s1049"/>
        <o:r id="V:Rule18" type="connector" idref="#_x0000_s1048"/>
        <o:r id="V:Rule19" type="connector" idref="#_x0000_s1042"/>
        <o:r id="V:Rule20" type="connector" idref="#_x0000_s1044"/>
        <o:r id="V:Rule21" type="connector" idref="#_x0000_s1054"/>
        <o:r id="V:Rule22" type="connector" idref="#_x0000_s1046"/>
        <o:r id="V:Rule23" type="connector" idref="#_x0000_s1041"/>
        <o:r id="V:Rule24" type="connector" idref="#_x0000_s1055"/>
        <o:r id="V:Rule25" type="connector" idref="#_x0000_s1033"/>
        <o:r id="V:Rule2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view3D>
      <c:hPercent val="52"/>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0.10906885587864049"/>
          <c:y val="5.5248730567344841E-2"/>
          <c:w val="0.67892299052547023"/>
          <c:h val="0.8066314662832359"/>
        </c:manualLayout>
      </c:layout>
      <c:bar3DChart>
        <c:barDir val="col"/>
        <c:grouping val="percentStacked"/>
        <c:ser>
          <c:idx val="0"/>
          <c:order val="0"/>
          <c:tx>
            <c:strRef>
              <c:f>Arkusz1!$A$49</c:f>
              <c:strCache>
                <c:ptCount val="1"/>
                <c:pt idx="0">
                  <c:v>Aktywa trwałe</c:v>
                </c:pt>
              </c:strCache>
            </c:strRef>
          </c:tx>
          <c:spPr>
            <a:solidFill>
              <a:srgbClr val="9999FF"/>
            </a:solidFill>
            <a:ln w="12700">
              <a:solidFill>
                <a:srgbClr val="000000"/>
              </a:solidFill>
              <a:prstDash val="solid"/>
            </a:ln>
          </c:spPr>
          <c:cat>
            <c:numRef>
              <c:f>Arkusz1!$B$22:$F$22</c:f>
              <c:numCache>
                <c:formatCode>General</c:formatCode>
                <c:ptCount val="5"/>
                <c:pt idx="0">
                  <c:v>2018</c:v>
                </c:pt>
                <c:pt idx="1">
                  <c:v>2017</c:v>
                </c:pt>
                <c:pt idx="2">
                  <c:v>2016</c:v>
                </c:pt>
                <c:pt idx="3">
                  <c:v>2014</c:v>
                </c:pt>
                <c:pt idx="4">
                  <c:v>2013</c:v>
                </c:pt>
              </c:numCache>
            </c:numRef>
          </c:cat>
          <c:val>
            <c:numRef>
              <c:f>Arkusz1!$B$49:$F$49</c:f>
              <c:numCache>
                <c:formatCode>0.0%</c:formatCode>
                <c:ptCount val="5"/>
                <c:pt idx="0">
                  <c:v>0.69468052855896167</c:v>
                </c:pt>
                <c:pt idx="1">
                  <c:v>0.73787558968143363</c:v>
                </c:pt>
                <c:pt idx="2">
                  <c:v>0.7632820490911737</c:v>
                </c:pt>
                <c:pt idx="3">
                  <c:v>0.82703117439989693</c:v>
                </c:pt>
                <c:pt idx="4">
                  <c:v>0.84549872391559833</c:v>
                </c:pt>
              </c:numCache>
            </c:numRef>
          </c:val>
          <c:extLst xmlns:c16r2="http://schemas.microsoft.com/office/drawing/2015/06/chart">
            <c:ext xmlns:c16="http://schemas.microsoft.com/office/drawing/2014/chart" uri="{C3380CC4-5D6E-409C-BE32-E72D297353CC}">
              <c16:uniqueId val="{00000000-F848-4122-A10A-722797CD4867}"/>
            </c:ext>
          </c:extLst>
        </c:ser>
        <c:ser>
          <c:idx val="1"/>
          <c:order val="1"/>
          <c:tx>
            <c:strRef>
              <c:f>Arkusz1!$A$50</c:f>
              <c:strCache>
                <c:ptCount val="1"/>
                <c:pt idx="0">
                  <c:v>Aktywa obrotowe</c:v>
                </c:pt>
              </c:strCache>
            </c:strRef>
          </c:tx>
          <c:spPr>
            <a:solidFill>
              <a:srgbClr val="FF6600"/>
            </a:solidFill>
            <a:ln w="12700">
              <a:solidFill>
                <a:srgbClr val="000000"/>
              </a:solidFill>
              <a:prstDash val="solid"/>
            </a:ln>
          </c:spPr>
          <c:cat>
            <c:numRef>
              <c:f>Arkusz1!$B$22:$F$22</c:f>
              <c:numCache>
                <c:formatCode>General</c:formatCode>
                <c:ptCount val="5"/>
                <c:pt idx="0">
                  <c:v>2018</c:v>
                </c:pt>
                <c:pt idx="1">
                  <c:v>2017</c:v>
                </c:pt>
                <c:pt idx="2">
                  <c:v>2016</c:v>
                </c:pt>
                <c:pt idx="3">
                  <c:v>2014</c:v>
                </c:pt>
                <c:pt idx="4">
                  <c:v>2013</c:v>
                </c:pt>
              </c:numCache>
            </c:numRef>
          </c:cat>
          <c:val>
            <c:numRef>
              <c:f>Arkusz1!$B$50:$F$50</c:f>
              <c:numCache>
                <c:formatCode>0.0%</c:formatCode>
                <c:ptCount val="5"/>
                <c:pt idx="0">
                  <c:v>0.30531947144103888</c:v>
                </c:pt>
                <c:pt idx="1">
                  <c:v>0.26212441031856648</c:v>
                </c:pt>
                <c:pt idx="2">
                  <c:v>0.23671795090882641</c:v>
                </c:pt>
                <c:pt idx="3">
                  <c:v>0.17296882560010471</c:v>
                </c:pt>
                <c:pt idx="4">
                  <c:v>0.15450127608440309</c:v>
                </c:pt>
              </c:numCache>
            </c:numRef>
          </c:val>
          <c:extLst xmlns:c16r2="http://schemas.microsoft.com/office/drawing/2015/06/chart">
            <c:ext xmlns:c16="http://schemas.microsoft.com/office/drawing/2014/chart" uri="{C3380CC4-5D6E-409C-BE32-E72D297353CC}">
              <c16:uniqueId val="{00000001-F848-4122-A10A-722797CD4867}"/>
            </c:ext>
          </c:extLst>
        </c:ser>
        <c:shape val="box"/>
        <c:axId val="79937920"/>
        <c:axId val="79939456"/>
        <c:axId val="0"/>
      </c:bar3DChart>
      <c:catAx>
        <c:axId val="79937920"/>
        <c:scaling>
          <c:orientation val="minMax"/>
        </c:scaling>
        <c:axPos val="b"/>
        <c:numFmt formatCode="General" sourceLinked="1"/>
        <c:tickLblPos val="low"/>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79939456"/>
        <c:crosses val="autoZero"/>
        <c:auto val="1"/>
        <c:lblAlgn val="ctr"/>
        <c:lblOffset val="100"/>
        <c:tickLblSkip val="1"/>
        <c:tickMarkSkip val="1"/>
      </c:catAx>
      <c:valAx>
        <c:axId val="79939456"/>
        <c:scaling>
          <c:orientation val="minMax"/>
        </c:scaling>
        <c:axPos val="l"/>
        <c:majorGridlines>
          <c:spPr>
            <a:ln w="3175">
              <a:solidFill>
                <a:srgbClr val="000000"/>
              </a:solidFill>
              <a:prstDash val="solid"/>
            </a:ln>
          </c:spPr>
        </c:majorGridlines>
        <c:numFmt formatCode="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79937920"/>
        <c:crosses val="autoZero"/>
        <c:crossBetween val="between"/>
      </c:valAx>
      <c:spPr>
        <a:noFill/>
        <a:ln w="25400">
          <a:noFill/>
        </a:ln>
      </c:spPr>
    </c:plotArea>
    <c:legend>
      <c:legendPos val="r"/>
      <c:layout>
        <c:manualLayout>
          <c:xMode val="edge"/>
          <c:yMode val="edge"/>
          <c:x val="0.80759977613092482"/>
          <c:y val="0.4309400965763257"/>
          <c:w val="0.18014744480469408"/>
          <c:h val="0.14088441292904685"/>
        </c:manualLayout>
      </c:layout>
      <c:spPr>
        <a:solidFill>
          <a:srgbClr val="FFFFFF"/>
        </a:solidFill>
        <a:ln w="25400">
          <a:noFill/>
        </a:ln>
      </c:spPr>
      <c:txPr>
        <a:bodyPr/>
        <a:lstStyle/>
        <a:p>
          <a:pPr>
            <a:defRPr sz="735"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płynności</a:t>
            </a:r>
          </a:p>
        </c:rich>
      </c:tx>
      <c:layout>
        <c:manualLayout>
          <c:xMode val="edge"/>
          <c:yMode val="edge"/>
          <c:x val="0.40867826183684786"/>
          <c:y val="4.2735042735042736E-2"/>
        </c:manualLayout>
      </c:layout>
      <c:spPr>
        <a:noFill/>
        <a:ln w="25400">
          <a:noFill/>
        </a:ln>
      </c:spPr>
    </c:title>
    <c:plotArea>
      <c:layout>
        <c:manualLayout>
          <c:layoutTarget val="inner"/>
          <c:xMode val="edge"/>
          <c:yMode val="edge"/>
          <c:x val="6.8617591831164032E-2"/>
          <c:y val="0.2222223767906267"/>
          <c:w val="0.64682171123200305"/>
          <c:h val="0.61823404825084594"/>
        </c:manualLayout>
      </c:layout>
      <c:lineChart>
        <c:grouping val="standard"/>
        <c:ser>
          <c:idx val="0"/>
          <c:order val="0"/>
          <c:tx>
            <c:strRef>
              <c:f>Arkusz1!$A$24</c:f>
              <c:strCache>
                <c:ptCount val="1"/>
                <c:pt idx="0">
                  <c:v>Wskaźnik płynności bieżącej</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Arkusz1!$B$24:$F$24</c:f>
              <c:numCache>
                <c:formatCode>0.00</c:formatCode>
                <c:ptCount val="5"/>
                <c:pt idx="0">
                  <c:v>5.6609959636105858</c:v>
                </c:pt>
                <c:pt idx="1">
                  <c:v>5.7573880945110334</c:v>
                </c:pt>
                <c:pt idx="2">
                  <c:v>4.8275413174918755</c:v>
                </c:pt>
                <c:pt idx="3">
                  <c:v>2.901874009761737</c:v>
                </c:pt>
                <c:pt idx="4">
                  <c:v>2.4845194393977437</c:v>
                </c:pt>
              </c:numCache>
            </c:numRef>
          </c:val>
          <c:extLst xmlns:c16r2="http://schemas.microsoft.com/office/drawing/2015/06/chart">
            <c:ext xmlns:c16="http://schemas.microsoft.com/office/drawing/2014/chart" uri="{C3380CC4-5D6E-409C-BE32-E72D297353CC}">
              <c16:uniqueId val="{00000000-A6B5-45B0-BFE1-9EC072FAFD46}"/>
            </c:ext>
          </c:extLst>
        </c:ser>
        <c:ser>
          <c:idx val="1"/>
          <c:order val="1"/>
          <c:tx>
            <c:strRef>
              <c:f>Arkusz1!$A$25</c:f>
              <c:strCache>
                <c:ptCount val="1"/>
                <c:pt idx="0">
                  <c:v>Wskaźnik płynności szybkiej</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Arkusz1!$B$25:$F$25</c:f>
              <c:numCache>
                <c:formatCode>0.00</c:formatCode>
                <c:ptCount val="5"/>
                <c:pt idx="0">
                  <c:v>5.3329844737441965</c:v>
                </c:pt>
                <c:pt idx="1">
                  <c:v>5.4425958735537865</c:v>
                </c:pt>
                <c:pt idx="2">
                  <c:v>4.5599282527747382</c:v>
                </c:pt>
                <c:pt idx="3">
                  <c:v>2.6518351411474352</c:v>
                </c:pt>
                <c:pt idx="4">
                  <c:v>2.2538907614881092</c:v>
                </c:pt>
              </c:numCache>
            </c:numRef>
          </c:val>
          <c:extLst xmlns:c16r2="http://schemas.microsoft.com/office/drawing/2015/06/chart">
            <c:ext xmlns:c16="http://schemas.microsoft.com/office/drawing/2014/chart" uri="{C3380CC4-5D6E-409C-BE32-E72D297353CC}">
              <c16:uniqueId val="{00000001-A6B5-45B0-BFE1-9EC072FAFD46}"/>
            </c:ext>
          </c:extLst>
        </c:ser>
        <c:ser>
          <c:idx val="2"/>
          <c:order val="2"/>
          <c:tx>
            <c:strRef>
              <c:f>Arkusz1!$A$26</c:f>
              <c:strCache>
                <c:ptCount val="1"/>
                <c:pt idx="0">
                  <c:v>Wskaźnik płynności gotówką</c:v>
                </c:pt>
              </c:strCache>
            </c:strRef>
          </c:tx>
          <c:spPr>
            <a:ln w="25400">
              <a:solidFill>
                <a:srgbClr val="FFFF00"/>
              </a:solidFill>
              <a:prstDash val="solid"/>
            </a:ln>
          </c:spPr>
          <c:marker>
            <c:symbol val="triangle"/>
            <c:size val="7"/>
            <c:spPr>
              <a:solidFill>
                <a:srgbClr val="FFFF00"/>
              </a:solidFill>
              <a:ln>
                <a:solidFill>
                  <a:srgbClr val="FFFF0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Arkusz1!$B$26:$F$26</c:f>
              <c:numCache>
                <c:formatCode>0.00</c:formatCode>
                <c:ptCount val="5"/>
                <c:pt idx="0">
                  <c:v>3.4750714349482008</c:v>
                </c:pt>
                <c:pt idx="1">
                  <c:v>3.5438999981142087</c:v>
                </c:pt>
                <c:pt idx="2">
                  <c:v>2.5890647598101584</c:v>
                </c:pt>
                <c:pt idx="3">
                  <c:v>0.85067628386625038</c:v>
                </c:pt>
                <c:pt idx="4">
                  <c:v>0.56267398445545569</c:v>
                </c:pt>
              </c:numCache>
            </c:numRef>
          </c:val>
          <c:extLst xmlns:c16r2="http://schemas.microsoft.com/office/drawing/2015/06/chart">
            <c:ext xmlns:c16="http://schemas.microsoft.com/office/drawing/2014/chart" uri="{C3380CC4-5D6E-409C-BE32-E72D297353CC}">
              <c16:uniqueId val="{00000002-A6B5-45B0-BFE1-9EC072FAFD46}"/>
            </c:ext>
          </c:extLst>
        </c:ser>
        <c:marker val="1"/>
        <c:axId val="79903744"/>
        <c:axId val="100893824"/>
      </c:lineChart>
      <c:catAx>
        <c:axId val="79903744"/>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0893824"/>
        <c:crosses val="autoZero"/>
        <c:auto val="1"/>
        <c:lblAlgn val="ctr"/>
        <c:lblOffset val="100"/>
        <c:tickLblSkip val="1"/>
        <c:tickMarkSkip val="1"/>
      </c:catAx>
      <c:valAx>
        <c:axId val="100893824"/>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79903744"/>
        <c:crosses val="autoZero"/>
        <c:crossBetween val="between"/>
      </c:valAx>
      <c:spPr>
        <a:solidFill>
          <a:srgbClr val="CCCCFF"/>
        </a:solidFill>
        <a:ln w="12700">
          <a:solidFill>
            <a:srgbClr val="CCCCFF"/>
          </a:solidFill>
          <a:prstDash val="solid"/>
        </a:ln>
      </c:spPr>
    </c:plotArea>
    <c:legend>
      <c:legendPos val="r"/>
      <c:layout>
        <c:manualLayout>
          <c:xMode val="edge"/>
          <c:yMode val="edge"/>
          <c:x val="0.73158457614594341"/>
          <c:y val="0.42450187316329113"/>
          <c:w val="0.25832508322938003"/>
          <c:h val="0.21652421652421674"/>
        </c:manualLayout>
      </c:layout>
      <c:spPr>
        <a:solidFill>
          <a:srgbClr val="FFFFFF"/>
        </a:solidFill>
        <a:ln w="25400">
          <a:noFill/>
        </a:ln>
      </c:spPr>
      <c:txPr>
        <a:bodyPr/>
        <a:lstStyle/>
        <a:p>
          <a:pPr>
            <a:defRPr sz="735"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cyklu konwersji gotówkowej</a:t>
            </a:r>
          </a:p>
        </c:rich>
      </c:tx>
      <c:layout>
        <c:manualLayout>
          <c:xMode val="edge"/>
          <c:yMode val="edge"/>
          <c:x val="0.28799077505017817"/>
          <c:y val="4.2492917847025802E-2"/>
        </c:manualLayout>
      </c:layout>
      <c:spPr>
        <a:noFill/>
        <a:ln w="25400">
          <a:noFill/>
        </a:ln>
      </c:spPr>
    </c:title>
    <c:plotArea>
      <c:layout>
        <c:manualLayout>
          <c:layoutTarget val="inner"/>
          <c:xMode val="edge"/>
          <c:yMode val="edge"/>
          <c:x val="0.11151984140400301"/>
          <c:y val="0.22379649833838791"/>
          <c:w val="0.86397239769035361"/>
          <c:h val="0.68272096328546183"/>
        </c:manualLayout>
      </c:layout>
      <c:lineChart>
        <c:grouping val="standard"/>
        <c:ser>
          <c:idx val="0"/>
          <c:order val="0"/>
          <c:tx>
            <c:strRef>
              <c:f>Arkusz1!$A$45</c:f>
              <c:strCache>
                <c:ptCount val="1"/>
                <c:pt idx="0">
                  <c:v>Cykl konwersji gotówkowej</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Arkusz1!$B$45:$F$45</c:f>
              <c:numCache>
                <c:formatCode>0.00</c:formatCode>
                <c:ptCount val="5"/>
                <c:pt idx="0">
                  <c:v>30.807684528977674</c:v>
                </c:pt>
                <c:pt idx="1">
                  <c:v>25.750969679439869</c:v>
                </c:pt>
                <c:pt idx="2">
                  <c:v>27.193739859800083</c:v>
                </c:pt>
                <c:pt idx="3">
                  <c:v>25.83834477827472</c:v>
                </c:pt>
                <c:pt idx="4">
                  <c:v>22.048931334354016</c:v>
                </c:pt>
              </c:numCache>
            </c:numRef>
          </c:val>
          <c:extLst xmlns:c16r2="http://schemas.microsoft.com/office/drawing/2015/06/chart">
            <c:ext xmlns:c16="http://schemas.microsoft.com/office/drawing/2014/chart" uri="{C3380CC4-5D6E-409C-BE32-E72D297353CC}">
              <c16:uniqueId val="{00000000-B662-4AB9-8888-405246E9C38A}"/>
            </c:ext>
          </c:extLst>
        </c:ser>
        <c:marker val="1"/>
        <c:axId val="109536384"/>
        <c:axId val="109538304"/>
      </c:lineChart>
      <c:catAx>
        <c:axId val="109536384"/>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538304"/>
        <c:crosses val="autoZero"/>
        <c:auto val="1"/>
        <c:lblAlgn val="ctr"/>
        <c:lblOffset val="100"/>
        <c:tickLblSkip val="1"/>
        <c:tickMarkSkip val="1"/>
      </c:catAx>
      <c:valAx>
        <c:axId val="109538304"/>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536384"/>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ROI i ROE</a:t>
            </a:r>
          </a:p>
        </c:rich>
      </c:tx>
      <c:layout>
        <c:manualLayout>
          <c:xMode val="edge"/>
          <c:yMode val="edge"/>
          <c:x val="0.38753056234718897"/>
          <c:y val="4.2372881355932403E-2"/>
        </c:manualLayout>
      </c:layout>
      <c:spPr>
        <a:noFill/>
        <a:ln w="25400">
          <a:noFill/>
        </a:ln>
      </c:spPr>
    </c:title>
    <c:plotArea>
      <c:layout>
        <c:manualLayout>
          <c:layoutTarget val="inner"/>
          <c:xMode val="edge"/>
          <c:yMode val="edge"/>
          <c:x val="8.9242053789731032E-2"/>
          <c:y val="0.22316445744079241"/>
          <c:w val="0.88630806845965759"/>
          <c:h val="0.68361770507179409"/>
        </c:manualLayout>
      </c:layout>
      <c:lineChart>
        <c:grouping val="standard"/>
        <c:ser>
          <c:idx val="0"/>
          <c:order val="0"/>
          <c:tx>
            <c:strRef>
              <c:f>Arkusz1!$A$35</c:f>
              <c:strCache>
                <c:ptCount val="1"/>
                <c:pt idx="0">
                  <c:v>ROI</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Arkusz1!$B$35:$F$35</c:f>
              <c:numCache>
                <c:formatCode>0.00</c:formatCode>
                <c:ptCount val="5"/>
                <c:pt idx="0">
                  <c:v>1.3510613391084765E-2</c:v>
                </c:pt>
                <c:pt idx="1">
                  <c:v>2.4104600042286397E-2</c:v>
                </c:pt>
                <c:pt idx="2">
                  <c:v>1.2389423963212983E-2</c:v>
                </c:pt>
                <c:pt idx="3">
                  <c:v>7.3688445151029306E-4</c:v>
                </c:pt>
                <c:pt idx="4">
                  <c:v>1.6736822552825741E-3</c:v>
                </c:pt>
              </c:numCache>
            </c:numRef>
          </c:val>
          <c:extLst xmlns:c16r2="http://schemas.microsoft.com/office/drawing/2015/06/chart">
            <c:ext xmlns:c16="http://schemas.microsoft.com/office/drawing/2014/chart" uri="{C3380CC4-5D6E-409C-BE32-E72D297353CC}">
              <c16:uniqueId val="{00000000-32D3-447F-B5FF-8EE9227CA687}"/>
            </c:ext>
          </c:extLst>
        </c:ser>
        <c:ser>
          <c:idx val="1"/>
          <c:order val="1"/>
          <c:tx>
            <c:strRef>
              <c:f>Arkusz1!$A$36</c:f>
              <c:strCache>
                <c:ptCount val="1"/>
                <c:pt idx="0">
                  <c:v>ROE</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Arkusz1!$B$36:$F$36</c:f>
              <c:numCache>
                <c:formatCode>0.00</c:formatCode>
                <c:ptCount val="5"/>
                <c:pt idx="0">
                  <c:v>1.4622752979448018E-2</c:v>
                </c:pt>
                <c:pt idx="1">
                  <c:v>2.5836167412086948E-2</c:v>
                </c:pt>
                <c:pt idx="2">
                  <c:v>1.3361137646163524E-2</c:v>
                </c:pt>
                <c:pt idx="3">
                  <c:v>8.0115088104378224E-4</c:v>
                </c:pt>
                <c:pt idx="4">
                  <c:v>1.8241589501776405E-3</c:v>
                </c:pt>
              </c:numCache>
            </c:numRef>
          </c:val>
          <c:extLst xmlns:c16r2="http://schemas.microsoft.com/office/drawing/2015/06/chart">
            <c:ext xmlns:c16="http://schemas.microsoft.com/office/drawing/2014/chart" uri="{C3380CC4-5D6E-409C-BE32-E72D297353CC}">
              <c16:uniqueId val="{00000001-32D3-447F-B5FF-8EE9227CA687}"/>
            </c:ext>
          </c:extLst>
        </c:ser>
        <c:ser>
          <c:idx val="2"/>
          <c:order val="2"/>
          <c:tx>
            <c:strRef>
              <c:f>Arkusz1!$A$37</c:f>
              <c:strCache>
                <c:ptCount val="1"/>
                <c:pt idx="0">
                  <c:v>Zyskowność przychodów</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Arkusz1!$B$37:$F$37</c:f>
              <c:numCache>
                <c:formatCode>0.00</c:formatCode>
                <c:ptCount val="5"/>
                <c:pt idx="0">
                  <c:v>2.2420059999057593E-2</c:v>
                </c:pt>
                <c:pt idx="1">
                  <c:v>3.8252965049761681E-2</c:v>
                </c:pt>
                <c:pt idx="2">
                  <c:v>1.8627445647552306E-2</c:v>
                </c:pt>
                <c:pt idx="3">
                  <c:v>1.0635396150821712E-3</c:v>
                </c:pt>
                <c:pt idx="4">
                  <c:v>2.2537317604796503E-3</c:v>
                </c:pt>
              </c:numCache>
            </c:numRef>
          </c:val>
          <c:extLst xmlns:c16r2="http://schemas.microsoft.com/office/drawing/2015/06/chart">
            <c:ext xmlns:c16="http://schemas.microsoft.com/office/drawing/2014/chart" uri="{C3380CC4-5D6E-409C-BE32-E72D297353CC}">
              <c16:uniqueId val="{00000002-32D3-447F-B5FF-8EE9227CA687}"/>
            </c:ext>
          </c:extLst>
        </c:ser>
        <c:marker val="1"/>
        <c:axId val="109584768"/>
        <c:axId val="109586688"/>
      </c:lineChart>
      <c:catAx>
        <c:axId val="109584768"/>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586688"/>
        <c:crosses val="autoZero"/>
        <c:auto val="1"/>
        <c:lblAlgn val="ctr"/>
        <c:lblOffset val="100"/>
        <c:tickLblSkip val="1"/>
        <c:tickMarkSkip val="1"/>
      </c:catAx>
      <c:valAx>
        <c:axId val="109586688"/>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584768"/>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zdłużenia ogólnego i
pokrycia aktywów</a:t>
            </a:r>
          </a:p>
        </c:rich>
      </c:tx>
      <c:layout>
        <c:manualLayout>
          <c:xMode val="edge"/>
          <c:yMode val="edge"/>
          <c:x val="0.33455452683799225"/>
          <c:y val="4.2134831460674156E-2"/>
        </c:manualLayout>
      </c:layout>
      <c:spPr>
        <a:noFill/>
        <a:ln w="25400">
          <a:noFill/>
        </a:ln>
      </c:spPr>
    </c:title>
    <c:plotArea>
      <c:layout>
        <c:manualLayout>
          <c:layoutTarget val="inner"/>
          <c:xMode val="edge"/>
          <c:yMode val="edge"/>
          <c:x val="8.5470110948383693E-2"/>
          <c:y val="0.30056303448843413"/>
          <c:w val="0.88766815227821461"/>
          <c:h val="0.53651906156346651"/>
        </c:manualLayout>
      </c:layout>
      <c:lineChart>
        <c:grouping val="standard"/>
        <c:ser>
          <c:idx val="0"/>
          <c:order val="0"/>
          <c:tx>
            <c:strRef>
              <c:f>Arkusz1!$A$40</c:f>
              <c:strCache>
                <c:ptCount val="1"/>
                <c:pt idx="0">
                  <c:v>Zadłużenia ogólnego</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Arkusz1!$B$40:$F$40</c:f>
              <c:numCache>
                <c:formatCode>0.00</c:formatCode>
                <c:ptCount val="5"/>
                <c:pt idx="0">
                  <c:v>8.2315995297232464E-2</c:v>
                </c:pt>
                <c:pt idx="1">
                  <c:v>7.1835556979280568E-2</c:v>
                </c:pt>
                <c:pt idx="2">
                  <c:v>7.8430900890609334E-2</c:v>
                </c:pt>
                <c:pt idx="3">
                  <c:v>8.7213713631454026E-2</c:v>
                </c:pt>
                <c:pt idx="4">
                  <c:v>8.9907564246511071E-2</c:v>
                </c:pt>
              </c:numCache>
            </c:numRef>
          </c:val>
          <c:extLst xmlns:c16r2="http://schemas.microsoft.com/office/drawing/2015/06/chart">
            <c:ext xmlns:c16="http://schemas.microsoft.com/office/drawing/2014/chart" uri="{C3380CC4-5D6E-409C-BE32-E72D297353CC}">
              <c16:uniqueId val="{00000000-DBA7-42BD-A3A4-D43149FF6E73}"/>
            </c:ext>
          </c:extLst>
        </c:ser>
        <c:ser>
          <c:idx val="1"/>
          <c:order val="1"/>
          <c:tx>
            <c:strRef>
              <c:f>Arkusz1!$A$39</c:f>
              <c:strCache>
                <c:ptCount val="1"/>
                <c:pt idx="0">
                  <c:v>Pokrycia aktywów</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val>
            <c:numRef>
              <c:f>Arkusz1!$B$39:$F$39</c:f>
              <c:numCache>
                <c:formatCode>0.00</c:formatCode>
                <c:ptCount val="5"/>
                <c:pt idx="0">
                  <c:v>1.0823159952972323</c:v>
                </c:pt>
                <c:pt idx="1">
                  <c:v>1.0718355569792808</c:v>
                </c:pt>
                <c:pt idx="2">
                  <c:v>1.0784309008906101</c:v>
                </c:pt>
                <c:pt idx="3">
                  <c:v>1.0872137136314544</c:v>
                </c:pt>
                <c:pt idx="4">
                  <c:v>1.0899075642465152</c:v>
                </c:pt>
              </c:numCache>
            </c:numRef>
          </c:val>
          <c:extLst xmlns:c16r2="http://schemas.microsoft.com/office/drawing/2015/06/chart">
            <c:ext xmlns:c16="http://schemas.microsoft.com/office/drawing/2014/chart" uri="{C3380CC4-5D6E-409C-BE32-E72D297353CC}">
              <c16:uniqueId val="{00000001-DBA7-42BD-A3A4-D43149FF6E73}"/>
            </c:ext>
          </c:extLst>
        </c:ser>
        <c:marker val="1"/>
        <c:axId val="109607552"/>
        <c:axId val="109630208"/>
      </c:lineChart>
      <c:catAx>
        <c:axId val="109607552"/>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630208"/>
        <c:crosses val="autoZero"/>
        <c:auto val="1"/>
        <c:lblAlgn val="ctr"/>
        <c:lblOffset val="100"/>
        <c:tickLblSkip val="1"/>
        <c:tickMarkSkip val="1"/>
      </c:catAx>
      <c:valAx>
        <c:axId val="109630208"/>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607552"/>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28</Pages>
  <Words>5678</Words>
  <Characters>34070</Characters>
  <Application>Microsoft Office Word</Application>
  <DocSecurity>0</DocSecurity>
  <Lines>283</Lines>
  <Paragraphs>79</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2</cp:revision>
  <cp:lastPrinted>2017-10-26T09:32:00Z</cp:lastPrinted>
  <dcterms:created xsi:type="dcterms:W3CDTF">2019-04-11T19:09:00Z</dcterms:created>
  <dcterms:modified xsi:type="dcterms:W3CDTF">2019-04-11T19:09:00Z</dcterms:modified>
</cp:coreProperties>
</file>