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73245A"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73245A"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73245A" w:rsidP="00CB5DD7">
      <w:pPr>
        <w:rPr>
          <w:rFonts w:ascii="Tahoma" w:hAnsi="Tahoma" w:cs="Tahoma"/>
          <w:b/>
          <w:noProof/>
          <w:color w:val="FF0000"/>
          <w:lang w:eastAsia="pl-PL"/>
        </w:rPr>
      </w:pPr>
      <w:r w:rsidRPr="0073245A">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73245A" w:rsidP="003326AA">
      <w:pPr>
        <w:spacing w:line="240" w:lineRule="auto"/>
        <w:rPr>
          <w:rFonts w:ascii="Tahoma" w:hAnsi="Tahoma" w:cs="Tahoma"/>
        </w:rPr>
      </w:pPr>
      <w:r w:rsidRPr="0073245A">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73245A">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73245A">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E7F92" w:rsidRDefault="000E7F92" w:rsidP="000E7F92">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Pr="000E7F92">
        <w:rPr>
          <w:rFonts w:ascii="Tahoma" w:hAnsi="Tahoma" w:cs="Tahoma"/>
        </w:rPr>
        <w:t>${firma}</w:t>
      </w:r>
      <w:r w:rsidRPr="00B57DC1">
        <w:rPr>
          <w:rFonts w:ascii="Tahoma" w:hAnsi="Tahoma" w:cs="Tahoma"/>
          <w:color w:val="FF0000"/>
        </w:rPr>
        <w:t xml:space="preserve"> </w:t>
      </w:r>
      <w:r w:rsidRPr="006D64C5">
        <w:rPr>
          <w:rFonts w:ascii="Tahoma" w:hAnsi="Tahoma" w:cs="Tahoma"/>
        </w:rPr>
        <w:t xml:space="preserve">uzyskała przychody ze sprzedaży w roku ${B0} na </w:t>
      </w:r>
      <w:r w:rsidR="006D64C5" w:rsidRPr="006D64C5">
        <w:rPr>
          <w:rFonts w:ascii="Tahoma" w:hAnsi="Tahoma" w:cs="Tahoma"/>
        </w:rPr>
        <w:t>${NIZ-WYZ}</w:t>
      </w:r>
      <w:r w:rsidRPr="006D64C5">
        <w:rPr>
          <w:rFonts w:ascii="Tahoma" w:hAnsi="Tahoma" w:cs="Tahoma"/>
        </w:rPr>
        <w:t xml:space="preserve"> poziomie niż w roku</w:t>
      </w:r>
      <w:r w:rsidRPr="00B57DC1">
        <w:rPr>
          <w:rFonts w:ascii="Tahoma" w:hAnsi="Tahoma" w:cs="Tahoma"/>
          <w:color w:val="FF0000"/>
        </w:rPr>
        <w:t xml:space="preserve"> </w:t>
      </w:r>
      <w:r w:rsidRPr="000E7F92">
        <w:rPr>
          <w:rFonts w:ascii="Tahoma" w:hAnsi="Tahoma" w:cs="Tahoma"/>
        </w:rPr>
        <w:t>${</w:t>
      </w:r>
      <w:r>
        <w:rPr>
          <w:rFonts w:ascii="Tahoma" w:hAnsi="Tahoma" w:cs="Tahoma"/>
        </w:rPr>
        <w:t>B1</w:t>
      </w:r>
      <w:r w:rsidRPr="000E7F92">
        <w:rPr>
          <w:rFonts w:ascii="Tahoma" w:hAnsi="Tahoma" w:cs="Tahoma"/>
        </w:rPr>
        <w:t>}</w:t>
      </w:r>
      <w:r w:rsidRPr="004D6CF2">
        <w:rPr>
          <w:rFonts w:ascii="Tahoma" w:hAnsi="Tahoma" w:cs="Tahoma"/>
          <w:color w:val="000000"/>
        </w:rPr>
        <w:t xml:space="preserve">. </w:t>
      </w:r>
      <w:r w:rsidRPr="006D64C5">
        <w:rPr>
          <w:rFonts w:ascii="Tahoma" w:hAnsi="Tahoma" w:cs="Tahoma"/>
        </w:rPr>
        <w:t>Wyniki ${firma} na dynamice przychodów ze sprzedaży w roku ${B1} były</w:t>
      </w:r>
      <w:r w:rsidRPr="00B57DC1">
        <w:rPr>
          <w:rFonts w:ascii="Tahoma" w:hAnsi="Tahoma" w:cs="Tahoma"/>
          <w:color w:val="FF0000"/>
        </w:rPr>
        <w:t xml:space="preserve"> na podobnym, ujemnym </w:t>
      </w:r>
      <w:r w:rsidRPr="006D64C5">
        <w:rPr>
          <w:rFonts w:ascii="Tahoma" w:hAnsi="Tahoma" w:cs="Tahoma"/>
        </w:rPr>
        <w:t>poziomie jak w roku ${B0}.</w:t>
      </w:r>
      <w:r w:rsidRPr="00B57DC1">
        <w:rPr>
          <w:rFonts w:ascii="Tahoma" w:hAnsi="Tahoma" w:cs="Tahoma"/>
          <w:color w:val="FF0000"/>
        </w:rPr>
        <w:t xml:space="preserve"> </w:t>
      </w:r>
      <w:r w:rsidRPr="006D64C5">
        <w:rPr>
          <w:rFonts w:ascii="Tahoma" w:hAnsi="Tahoma" w:cs="Tahoma"/>
        </w:rPr>
        <w:t>Wartość dynamiki w roku ${B1} w stosunku do roku ${B2} wyniosła (</w:t>
      </w:r>
      <w:r w:rsidR="006D64C5" w:rsidRPr="006D64C5">
        <w:rPr>
          <w:rFonts w:ascii="Tahoma" w:hAnsi="Tahoma" w:cs="Tahoma"/>
        </w:rPr>
        <w:t>${WSK18_1}</w:t>
      </w:r>
      <w:r w:rsidRPr="006D64C5">
        <w:rPr>
          <w:rFonts w:ascii="Tahoma" w:hAnsi="Tahoma" w:cs="Tahoma"/>
        </w:rPr>
        <w:t xml:space="preserve">)%. Firmę </w:t>
      </w:r>
      <w:r w:rsidRPr="000E7F92">
        <w:rPr>
          <w:rFonts w:ascii="Tahoma" w:hAnsi="Tahoma" w:cs="Tahoma"/>
        </w:rPr>
        <w:t>tą można rekomendować jako wiarygodnego partnera z silnymi podstawami do działania w długim okresie</w:t>
      </w:r>
      <w:r w:rsidRPr="000E7F92">
        <w:rPr>
          <w:rFonts w:ascii="Tahoma" w:eastAsia="Times New Roman" w:hAnsi="Tahoma" w:cs="Tahoma"/>
          <w:lang w:eastAsia="pl-PL"/>
        </w:rPr>
        <w:t>.</w:t>
      </w:r>
      <w:r w:rsidRPr="00053340">
        <w:rPr>
          <w:rFonts w:ascii="Tahoma" w:eastAsia="Times New Roman" w:hAnsi="Tahoma" w:cs="Tahoma"/>
          <w:lang w:eastAsia="pl-PL"/>
        </w:rPr>
        <w:t xml:space="preserve"> </w:t>
      </w:r>
    </w:p>
    <w:p w:rsidR="000E7F92" w:rsidRDefault="000E7F92" w:rsidP="000E7F92">
      <w:pPr>
        <w:autoSpaceDE w:val="0"/>
        <w:autoSpaceDN w:val="0"/>
        <w:adjustRightInd w:val="0"/>
        <w:spacing w:after="0" w:line="360" w:lineRule="auto"/>
        <w:rPr>
          <w:rFonts w:ascii="Tahoma" w:hAnsi="Tahoma" w:cs="Tahoma"/>
          <w:color w:val="000000"/>
        </w:rPr>
      </w:pPr>
    </w:p>
    <w:p w:rsidR="000E7F92" w:rsidRPr="000E7F92" w:rsidRDefault="000E7F92" w:rsidP="000E7F92">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w:t>
      </w:r>
      <w:r w:rsidR="0006115C" w:rsidRPr="0006115C">
        <w:rPr>
          <w:rFonts w:ascii="Tahoma" w:hAnsi="Tahoma" w:cs="Tahoma"/>
        </w:rPr>
        <w:t>${DOD-UJE}</w:t>
      </w:r>
      <w:r w:rsidRPr="0006115C">
        <w:rPr>
          <w:rFonts w:ascii="Tahoma" w:hAnsi="Tahoma" w:cs="Tahoma"/>
        </w:rPr>
        <w:t xml:space="preserve"> </w:t>
      </w:r>
      <w:r w:rsidRPr="000E7F92">
        <w:rPr>
          <w:rFonts w:ascii="Tahoma" w:hAnsi="Tahoma" w:cs="Tahoma"/>
        </w:rPr>
        <w:t>dynamikę przychodów w ${B0} roku.</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B57DC1">
        <w:rPr>
          <w:rFonts w:ascii="Tahoma" w:hAnsi="Tahoma" w:cs="Tahoma"/>
          <w:color w:val="00B050"/>
        </w:rPr>
        <w:t xml:space="preserve">Bardzo dobrym sygnałem jest stała obecność zysków z działalności </w:t>
      </w:r>
      <w:r w:rsidRPr="000E7F92">
        <w:rPr>
          <w:rFonts w:ascii="Tahoma" w:hAnsi="Tahoma" w:cs="Tahoma"/>
        </w:rPr>
        <w:t>${firma}</w:t>
      </w:r>
      <w:r w:rsidRPr="00B57DC1">
        <w:rPr>
          <w:rFonts w:ascii="Tahoma" w:hAnsi="Tahoma" w:cs="Tahoma"/>
          <w:color w:val="00B050"/>
        </w:rPr>
        <w:t xml:space="preserve">. Jest to bardzo silna strona </w:t>
      </w:r>
      <w:r w:rsidR="00EF666B" w:rsidRPr="000E7F92">
        <w:rPr>
          <w:rFonts w:ascii="Tahoma" w:hAnsi="Tahoma" w:cs="Tahoma"/>
        </w:rPr>
        <w:t>${firma}</w:t>
      </w:r>
      <w:r w:rsidRPr="004D6CF2">
        <w:rPr>
          <w:rFonts w:ascii="Tahoma" w:hAnsi="Tahoma" w:cs="Tahoma"/>
          <w:color w:val="000000"/>
        </w:rPr>
        <w:t>.</w:t>
      </w:r>
    </w:p>
    <w:p w:rsidR="000E7F92" w:rsidRPr="00B57DC1" w:rsidRDefault="000E7F92" w:rsidP="000E7F92">
      <w:pPr>
        <w:numPr>
          <w:ilvl w:val="0"/>
          <w:numId w:val="4"/>
        </w:numPr>
        <w:autoSpaceDE w:val="0"/>
        <w:autoSpaceDN w:val="0"/>
        <w:adjustRightInd w:val="0"/>
        <w:spacing w:after="0" w:line="360" w:lineRule="auto"/>
        <w:rPr>
          <w:rFonts w:ascii="Tahoma" w:hAnsi="Tahoma" w:cs="Tahoma"/>
          <w:color w:val="00B050"/>
        </w:rPr>
      </w:pPr>
      <w:r w:rsidRPr="00B57DC1">
        <w:rPr>
          <w:rFonts w:ascii="Tahoma" w:hAnsi="Tahoma" w:cs="Tahoma"/>
          <w:color w:val="00B050"/>
        </w:rPr>
        <w:t xml:space="preserve">Bezpieczeństwo działania w długim okresie gwarantuje </w:t>
      </w:r>
      <w:r w:rsidR="00EF666B" w:rsidRPr="000E7F92">
        <w:rPr>
          <w:rFonts w:ascii="Tahoma" w:hAnsi="Tahoma" w:cs="Tahoma"/>
        </w:rPr>
        <w:t>${firma}</w:t>
      </w:r>
      <w:r w:rsidRPr="00B57DC1">
        <w:rPr>
          <w:rFonts w:ascii="Tahoma" w:hAnsi="Tahoma" w:cs="Tahoma"/>
          <w:color w:val="00B050"/>
        </w:rPr>
        <w:t xml:space="preserve"> wysoki poziom kapitałów własnych. Jest to bardzo bezpieczna sytuacja wskazująca na duże zaangażowanie właściciela w finansowanie spółki.</w:t>
      </w:r>
    </w:p>
    <w:p w:rsidR="000E7F92" w:rsidRPr="00B57DC1" w:rsidRDefault="00EF666B" w:rsidP="000E7F92">
      <w:pPr>
        <w:numPr>
          <w:ilvl w:val="0"/>
          <w:numId w:val="4"/>
        </w:numPr>
        <w:autoSpaceDE w:val="0"/>
        <w:autoSpaceDN w:val="0"/>
        <w:adjustRightInd w:val="0"/>
        <w:spacing w:after="0" w:line="360" w:lineRule="auto"/>
        <w:rPr>
          <w:rFonts w:ascii="Tahoma" w:hAnsi="Tahoma" w:cs="Tahoma"/>
          <w:color w:val="00B050"/>
        </w:rPr>
      </w:pPr>
      <w:r w:rsidRPr="000E7F92">
        <w:rPr>
          <w:rFonts w:ascii="Tahoma" w:hAnsi="Tahoma" w:cs="Tahoma"/>
        </w:rPr>
        <w:t>${firma}</w:t>
      </w:r>
      <w:r w:rsidR="000E7F92" w:rsidRPr="00B57DC1">
        <w:rPr>
          <w:rFonts w:ascii="Tahoma" w:hAnsi="Tahoma" w:cs="Tahoma"/>
          <w:color w:val="00B050"/>
        </w:rPr>
        <w:t xml:space="preserve"> posiada wysoką płynność finansową w porównaniu z konkurentami. Z tego też powodu dostawcy i pracownicy </w:t>
      </w:r>
      <w:r w:rsidRPr="000E7F92">
        <w:rPr>
          <w:rFonts w:ascii="Tahoma" w:hAnsi="Tahoma" w:cs="Tahoma"/>
        </w:rPr>
        <w:t>${firma}</w:t>
      </w:r>
      <w:r w:rsidR="000E7F92" w:rsidRPr="00B57DC1">
        <w:rPr>
          <w:rFonts w:ascii="Tahoma" w:hAnsi="Tahoma" w:cs="Tahoma"/>
          <w:color w:val="00B050"/>
        </w:rPr>
        <w:t xml:space="preserve"> mogą mieć duże poczucie bezpieczeństwa w relacjach handlowych. Wysoka wartość upadłościowa dodatkowo zabezpiecza interesy wierzycieli.</w:t>
      </w:r>
    </w:p>
    <w:p w:rsidR="000E7F92" w:rsidRPr="002D2E7F" w:rsidRDefault="00EF666B"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000E7F92" w:rsidRPr="00B57DC1">
        <w:rPr>
          <w:rFonts w:ascii="Tahoma" w:hAnsi="Tahoma" w:cs="Tahoma"/>
          <w:color w:val="00B050"/>
        </w:rPr>
        <w:t xml:space="preserve"> osiągnęła w </w:t>
      </w:r>
      <w:r w:rsidRPr="000E7F92">
        <w:rPr>
          <w:rFonts w:ascii="Tahoma" w:hAnsi="Tahoma" w:cs="Tahoma"/>
        </w:rPr>
        <w:t>${B0}</w:t>
      </w:r>
      <w:r w:rsidR="000E7F92" w:rsidRPr="00B57DC1">
        <w:rPr>
          <w:rFonts w:ascii="Tahoma" w:hAnsi="Tahoma" w:cs="Tahoma"/>
          <w:color w:val="00B050"/>
        </w:rPr>
        <w:t xml:space="preserve"> roku umiarkowane wartości na wskaźniku rentowności. Rentowność przychodów firmy jest na dość niskim poziomie</w:t>
      </w:r>
      <w:r w:rsidR="000E7F92" w:rsidRPr="002D2E7F">
        <w:rPr>
          <w:rFonts w:ascii="Tahoma" w:hAnsi="Tahoma" w:cs="Tahoma"/>
          <w:color w:val="000000"/>
        </w:rPr>
        <w:t>.</w:t>
      </w:r>
    </w:p>
    <w:p w:rsidR="000E7F92" w:rsidRPr="00EF666B" w:rsidRDefault="000E7F92" w:rsidP="000E7F92">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516"/>
      </w:tblGrid>
      <w:tr w:rsidR="001A646B" w:rsidRPr="00EF666B" w:rsidTr="005F40AA">
        <w:trPr>
          <w:trHeight w:val="255"/>
          <w:tblCellSpacing w:w="20" w:type="dxa"/>
          <w:jc w:val="center"/>
        </w:trPr>
        <w:tc>
          <w:tcPr>
            <w:tcW w:w="7041" w:type="dxa"/>
            <w:gridSpan w:val="4"/>
            <w:shd w:val="clear" w:color="auto" w:fill="auto"/>
            <w:noWrap/>
          </w:tcPr>
          <w:p w:rsidR="001A646B" w:rsidRPr="00EF666B" w:rsidRDefault="001A64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lastRenderedPageBreak/>
              <w:t>${firma} dane finansowe</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rPr>
                <w:rFonts w:ascii="Tahoma" w:eastAsia="Times New Roman" w:hAnsi="Tahoma" w:cs="Tahoma"/>
                <w:sz w:val="16"/>
                <w:szCs w:val="16"/>
              </w:rPr>
            </w:pPr>
          </w:p>
        </w:tc>
        <w:tc>
          <w:tcPr>
            <w:tcW w:w="1396" w:type="dxa"/>
            <w:shd w:val="clear" w:color="auto" w:fill="auto"/>
            <w:noWrap/>
          </w:tcPr>
          <w:p w:rsidR="005F40AA" w:rsidRPr="00EF666B" w:rsidRDefault="005F40AA"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45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${B2}</w:t>
            </w:r>
          </w:p>
        </w:tc>
      </w:tr>
      <w:tr w:rsidR="001A646B" w:rsidRPr="00EF666B" w:rsidTr="005F40AA">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4313" w:type="dxa"/>
            <w:gridSpan w:val="3"/>
            <w:shd w:val="clear" w:color="auto" w:fill="auto"/>
            <w:noWrap/>
            <w:vAlign w:val="bottom"/>
          </w:tcPr>
          <w:p w:rsidR="001A646B" w:rsidRPr="00EF666B" w:rsidRDefault="001A646B" w:rsidP="000E7F92">
            <w:pPr>
              <w:jc w:val="center"/>
              <w:rPr>
                <w:rFonts w:ascii="Tahoma" w:eastAsia="Times New Roman" w:hAnsi="Tahoma" w:cs="Tahoma"/>
                <w:sz w:val="16"/>
                <w:szCs w:val="16"/>
              </w:rPr>
            </w:pP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Aktywa trwałe</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45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${DF10_2}</w:t>
            </w:r>
          </w:p>
        </w:tc>
      </w:tr>
      <w:tr w:rsidR="001A646B" w:rsidRPr="00EF666B" w:rsidTr="005F40AA">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4313" w:type="dxa"/>
            <w:gridSpan w:val="3"/>
            <w:shd w:val="clear" w:color="auto" w:fill="auto"/>
            <w:noWrap/>
            <w:vAlign w:val="bottom"/>
          </w:tcPr>
          <w:p w:rsidR="001A646B" w:rsidRPr="00EF666B" w:rsidRDefault="001A646B" w:rsidP="000E7F92">
            <w:pPr>
              <w:jc w:val="right"/>
              <w:rPr>
                <w:rFonts w:ascii="Tahoma" w:eastAsia="Times New Roman" w:hAnsi="Tahoma" w:cs="Tahoma"/>
                <w:sz w:val="16"/>
                <w:szCs w:val="16"/>
              </w:rPr>
            </w:pP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${DF14_2}</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771"/>
      </w:tblGrid>
      <w:tr w:rsidR="000E7F92" w:rsidRPr="00E24575" w:rsidTr="005F40AA">
        <w:trPr>
          <w:trHeight w:hRule="exact" w:val="567"/>
          <w:tblCellSpacing w:w="20" w:type="dxa"/>
          <w:jc w:val="center"/>
        </w:trPr>
        <w:tc>
          <w:tcPr>
            <w:tcW w:w="7311" w:type="dxa"/>
            <w:gridSpan w:val="4"/>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lastRenderedPageBreak/>
              <w:t xml:space="preserve">Analiza wskaźnikowa firmy </w:t>
            </w:r>
            <w:r w:rsidR="00EF666B" w:rsidRPr="00EF666B">
              <w:rPr>
                <w:rFonts w:ascii="Arial" w:eastAsia="Times New Roman" w:hAnsi="Arial" w:cs="Arial"/>
                <w:b/>
                <w:bCs/>
                <w:sz w:val="18"/>
                <w:szCs w:val="18"/>
                <w:lang w:eastAsia="pl-PL"/>
              </w:rPr>
              <w:t>${firma}</w:t>
            </w:r>
          </w:p>
        </w:tc>
      </w:tr>
      <w:tr w:rsidR="005F40AA" w:rsidRPr="00E24575" w:rsidTr="005F40AA">
        <w:trPr>
          <w:trHeight w:hRule="exact" w:val="284"/>
          <w:tblCellSpacing w:w="20" w:type="dxa"/>
          <w:jc w:val="center"/>
        </w:trPr>
        <w:tc>
          <w:tcPr>
            <w:tcW w:w="2688" w:type="dxa"/>
            <w:shd w:val="clear" w:color="auto" w:fill="auto"/>
            <w:noWrap/>
          </w:tcPr>
          <w:p w:rsidR="005F40AA" w:rsidRPr="00EF666B" w:rsidRDefault="005F40AA" w:rsidP="000E7F92">
            <w:pPr>
              <w:rPr>
                <w:rFonts w:ascii="Tahoma" w:eastAsia="Times New Roman" w:hAnsi="Tahoma" w:cs="Tahoma"/>
                <w:sz w:val="16"/>
                <w:szCs w:val="16"/>
              </w:rPr>
            </w:pP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708"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4583" w:type="dxa"/>
            <w:gridSpan w:val="3"/>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5F40AA" w:rsidRPr="00EF666B" w:rsidRDefault="005F40AA"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708"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${WSK0_2}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szybkiej</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${WSK16_2}</w:t>
            </w:r>
          </w:p>
        </w:tc>
      </w:tr>
      <w:tr w:rsidR="005F40AA" w:rsidRPr="00E24575" w:rsidTr="005F40AA">
        <w:trPr>
          <w:trHeight w:hRule="exact" w:val="284"/>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${WSK18_0}%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${WSK18_1}%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${WSK19_0}%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${WSK19_1}%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73245A" w:rsidRPr="0073245A">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73245A" w:rsidRPr="0073245A">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9C3CA4"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Badając aktywa trwałe należy stwierdzić, że firma przyjmuje długą pozycję na aktywach. Wartość udziału aktywów trwałych w sumie bilansowej była na dość stabilnym poziomie w 2018 roku w stosunku do wyników z roku 2017</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Udział aktywów trwałych w sumie bilansowej w kolejnych latach wynosił 76,33% w 2016, 73,79% w 2017 roku</w:t>
      </w:r>
      <w:r w:rsidRPr="00EA71E9">
        <w:rPr>
          <w:rFonts w:ascii="Tahoma" w:eastAsia="Times New Roman" w:hAnsi="Tahoma" w:cs="Tahoma"/>
          <w:lang w:eastAsia="pl-PL"/>
        </w:rPr>
        <w:t xml:space="preserve">. </w:t>
      </w:r>
      <w:r w:rsidRPr="00354171">
        <w:rPr>
          <w:rFonts w:ascii="Tahoma" w:eastAsia="Times New Roman" w:hAnsi="Tahoma" w:cs="Tahoma"/>
          <w:color w:val="00B050"/>
          <w:lang w:eastAsia="pl-PL"/>
        </w:rPr>
        <w:t>W 2018 roku udział ten spadł i wyniósł 69,47%.Do największych pozycji aktywów trwałych zaliczyć można: budynki, lokale i obiekty, urządzenia techniczne i maszyny, grunty w tym prawa wieczyste.</w:t>
      </w:r>
      <w:r>
        <w:rPr>
          <w:rFonts w:ascii="Tahoma" w:eastAsia="Times New Roman" w:hAnsi="Tahoma" w:cs="Tahoma"/>
          <w:color w:val="00B050"/>
          <w:lang w:eastAsia="pl-PL"/>
        </w:rPr>
        <w:t xml:space="preserve"> </w:t>
      </w:r>
      <w:r w:rsidRPr="00354171">
        <w:rPr>
          <w:rFonts w:ascii="Tahoma" w:eastAsia="Times New Roman" w:hAnsi="Tahoma" w:cs="Tahoma"/>
          <w:color w:val="00B050"/>
          <w:lang w:eastAsia="pl-PL"/>
        </w:rPr>
        <w:t>Dynamika wartości aktywów trwałych wskazuje, iż pozycja ta wykazała się ujemną dynamiką w 2018 roku</w:t>
      </w:r>
      <w:r w:rsidRPr="001910B2">
        <w:rPr>
          <w:rFonts w:ascii="Tahoma" w:eastAsia="Times New Roman" w:hAnsi="Tahoma" w:cs="Tahoma"/>
          <w:lang w:eastAsia="pl-PL"/>
        </w:rPr>
        <w:t>.</w:t>
      </w:r>
      <w:r w:rsidRPr="00A57E7D">
        <w:rPr>
          <w:rFonts w:ascii="Tahoma" w:eastAsia="Times New Roman" w:hAnsi="Tahoma" w:cs="Tahoma"/>
          <w:lang w:eastAsia="pl-PL"/>
        </w:rPr>
        <w:t xml:space="preserve"> </w:t>
      </w:r>
    </w:p>
    <w:p w:rsidR="00A57E7D" w:rsidRPr="00570057" w:rsidRDefault="003D367A" w:rsidP="00570057">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Udział aktywów obrotowych w sumie bilansowej dość istotnie zmienił się w 2018 roku w stosunku do wyników z roku 2017</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Udział aktywów obrotowych w sumie bilansowej w kolejnych latach wynosił 23,67% w 2016, 26,21% w 2017 roku. W 2018 roku udział ten wzrósł i wyniósł 30,53%.</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 xml:space="preserve">Najważniejszą pozycją w aktywach obrotowych są "Inwestycje krótkoterminowe". Dynamika aktywów obrotowych wskazuje, iż </w:t>
      </w:r>
      <w:r w:rsidR="00CF0A9D" w:rsidRPr="00CF0A9D">
        <w:rPr>
          <w:rFonts w:ascii="Tahoma" w:eastAsia="Times New Roman" w:hAnsi="Tahoma" w:cs="Tahoma"/>
          <w:lang w:eastAsia="pl-PL"/>
        </w:rPr>
        <w:t>${firma}</w:t>
      </w:r>
      <w:r w:rsidRPr="00CF0A9D">
        <w:rPr>
          <w:rFonts w:ascii="Tahoma" w:eastAsia="Times New Roman" w:hAnsi="Tahoma" w:cs="Tahoma"/>
          <w:lang w:eastAsia="pl-PL"/>
        </w:rPr>
        <w:t xml:space="preserve"> </w:t>
      </w:r>
      <w:r w:rsidRPr="00354171">
        <w:rPr>
          <w:rFonts w:ascii="Tahoma" w:eastAsia="Times New Roman" w:hAnsi="Tahoma" w:cs="Tahoma"/>
          <w:color w:val="00B050"/>
          <w:lang w:eastAsia="pl-PL"/>
        </w:rPr>
        <w:t>zwiększa wartość tej pozycji</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 xml:space="preserve">Na podstawie badania pionowego pasywów firmy </w:t>
      </w:r>
      <w:r w:rsidR="00CF0A9D" w:rsidRPr="00CF0A9D">
        <w:rPr>
          <w:rFonts w:ascii="Tahoma" w:eastAsia="Times New Roman" w:hAnsi="Tahoma" w:cs="Tahoma"/>
          <w:lang w:eastAsia="pl-PL"/>
        </w:rPr>
        <w:t>${firma}</w:t>
      </w:r>
      <w:r w:rsidRPr="00354171">
        <w:rPr>
          <w:rFonts w:ascii="Tahoma" w:eastAsia="Times New Roman" w:hAnsi="Tahoma" w:cs="Tahoma"/>
          <w:color w:val="00B050"/>
          <w:lang w:eastAsia="pl-PL"/>
        </w:rPr>
        <w:t xml:space="preserve"> widać wyraźnie, że firma ta zajmuje bezpieczną pozycję z punktu widzenia dostawców. Dzieje się tak dlatego, że kapitały własne firmy stanowią bardzo duży udział w wartości pasywów</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Wartość udziału kapitałów własnych w sumie bilansowej utrzymuje się w kolejnych latach odpowiednio na poziomie 92,73% w 2016 roku, 93,30% w 2017 roku i 92,39% w roku 2018.</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Widać zatem pogorszenie wyników w 2018 roku. Wyniki te pozwalają na wydanie pozytywnej opinii na tym poziomie</w:t>
      </w:r>
      <w:r w:rsidRPr="001910B2">
        <w:rPr>
          <w:rFonts w:ascii="Tahoma" w:eastAsia="Times New Roman" w:hAnsi="Tahoma" w:cs="Tahoma"/>
          <w:lang w:eastAsia="pl-PL"/>
        </w:rPr>
        <w:t xml:space="preserve">. </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271901">
        <w:rPr>
          <w:rFonts w:ascii="Tahoma" w:eastAsia="Times New Roman" w:hAnsi="Tahoma" w:cs="Tahoma"/>
          <w:color w:val="00B050"/>
          <w:lang w:eastAsia="pl-PL"/>
        </w:rPr>
        <w:t>Wartość udziału pasywów krótkoterminowych w 2018 roku wzrosła</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Powodowało to będzie pogorszenie wskaźników </w:t>
      </w:r>
      <w:r w:rsidR="00CF0A9D" w:rsidRPr="00CF0A9D">
        <w:rPr>
          <w:rFonts w:ascii="Tahoma" w:eastAsia="Times New Roman" w:hAnsi="Tahoma" w:cs="Tahoma"/>
          <w:lang w:eastAsia="pl-PL"/>
        </w:rPr>
        <w:t>${firma}</w:t>
      </w:r>
      <w:r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CF0A9D">
        <w:rPr>
          <w:rFonts w:ascii="Tahoma" w:eastAsia="Times New Roman" w:hAnsi="Tahoma" w:cs="Tahoma"/>
          <w:color w:val="00B050"/>
          <w:lang w:eastAsia="pl-PL"/>
        </w:rPr>
        <w:t xml:space="preserve"> </w:t>
      </w:r>
      <w:r w:rsidRPr="00CF0A9D">
        <w:rPr>
          <w:rFonts w:ascii="Tahoma" w:eastAsia="Times New Roman" w:hAnsi="Tahoma" w:cs="Tahoma"/>
          <w:lang w:eastAsia="pl-PL"/>
        </w:rPr>
        <w:t xml:space="preserve">Dopiero po dokonaniu </w:t>
      </w:r>
      <w:r w:rsidRPr="00CF0A9D">
        <w:rPr>
          <w:rFonts w:ascii="Tahoma" w:eastAsia="Times New Roman" w:hAnsi="Tahoma" w:cs="Tahoma"/>
          <w:lang w:eastAsia="pl-PL"/>
        </w:rPr>
        <w:lastRenderedPageBreak/>
        <w:t>porównania będzie można stwierdzić, czy firma jest bardziej zadłużona niż inne firmy z tej samej branży.</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2018 roku</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73245A" w:rsidP="00A57E7D">
      <w:pPr>
        <w:autoSpaceDE w:val="0"/>
        <w:autoSpaceDN w:val="0"/>
        <w:adjustRightInd w:val="0"/>
        <w:spacing w:after="0" w:line="360" w:lineRule="auto"/>
        <w:jc w:val="both"/>
        <w:rPr>
          <w:rFonts w:eastAsia="Times New Roman"/>
          <w:b/>
          <w:bCs/>
          <w:lang w:eastAsia="pl-PL"/>
        </w:rPr>
      </w:pPr>
      <w:r w:rsidRPr="0073245A">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57E7D" w:rsidRDefault="00CF0A9D"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271901">
        <w:rPr>
          <w:rFonts w:ascii="Tahoma" w:hAnsi="Tahoma" w:cs="Tahoma"/>
          <w:color w:val="00B050"/>
          <w:sz w:val="22"/>
          <w:szCs w:val="22"/>
        </w:rPr>
        <w:t xml:space="preserve">zajmowała w latach 2016, 2017, 2018 bardzo bezpieczną pozycję z punktu widzenia dostawców. Jest to bardzo korzystny sygnał. Tak dobre wyniki należą do rzadkości. Wyniki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271901">
        <w:rPr>
          <w:rFonts w:ascii="Tahoma" w:hAnsi="Tahoma" w:cs="Tahoma"/>
          <w:color w:val="00B050"/>
          <w:sz w:val="22"/>
          <w:szCs w:val="22"/>
        </w:rPr>
        <w:t xml:space="preserve">na tym poziomie należy uznać za jej silną stronę. Zaznaczyć jednocześnie należy, że wyniki tej firmy mieszczą się powyżej wartości średnich dla branży.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271901">
        <w:rPr>
          <w:rFonts w:ascii="Tahoma" w:hAnsi="Tahoma" w:cs="Tahoma"/>
          <w:color w:val="00B050"/>
          <w:sz w:val="22"/>
          <w:szCs w:val="22"/>
        </w:rPr>
        <w:t>uzyskuje wyniki płynności bieżącej w latach 2017 - 2018 na stabilnym poziomie. Wartości płynności bieżącej i szybkiej były w analizowanym okresie na bardzo korzystnym poziomie. Dynamika w 2018 roku na płynności bieżącej była na dość niekorzystnym poziomie i wyniosła (-1,70)%. Ocena płynności gotówkowej w 2018 roku pozwala na przyznanie maksymalnej liczby punktów, gdyż wyniki tej firmy wskazują, iż jest ona w stanie pokryć wszystkie zobowiązania wobec dostawców najbardziej płynnym aktywem</w:t>
      </w:r>
      <w:r w:rsidR="00A57E7D" w:rsidRPr="00EA71E9">
        <w:rPr>
          <w:rFonts w:ascii="Tahoma" w:hAnsi="Tahoma" w:cs="Tahoma"/>
          <w:sz w:val="22"/>
          <w:szCs w:val="22"/>
        </w:rPr>
        <w:t xml:space="preserve">. </w:t>
      </w:r>
      <w:r w:rsidR="00A57E7D" w:rsidRPr="00CF0A9D">
        <w:rPr>
          <w:rFonts w:ascii="Tahoma" w:hAnsi="Tahoma" w:cs="Tahoma"/>
          <w:sz w:val="22"/>
          <w:szCs w:val="22"/>
        </w:rPr>
        <w:t xml:space="preserve">Płynność gotówkowa wyniosła </w:t>
      </w:r>
      <w:r w:rsidRPr="00CF0A9D">
        <w:rPr>
          <w:rFonts w:ascii="Tahoma" w:hAnsi="Tahoma" w:cs="Tahoma"/>
          <w:sz w:val="22"/>
          <w:szCs w:val="22"/>
        </w:rPr>
        <w:t>${WSK2_0}</w:t>
      </w:r>
      <w:r w:rsidR="00A57E7D" w:rsidRPr="00EA71E9">
        <w:rPr>
          <w:rFonts w:ascii="Tahoma" w:hAnsi="Tahoma" w:cs="Tahoma"/>
          <w:sz w:val="22"/>
          <w:szCs w:val="22"/>
        </w:rPr>
        <w:t xml:space="preserve">. </w:t>
      </w:r>
      <w:r w:rsidR="00A57E7D" w:rsidRPr="00271901">
        <w:rPr>
          <w:rFonts w:ascii="Tahoma" w:hAnsi="Tahoma" w:cs="Tahoma"/>
          <w:color w:val="00B050"/>
          <w:sz w:val="22"/>
          <w:szCs w:val="22"/>
        </w:rPr>
        <w:t xml:space="preserve">Ważną obserwacją są wyniki dynamiki w 2018 dla płynności gotówkowej, które wskazują, że </w:t>
      </w:r>
      <w:r w:rsidRPr="00CF0A9D">
        <w:rPr>
          <w:rFonts w:ascii="Tahoma" w:hAnsi="Tahoma" w:cs="Tahoma"/>
          <w:sz w:val="22"/>
          <w:szCs w:val="22"/>
        </w:rPr>
        <w:t>${firma}</w:t>
      </w:r>
      <w:r w:rsidR="00A57E7D" w:rsidRPr="00271901">
        <w:rPr>
          <w:rFonts w:ascii="Tahoma" w:hAnsi="Tahoma" w:cs="Tahoma"/>
          <w:color w:val="00B050"/>
          <w:sz w:val="22"/>
          <w:szCs w:val="22"/>
        </w:rPr>
        <w:t xml:space="preserve"> zmniejszyła wartość najistotniejszego wskaźnika płynności</w:t>
      </w:r>
      <w:r w:rsidR="00A57E7D" w:rsidRPr="009D4560">
        <w:rPr>
          <w:rFonts w:ascii="Tahoma" w:hAnsi="Tahoma" w:cs="Tahoma"/>
          <w:sz w:val="22"/>
          <w:szCs w:val="22"/>
        </w:rPr>
        <w:t xml:space="preserve">. </w:t>
      </w:r>
    </w:p>
    <w:p w:rsidR="00A57E7D" w:rsidRPr="00570057" w:rsidRDefault="003D367A" w:rsidP="00570057">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A57E7D" w:rsidRDefault="00A57E7D"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t xml:space="preserve">Analiza wyników sprawności zarządzania w przedsiębiorstwach ma szczególne znaczenie. Prowadzi, bowiem do wyznaczenia wysokości cyklu konwersji gotówkowej. Badanie to prowadzone jest na </w:t>
      </w:r>
      <w:r w:rsidRPr="00A87D71">
        <w:rPr>
          <w:rFonts w:ascii="Tahoma" w:hAnsi="Tahoma" w:cs="Tahoma"/>
          <w:sz w:val="22"/>
          <w:szCs w:val="22"/>
        </w:rPr>
        <w:lastRenderedPageBreak/>
        <w:t>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271901">
        <w:rPr>
          <w:rFonts w:ascii="Tahoma" w:hAnsi="Tahoma" w:cs="Tahoma"/>
          <w:color w:val="00B050"/>
          <w:sz w:val="22"/>
          <w:szCs w:val="22"/>
        </w:rPr>
        <w:t xml:space="preserve">Wyniki jakie osiągnęła </w:t>
      </w:r>
      <w:r w:rsidR="00A87D71" w:rsidRPr="00A87D71">
        <w:rPr>
          <w:rFonts w:ascii="Tahoma" w:hAnsi="Tahoma" w:cs="Tahoma"/>
          <w:sz w:val="22"/>
          <w:szCs w:val="22"/>
        </w:rPr>
        <w:t>${firma}</w:t>
      </w:r>
      <w:r w:rsidRPr="00271901">
        <w:rPr>
          <w:rFonts w:ascii="Tahoma" w:hAnsi="Tahoma" w:cs="Tahoma"/>
          <w:color w:val="00B050"/>
          <w:sz w:val="22"/>
          <w:szCs w:val="22"/>
        </w:rPr>
        <w:t xml:space="preserve"> w 2018 roku na wskaźniku rotacji należności pozwalają stwierdzić, że wartości te są na korzystnym poziomie, gdyż wskazują na szybkie inkasowanie środków od klientów przez </w:t>
      </w:r>
      <w:r w:rsidR="00A87D71" w:rsidRPr="00A87D71">
        <w:rPr>
          <w:rFonts w:ascii="Tahoma" w:hAnsi="Tahoma" w:cs="Tahoma"/>
          <w:sz w:val="22"/>
          <w:szCs w:val="22"/>
        </w:rPr>
        <w:t>${firma}</w:t>
      </w:r>
      <w:r w:rsidRPr="00271901">
        <w:rPr>
          <w:rFonts w:ascii="Tahoma" w:hAnsi="Tahoma" w:cs="Tahoma"/>
          <w:color w:val="00B050"/>
          <w:sz w:val="22"/>
          <w:szCs w:val="22"/>
        </w:rPr>
        <w:t xml:space="preserve">. Zmiany wartości tego wskaźnika w 2018 są na niekorzystnym poziomie, gdyż zauważono dość istotne zwiększenie wartości na rotacji należności. Jest to negatywny sygnał. W następnej kolejności oceniano wyniki jakie osiągnęła </w:t>
      </w:r>
      <w:r w:rsidR="00A87D71" w:rsidRPr="00A87D71">
        <w:rPr>
          <w:rFonts w:ascii="Tahoma" w:hAnsi="Tahoma" w:cs="Tahoma"/>
          <w:sz w:val="22"/>
          <w:szCs w:val="22"/>
        </w:rPr>
        <w:t>${firma}</w:t>
      </w:r>
      <w:r w:rsidRPr="00271901">
        <w:rPr>
          <w:rFonts w:ascii="Tahoma" w:hAnsi="Tahoma" w:cs="Tahoma"/>
          <w:color w:val="00B050"/>
          <w:sz w:val="22"/>
          <w:szCs w:val="22"/>
        </w:rPr>
        <w:t xml:space="preserve"> w 2018 roku na wskaźniku rotacji zobowiązań. Wyniki te pozwalają stwierdzić, że </w:t>
      </w:r>
      <w:r w:rsidR="00A87D71" w:rsidRPr="00A87D71">
        <w:rPr>
          <w:rFonts w:ascii="Tahoma" w:hAnsi="Tahoma" w:cs="Tahoma"/>
          <w:sz w:val="22"/>
          <w:szCs w:val="22"/>
        </w:rPr>
        <w:t>${firma}</w:t>
      </w:r>
      <w:r w:rsidRPr="00271901">
        <w:rPr>
          <w:rFonts w:ascii="Tahoma" w:hAnsi="Tahoma" w:cs="Tahoma"/>
          <w:color w:val="00B050"/>
          <w:sz w:val="22"/>
          <w:szCs w:val="22"/>
        </w:rPr>
        <w:t xml:space="preserve"> osiąga wartości na bardzo korzystnym poziomie, gdyż wskazują na bardzo szybkie spłacanie zobowiązań przez </w:t>
      </w:r>
      <w:r w:rsidR="00A87D71" w:rsidRPr="00A87D71">
        <w:rPr>
          <w:rFonts w:ascii="Tahoma" w:hAnsi="Tahoma" w:cs="Tahoma"/>
          <w:sz w:val="22"/>
          <w:szCs w:val="22"/>
        </w:rPr>
        <w:t>${firma}</w:t>
      </w:r>
      <w:r w:rsidRPr="00271901">
        <w:rPr>
          <w:rFonts w:ascii="Tahoma" w:hAnsi="Tahoma" w:cs="Tahoma"/>
          <w:color w:val="00B050"/>
          <w:sz w:val="22"/>
          <w:szCs w:val="22"/>
        </w:rPr>
        <w:t>. Wartości wskaźnika rotacji zobowiązań w 2018 zostały istotnie podniesione. Jest to negatywny sygnał, gdyż jednocześnie wzrastają zagrożenia na okresy kolejne</w:t>
      </w:r>
      <w:r w:rsidRPr="00097A26">
        <w:rPr>
          <w:rFonts w:ascii="Tahoma" w:hAnsi="Tahoma" w:cs="Tahoma"/>
          <w:sz w:val="22"/>
          <w:szCs w:val="22"/>
        </w:rPr>
        <w:t>.</w:t>
      </w:r>
    </w:p>
    <w:p w:rsidR="003D367A" w:rsidRDefault="003D367A" w:rsidP="00A57E7D">
      <w:pPr>
        <w:pStyle w:val="NormalnyWeb"/>
        <w:spacing w:after="240" w:afterAutospacing="0" w:line="360" w:lineRule="auto"/>
        <w:jc w:val="both"/>
        <w:rPr>
          <w:rFonts w:ascii="Tahoma" w:hAnsi="Tahoma" w:cs="Tahoma"/>
          <w:sz w:val="22"/>
          <w:szCs w:val="22"/>
        </w:rPr>
      </w:pPr>
    </w:p>
    <w:p w:rsidR="00A57E7D" w:rsidRPr="003D367A" w:rsidRDefault="003D367A" w:rsidP="00A57E7D">
      <w:pPr>
        <w:pStyle w:val="NormalnyWeb"/>
        <w:spacing w:after="240" w:afterAutospacing="0" w:line="360" w:lineRule="auto"/>
        <w:jc w:val="center"/>
        <w:rPr>
          <w:rFonts w:ascii="Tahoma" w:hAnsi="Tahoma" w:cs="Tahoma"/>
          <w:sz w:val="22"/>
          <w:szCs w:val="22"/>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271901">
        <w:rPr>
          <w:rFonts w:ascii="Tahoma" w:hAnsi="Tahoma" w:cs="Tahoma"/>
          <w:color w:val="00B050"/>
          <w:sz w:val="22"/>
          <w:szCs w:val="22"/>
        </w:rPr>
        <w:t xml:space="preserve">Analiza cyklu konwersji gotówkowej wskazuje na finansowanie cyklu handlowego przez </w:t>
      </w:r>
      <w:r w:rsidR="00A87D71" w:rsidRPr="00A87D71">
        <w:rPr>
          <w:rFonts w:ascii="Tahoma" w:hAnsi="Tahoma" w:cs="Tahoma"/>
          <w:sz w:val="22"/>
          <w:szCs w:val="22"/>
        </w:rPr>
        <w:t>${firma}</w:t>
      </w:r>
      <w:r w:rsidRPr="00271901">
        <w:rPr>
          <w:rFonts w:ascii="Tahoma" w:hAnsi="Tahoma" w:cs="Tahoma"/>
          <w:color w:val="00B050"/>
          <w:sz w:val="22"/>
          <w:szCs w:val="22"/>
        </w:rPr>
        <w:t xml:space="preserve"> z kapitałów własnych, o czym świadczy dodatnia wartość. Wartości wskaźnika cyklu konwersji gotówkowej w 2018 zostały podniesione. Jest to pozytywny sygnał, gdyż wskazuje na większe finansowanie cyklu handlowego przez </w:t>
      </w:r>
      <w:r w:rsidR="00A87D71" w:rsidRPr="00A87D71">
        <w:rPr>
          <w:rFonts w:ascii="Tahoma" w:hAnsi="Tahoma" w:cs="Tahoma"/>
          <w:sz w:val="22"/>
          <w:szCs w:val="22"/>
        </w:rPr>
        <w:t>${firma}</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57E7D"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Badając wskaźnik ROI </w:t>
      </w:r>
      <w:r w:rsidR="00A87D71" w:rsidRPr="00A87D71">
        <w:rPr>
          <w:rFonts w:ascii="Tahoma" w:hAnsi="Tahoma" w:cs="Tahoma"/>
        </w:rPr>
        <w:t>${firma}</w:t>
      </w:r>
      <w:r w:rsidRPr="00271901">
        <w:rPr>
          <w:rFonts w:ascii="Tahoma" w:eastAsia="Times New Roman" w:hAnsi="Tahoma" w:cs="Tahoma"/>
          <w:color w:val="00B050"/>
          <w:lang w:eastAsia="pl-PL"/>
        </w:rPr>
        <w:t xml:space="preserve"> należy stwierdzić, że osiągnęła ona w 2018 roku wartości na umiarkowanym poziomie. Wartości te wskazują na niezbyt wysoki zwrot na posiadanych przez Spółkę aktywach. Następnie badano wyniki wskaźnika ROE i na podstawie wyników tego wskaźnika można stwierdzić, iż w roku </w:t>
      </w:r>
      <w:r w:rsidRPr="00271901">
        <w:rPr>
          <w:rFonts w:ascii="Tahoma" w:eastAsia="Times New Roman" w:hAnsi="Tahoma" w:cs="Tahoma"/>
          <w:color w:val="00B050"/>
          <w:lang w:eastAsia="pl-PL"/>
        </w:rPr>
        <w:lastRenderedPageBreak/>
        <w:t xml:space="preserve">2018 znajdował się na umiarkowanym poziomie. Wartość tego wskaźnika pozwala jednak na pozytywne ocenienie </w:t>
      </w:r>
      <w:r w:rsidR="00A87D71" w:rsidRPr="00A87D71">
        <w:rPr>
          <w:rFonts w:ascii="Tahoma" w:hAnsi="Tahoma" w:cs="Tahoma"/>
        </w:rPr>
        <w:t>${firma}</w:t>
      </w:r>
      <w:r w:rsidRPr="00271901">
        <w:rPr>
          <w:rFonts w:ascii="Tahoma" w:eastAsia="Times New Roman" w:hAnsi="Tahoma" w:cs="Tahoma"/>
          <w:color w:val="00B050"/>
          <w:lang w:eastAsia="pl-PL"/>
        </w:rPr>
        <w:t xml:space="preserve">. Ważną obserwacją są wyniki dynamiki ROE w 2018, które wskazują, że </w:t>
      </w:r>
      <w:r w:rsidR="00A87D71" w:rsidRPr="00A87D71">
        <w:rPr>
          <w:rFonts w:ascii="Tahoma" w:hAnsi="Tahoma" w:cs="Tahoma"/>
        </w:rPr>
        <w:t>${firma}</w:t>
      </w:r>
      <w:r w:rsidRPr="00271901">
        <w:rPr>
          <w:rFonts w:ascii="Tahoma" w:eastAsia="Times New Roman" w:hAnsi="Tahoma" w:cs="Tahoma"/>
          <w:color w:val="00B050"/>
          <w:lang w:eastAsia="pl-PL"/>
        </w:rPr>
        <w:t xml:space="preserve"> znacznie zmniejszyła zwrot z inwestycji właścicielskiej. Jest to niekorzystny sygnał wskazujący na znaczne pogorszenie sytuacji w tej firmie w tym względzie. Ostatnim analizowanym wskaźnikiem jest rentowność przychodów, na tym wskaźniku </w:t>
      </w:r>
      <w:r w:rsidR="00A87D71" w:rsidRPr="00A87D71">
        <w:rPr>
          <w:rFonts w:ascii="Tahoma" w:hAnsi="Tahoma" w:cs="Tahoma"/>
        </w:rPr>
        <w:t>${firma}</w:t>
      </w:r>
      <w:r w:rsidRPr="00271901">
        <w:rPr>
          <w:rFonts w:ascii="Tahoma" w:eastAsia="Times New Roman" w:hAnsi="Tahoma" w:cs="Tahoma"/>
          <w:color w:val="00B050"/>
          <w:lang w:eastAsia="pl-PL"/>
        </w:rPr>
        <w:t xml:space="preserve"> osiąga w 2018 roku umiarkowane wartości. Rentowność przychodów firmy jest na dość niskim poziomie. Podsumowując wyniki rentowności badanego podmiotu należy stwierdzić, że osiągnął on umiarkowane wyniki na rentowności. Wyniki takie stanowią jednak podstawę do wydania pozytywnej opinii nt. tej firmy</w:t>
      </w:r>
      <w:r>
        <w:rPr>
          <w:rFonts w:ascii="Tahoma" w:eastAsia="Times New Roman" w:hAnsi="Tahoma" w:cs="Tahoma"/>
          <w:lang w:eastAsia="pl-PL"/>
        </w:rPr>
        <w:t>.</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570057" w:rsidRDefault="003D367A" w:rsidP="00A57E7D">
      <w:pPr>
        <w:pStyle w:val="NormalnyWeb"/>
        <w:jc w:val="center"/>
        <w:rPr>
          <w:color w:val="0070C0"/>
        </w:rPr>
      </w:pPr>
      <w:r>
        <w:rPr>
          <w:rFonts w:ascii="Tahoma" w:hAnsi="Tahoma" w:cs="Tahoma"/>
          <w:color w:val="000000"/>
          <w:sz w:val="20"/>
          <w:szCs w:val="20"/>
        </w:rPr>
        <w:t>${IMG_WSKROIROE}</w:t>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57E7D" w:rsidRDefault="00A57E7D" w:rsidP="00A57E7D">
      <w:pPr>
        <w:pStyle w:val="NormalnyWeb"/>
        <w:spacing w:after="240" w:afterAutospacing="0" w:line="360" w:lineRule="auto"/>
        <w:jc w:val="both"/>
        <w:rPr>
          <w:rFonts w:ascii="Tahoma" w:hAnsi="Tahoma" w:cs="Tahoma"/>
          <w:sz w:val="22"/>
          <w:szCs w:val="22"/>
        </w:rPr>
      </w:pPr>
      <w:r w:rsidRPr="00271901">
        <w:rPr>
          <w:rFonts w:ascii="Tahoma" w:hAnsi="Tahoma" w:cs="Tahoma"/>
          <w:color w:val="00B050"/>
          <w:sz w:val="22"/>
          <w:szCs w:val="22"/>
        </w:rPr>
        <w:t xml:space="preserve">Wskaźnik pokrycia aktywów w 2018 roku znajduje się na bardzo bezpiecznym poziomie. Wskazuje na bardzo duże zaangażowanie właścicielskie w proces finansowania składników majątku Spółki. Osiągnięta na tym wskaźniku dynamika w roku 2018 w stosunku do roku 2017 jest na dość niekorzystnym poziomie, gdyż wskazuje na zmniejszenie pokrycia aktywów przez kapitały własne. Następnie badano wyniki wskaźnika zadłużenia ogólnego i na podstawie jego wyników można stwierdzić, iż w roku 2018 znajdował się na bardzo bezpiecznym poziomie. Wartość tego wskaźnika pozwala na bardzo pozytywne ocenienie </w:t>
      </w:r>
      <w:r w:rsidR="004462DA" w:rsidRPr="00A87D71">
        <w:rPr>
          <w:rFonts w:ascii="Tahoma" w:hAnsi="Tahoma" w:cs="Tahoma"/>
          <w:sz w:val="22"/>
          <w:szCs w:val="22"/>
        </w:rPr>
        <w:t>${firma}</w:t>
      </w:r>
      <w:r w:rsidRPr="00271901">
        <w:rPr>
          <w:rFonts w:ascii="Tahoma" w:hAnsi="Tahoma" w:cs="Tahoma"/>
          <w:color w:val="00B050"/>
          <w:sz w:val="22"/>
          <w:szCs w:val="22"/>
        </w:rPr>
        <w:t>. Dynamika na zadłużeniu w ostatnim z analizowanych lat jest na niekorzystnym poziomie, gdyż wskazuje na zwiększenie poziomu zadłużenia analizowanego podmiotu</w:t>
      </w:r>
      <w:r w:rsidRPr="00BB3D7E">
        <w:rPr>
          <w:rFonts w:ascii="Tahoma" w:hAnsi="Tahoma" w:cs="Tahoma"/>
          <w:sz w:val="22"/>
          <w:szCs w:val="22"/>
        </w:rPr>
        <w:t xml:space="preserve">. </w:t>
      </w:r>
    </w:p>
    <w:p w:rsidR="00A57E7D" w:rsidRDefault="00A57E7D" w:rsidP="00A57E7D">
      <w:pPr>
        <w:spacing w:line="360" w:lineRule="auto"/>
        <w:jc w:val="both"/>
        <w:rPr>
          <w:rFonts w:ascii="Tahoma" w:eastAsia="Times New Roman" w:hAnsi="Tahoma" w:cs="Tahoma"/>
          <w:lang w:eastAsia="pl-PL"/>
        </w:rPr>
      </w:pPr>
      <w:r w:rsidRPr="004462DA">
        <w:rPr>
          <w:rFonts w:ascii="Tahoma" w:hAnsi="Tahoma" w:cs="Tahoma"/>
        </w:rPr>
        <w:lastRenderedPageBreak/>
        <w:t>Dane pochodzące z tego wskaźnika informują o tym kto w większym stopniu finansuje tą firmę: czy właściciel (kapitał własny), czy zewnętrzni dostawcy kapitału (banki, dostawcy sprzedający na kredyt kupiecki)?</w:t>
      </w:r>
      <w:r w:rsidR="004462DA">
        <w:rPr>
          <w:rFonts w:ascii="Tahoma" w:hAnsi="Tahoma" w:cs="Tahoma"/>
          <w:color w:val="00B050"/>
        </w:rPr>
        <w:t xml:space="preserve"> </w:t>
      </w:r>
      <w:r w:rsidRPr="00271901">
        <w:rPr>
          <w:rFonts w:ascii="Tahoma" w:hAnsi="Tahoma" w:cs="Tahoma"/>
          <w:color w:val="00B050"/>
        </w:rPr>
        <w:t xml:space="preserve">Z wyników odczytać możemy, iż finansowanie w 2018 roku w największym stopniu pochodzi od właściciela. Aktualnie finansowanie zewnętrzne jest zasadniczo niższe od finansowania udzielonego przez właściciela. Jest to korzystny sygnał i pozwala na pozytywne ocenienie badanego podmiotu. Wartości tego wskaźnika pozwalają stwierdzić, iż właściciel zmniejszył wartość finansowania udzielonego (mierzonego udziałem kapitału własnego w sumie bilansowej) </w:t>
      </w:r>
      <w:r w:rsidR="004462DA" w:rsidRPr="00A87D71">
        <w:rPr>
          <w:rFonts w:ascii="Tahoma" w:hAnsi="Tahoma" w:cs="Tahoma"/>
        </w:rPr>
        <w:t>${firma}</w:t>
      </w:r>
      <w:r w:rsidRPr="00271901">
        <w:rPr>
          <w:rFonts w:ascii="Tahoma" w:hAnsi="Tahoma" w:cs="Tahoma"/>
          <w:color w:val="00B050"/>
        </w:rPr>
        <w:t xml:space="preserve"> w 2018 roku w stosunku do roku 2017</w:t>
      </w:r>
      <w:r w:rsidRPr="00BB3D7E">
        <w:rPr>
          <w:rFonts w:ascii="Tahoma" w:eastAsia="Times New Roman" w:hAnsi="Tahoma" w:cs="Tahoma"/>
          <w:lang w:eastAsia="pl-PL"/>
        </w:rPr>
        <w:t xml:space="preserve">. </w:t>
      </w:r>
    </w:p>
    <w:p w:rsidR="00A57E7D" w:rsidRPr="00570057" w:rsidRDefault="003D367A"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Default="00A57E7D" w:rsidP="00A57E7D">
      <w:pPr>
        <w:spacing w:after="240" w:line="360" w:lineRule="auto"/>
        <w:jc w:val="both"/>
        <w:rPr>
          <w:rFonts w:ascii="Tahoma" w:hAnsi="Tahoma" w:cs="Tahoma"/>
          <w:color w:val="000000"/>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004462DA">
        <w:rPr>
          <w:rFonts w:ascii="Tahoma" w:hAnsi="Tahoma" w:cs="Tahoma"/>
          <w:color w:val="0070C0"/>
        </w:rPr>
        <w:t xml:space="preserve"> </w:t>
      </w:r>
      <w:r w:rsidRPr="00271901">
        <w:rPr>
          <w:rFonts w:ascii="Tahoma" w:hAnsi="Tahoma" w:cs="Tahoma"/>
          <w:color w:val="00B050"/>
        </w:rPr>
        <w:t xml:space="preserve">Analizowana firma wykazuje w 2018 roku dobre wartości na tym wskaźniku, gdyż wskazują one na całkowite pokrycie aktywów trwałych kapitałami własnymi. Obserwując dynamikę tego wskaźnika zauważyć należy, że </w:t>
      </w:r>
      <w:r w:rsidR="004462DA" w:rsidRPr="00A87D71">
        <w:rPr>
          <w:rFonts w:ascii="Tahoma" w:hAnsi="Tahoma" w:cs="Tahoma"/>
        </w:rPr>
        <w:t>${firma}</w:t>
      </w:r>
      <w:r w:rsidRPr="00271901">
        <w:rPr>
          <w:rFonts w:ascii="Tahoma" w:hAnsi="Tahoma" w:cs="Tahoma"/>
          <w:color w:val="00B050"/>
        </w:rPr>
        <w:t xml:space="preserve"> podniosła stopień pokrycia aktywów trwałych kapitałami własnymi. Jest to korzystny sygnał. W 2018 roku udziałowcy finansowali za pomocą kapitału własnego całą wartość aktywów trwałych</w:t>
      </w:r>
      <w:r>
        <w:rPr>
          <w:rFonts w:ascii="Tahoma" w:hAnsi="Tahoma" w:cs="Tahoma"/>
          <w:color w:val="000000"/>
        </w:rPr>
        <w:t>.</w:t>
      </w:r>
    </w:p>
    <w:p w:rsidR="004145E6" w:rsidRDefault="004145E6" w:rsidP="00A57E7D">
      <w:pPr>
        <w:spacing w:after="240" w:line="360" w:lineRule="auto"/>
        <w:jc w:val="both"/>
        <w:rPr>
          <w:rFonts w:ascii="Tahoma" w:hAnsi="Tahoma" w:cs="Tahoma"/>
          <w:color w:val="000000"/>
        </w:rPr>
      </w:pPr>
    </w:p>
    <w:p w:rsidR="00A57E7D" w:rsidRDefault="00A57E7D" w:rsidP="00A57E7D">
      <w:pPr>
        <w:spacing w:after="240" w:line="360" w:lineRule="auto"/>
        <w:jc w:val="both"/>
        <w:rPr>
          <w:rFonts w:ascii="Tahoma" w:hAnsi="Tahoma" w:cs="Tahoma"/>
          <w:color w:val="000000"/>
        </w:rPr>
      </w:pP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osiągnęła bardzo korzystne wyniki na produktywności. Wyniki tej firmy były na znacznie korzystniejszym poziomie niż w branży</w:t>
      </w:r>
      <w:r>
        <w:rPr>
          <w:rFonts w:ascii="Tahoma" w:hAnsi="Tahoma" w:cs="Tahoma"/>
          <w:color w:val="000000"/>
          <w:sz w:val="20"/>
          <w:szCs w:val="20"/>
        </w:rPr>
        <w:t>.</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lastRenderedPageBreak/>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73245A">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73245A">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73245A">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73245A" w:rsidRPr="0073245A">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580" w:rsidRDefault="004B4580">
      <w:r>
        <w:separator/>
      </w:r>
    </w:p>
  </w:endnote>
  <w:endnote w:type="continuationSeparator" w:id="1">
    <w:p w:rsidR="004B4580" w:rsidRDefault="004B45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73245A"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73245A" w:rsidP="00B72401">
    <w:pPr>
      <w:pStyle w:val="Stopka"/>
      <w:ind w:right="360"/>
      <w:rPr>
        <w:color w:val="262626"/>
        <w:sz w:val="12"/>
        <w:szCs w:val="12"/>
      </w:rPr>
    </w:pPr>
    <w:r w:rsidRPr="0073245A">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73245A">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73245A"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580" w:rsidRDefault="004B4580">
      <w:r>
        <w:separator/>
      </w:r>
    </w:p>
  </w:footnote>
  <w:footnote w:type="continuationSeparator" w:id="1">
    <w:p w:rsidR="004B4580" w:rsidRDefault="004B45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73245A"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69D8FAA6"/>
    <w:lvl w:ilvl="0" w:tplc="273450D0">
      <w:start w:val="1"/>
      <w:numFmt w:val="decimal"/>
      <w:lvlText w:val="%1."/>
      <w:lvlJc w:val="left"/>
      <w:pPr>
        <w:tabs>
          <w:tab w:val="num" w:pos="720"/>
        </w:tabs>
        <w:ind w:left="720" w:hanging="360"/>
      </w:pPr>
      <w:rPr>
        <w:rFonts w:hint="default"/>
        <w:b/>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37890">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929"/>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A646B"/>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979BD"/>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67A"/>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5E6"/>
    <w:rsid w:val="00414BB2"/>
    <w:rsid w:val="00417634"/>
    <w:rsid w:val="00417B36"/>
    <w:rsid w:val="00420497"/>
    <w:rsid w:val="00420508"/>
    <w:rsid w:val="00420DD0"/>
    <w:rsid w:val="00421522"/>
    <w:rsid w:val="0042194A"/>
    <w:rsid w:val="00422D40"/>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4580"/>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0057"/>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0AA"/>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5609"/>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45A"/>
    <w:rsid w:val="00732733"/>
    <w:rsid w:val="007338F5"/>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6BEB"/>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45CE"/>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0B7"/>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3CA4"/>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05961"/>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f60"/>
    </o:shapedefaults>
    <o:shapelayout v:ext="edit">
      <o:idmap v:ext="edit" data="1"/>
      <o:rules v:ext="edit">
        <o:r id="V:Rule14" type="connector" idref="#_x0000_s1054"/>
        <o:r id="V:Rule15" type="connector" idref="#_x0000_s1048"/>
        <o:r id="V:Rule16" type="connector" idref="#_x0000_s1043"/>
        <o:r id="V:Rule17" type="connector" idref="#_x0000_s1042"/>
        <o:r id="V:Rule18" type="connector" idref="#_x0000_s1049"/>
        <o:r id="V:Rule19" type="connector" idref="#_x0000_s1046"/>
        <o:r id="V:Rule20" type="connector" idref="#_x0000_s1041"/>
        <o:r id="V:Rule21" type="connector" idref="#_x0000_s1053"/>
        <o:r id="V:Rule22" type="connector" idref="#_x0000_s1044"/>
        <o:r id="V:Rule23" type="connector" idref="#_x0000_s1050"/>
        <o:r id="V:Rule24" type="connector" idref="#_x0000_s1055"/>
        <o:r id="V:Rule25" type="connector" idref="#_x0000_s1033"/>
        <o:r id="V:Rule26"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5689</Words>
  <Characters>34137</Characters>
  <Application>Microsoft Office Word</Application>
  <DocSecurity>0</DocSecurity>
  <Lines>284</Lines>
  <Paragraphs>79</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39747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3</cp:revision>
  <cp:lastPrinted>2017-10-26T09:32:00Z</cp:lastPrinted>
  <dcterms:created xsi:type="dcterms:W3CDTF">2019-05-15T20:16:00Z</dcterms:created>
  <dcterms:modified xsi:type="dcterms:W3CDTF">2019-05-15T20:23:00Z</dcterms:modified>
</cp:coreProperties>
</file>