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240"/>
        <w:jc w:val="center"/>
      </w:pPr>
      <w:r>
        <w:rPr>
          <w:rFonts w:ascii="Malgun Gothic" w:hAnsi="Malgun Gothic" w:eastAsia="Malgun Gothic"/>
          <w:b/>
          <w:color w:val="1F3864"/>
          <w:sz w:val="48"/>
        </w:rPr>
        <w:t>CREDEAL 플랫폼 패턴 확장 로드맵</w:t>
      </w:r>
    </w:p>
    <w:p>
      <w:pPr>
        <w:spacing w:after="200"/>
        <w:jc w:val="center"/>
      </w:pPr>
      <w:r>
        <w:rPr>
          <w:rFonts w:ascii="Malgun Gothic" w:hAnsi="Malgun Gothic" w:eastAsia="Malgun Gothic"/>
          <w:color w:val="2E5496"/>
          <w:sz w:val="28"/>
        </w:rPr>
        <w:t>P2P AI 증강 중개 플랫폼 패턴의 전수 스크리닝과 확장 시퀀스</w:t>
      </w:r>
    </w:p>
    <w:p>
      <w:pPr>
        <w:spacing w:after="160"/>
        <w:jc w:val="center"/>
      </w:pPr>
      <w:r>
        <w:rPr>
          <w:rFonts w:ascii="Malgun Gothic" w:hAnsi="Malgun Gothic" w:eastAsia="Malgun Gothic"/>
          <w:i/>
          <w:color w:val="595959"/>
          <w:sz w:val="21"/>
        </w:rPr>
        <w:t>"비표준 고액 자산의 딜 인프라 — 첫 시장이 상업용 부동산일 뿐"</w:t>
      </w:r>
    </w:p>
    <w:p>
      <w:pPr>
        <w:jc w:val="center"/>
      </w:pPr>
      <w:r>
        <w:rPr>
          <w:rFonts w:ascii="Malgun Gothic" w:hAnsi="Malgun Gothic" w:eastAsia="Malgun Gothic"/>
          <w:i/>
          <w:color w:val="808080"/>
          <w:sz w:val="19"/>
        </w:rPr>
        <w:t>2026년 7월  |  투자자·전략 검토용 (Confidential)</w:t>
      </w:r>
    </w:p>
    <w:p>
      <w:r>
        <w:br w:type="page"/>
      </w:r>
    </w:p>
    <w:p>
      <w:pPr>
        <w:pStyle w:val="Heading1"/>
      </w:pPr>
      <w:r>
        <w:t>목차</w:t>
      </w:r>
    </w:p>
    <w:p>
      <w:r>
        <w:fldChar w:fldCharType="begin"/>
        <w:instrText xml:space="preserve">TOC \o "1-2" \h \z \u</w:instrText>
        <w:fldChar w:fldCharType="separate"/>
        <w:t>목차를 표시하려면 필드를 업데이트하세요 (F9)</w:t>
        <w:fldChar w:fldCharType="end"/>
      </w:r>
    </w:p>
    <w:p>
      <w:r>
        <w:rPr>
          <w:rFonts w:ascii="Malgun Gothic" w:hAnsi="Malgun Gothic" w:eastAsia="Malgun Gothic"/>
          <w:i/>
          <w:color w:val="808080"/>
          <w:sz w:val="18"/>
        </w:rPr>
        <w:t>※ Word에서 Ctrl+A → F9(필드 업데이트) 실행 시 목차가 생성됩니다.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Malgun Gothic" w:hAnsi="Malgun Gothic" w:eastAsia="Malgun Gothic"/>
        </w:rPr>
        <w:t xml:space="preserve">크리딜의 본질은 꼬마빌딩 앱이 아니라 </w:t>
      </w:r>
      <w:r>
        <w:rPr>
          <w:rFonts w:ascii="Malgun Gothic" w:hAnsi="Malgun Gothic" w:eastAsia="Malgun Gothic"/>
          <w:b/>
        </w:rPr>
        <w:t>'비표준·고액·저빈도 자산의 P2P AI 증강 중개 인프라'</w:t>
      </w:r>
      <w:r>
        <w:rPr>
          <w:rFonts w:ascii="Malgun Gothic" w:hAnsi="Malgun Gothic" w:eastAsia="Malgun Gothic"/>
        </w:rPr>
        <w:t xml:space="preserve"> 패턴이다. 이 패턴은 7개 재사용 모듈(문서 생성 코어, 공개 사다리, 온톨로지 프로토콜, 재식별 방지, P2P 교환망, 암묵지 플라이휠, 라이프사이클 순환)로 구성되며, 온톨로지 스키마만 교체하면 다른 자산 시장에서 작동하도록 설계돼 있다.</w:t>
      </w:r>
    </w:p>
    <w:p>
      <w:r>
        <w:rPr>
          <w:rFonts w:ascii="Malgun Gothic" w:hAnsi="Malgun Gothic" w:eastAsia="Malgun Gothic"/>
        </w:rPr>
        <w:t xml:space="preserve">본 문서는 18개 후보 분야를 7조건 프레임워크로 전수 스크리닝하고, 심층 프로파일 8종과 5개년 확장 시퀀스를 제시한다. 결론: </w:t>
      </w:r>
      <w:r>
        <w:rPr>
          <w:rFonts w:ascii="Malgun Gothic" w:hAnsi="Malgun Gothic" w:eastAsia="Malgun Gothic"/>
          <w:b/>
        </w:rPr>
        <w:t>1년차는 확장하지 않는다(강남·성수 검증 집중).</w:t>
      </w:r>
      <w:r>
        <w:rPr>
          <w:rFonts w:ascii="Malgun Gothic" w:hAnsi="Malgun Gothic" w:eastAsia="Malgun Gothic"/>
        </w:rPr>
        <w:t xml:space="preserve"> 이후 최단 경로는 ① 일본 수익부동산(패턴 이식이 아닌 제품 이식 — 마이소쿠 문화가 티저와 동형), ② 태양광·신재생 발전자산과 병의원·약국 양수도(수익형 자산 사고방식 직이식), ③ 중소기업 M&amp;A·사업승계(승계 절벽 타이밍과 동조), ④ 디지털 자산 M&amp;A(자동충전 패턴의 디지털 전개·글로벌 옵션)이다.</w:t>
      </w:r>
    </w:p>
    <w:p>
      <w:r>
        <w:rPr>
          <w:rFonts w:ascii="Malgun Gothic" w:hAnsi="Malgun Gothic" w:eastAsia="Malgun Gothic"/>
        </w:rPr>
        <w:t>확장의 전제는 두 가지뿐이다: im-core·사다리·동의 체인을 도메인 중립으로 유지할 것(현 DEV_SPEC이 이미 충족), 그리고 검증 없는 수평 확장을 하지 않을 것.</w:t>
      </w:r>
    </w:p>
    <w:p>
      <w:r>
        <w:br w:type="page"/>
      </w:r>
    </w:p>
    <w:p>
      <w:pPr>
        <w:pStyle w:val="Heading1"/>
      </w:pPr>
      <w:r>
        <w:t>2. 플랫폼 패턴의 추상화</w:t>
      </w:r>
    </w:p>
    <w:p>
      <w:pPr>
        <w:pStyle w:val="Heading2"/>
      </w:pPr>
      <w:r>
        <w:t>2.1 7대 재사용 모듈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7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#</w:t>
            </w:r>
          </w:p>
        </w:tc>
        <w:tc>
          <w:tcPr>
            <w:tcW w:type="dxa" w:w="181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모듈</w:t>
            </w:r>
          </w:p>
        </w:tc>
        <w:tc>
          <w:tcPr>
            <w:tcW w:type="dxa" w:w="4082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 구현</w:t>
            </w:r>
          </w:p>
        </w:tc>
        <w:tc>
          <w:tcPr>
            <w:tcW w:type="dxa" w:w="334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도메인 교체 시 변경 범위</w:t>
            </w:r>
          </w:p>
        </w:tc>
      </w:tr>
      <w:tr>
        <w:tc>
          <w:tcPr>
            <w:tcW w:type="dxa" w:w="39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AI 딜 문서 코어</w:t>
            </w:r>
          </w:p>
        </w:tc>
        <w:tc>
          <w:tcPr>
            <w:tcW w:type="dxa" w:w="408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im-core (생성·가드레일·NLG 마스크·Judge)</w:t>
            </w:r>
          </w:p>
        </w:tc>
        <w:tc>
          <w:tcPr>
            <w:tcW w:type="dxa" w:w="334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온톨로지·골든셋·프롬프트 페르소나만</w:t>
            </w:r>
          </w:p>
        </w:tc>
      </w:tr>
      <w:tr>
        <w:tc>
          <w:tcPr>
            <w:tcW w:type="dxa" w:w="39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공개 사다리</w:t>
            </w:r>
          </w:p>
        </w:tc>
        <w:tc>
          <w:tcPr>
            <w:tcW w:type="dxa" w:w="408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티저→Basic→Pro→Full→데이터룸 (커밋↔공개 등가교환)</w:t>
            </w:r>
          </w:p>
        </w:tc>
        <w:tc>
          <w:tcPr>
            <w:tcW w:type="dxa" w:w="334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단계 수·명칭 조정만 — 구조 불변</w:t>
            </w:r>
          </w:p>
        </w:tc>
      </w:tr>
      <w:tr>
        <w:tc>
          <w:tcPr>
            <w:tcW w:type="dxa" w:w="39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 프로토콜</w:t>
            </w:r>
          </w:p>
        </w:tc>
        <w:tc>
          <w:tcPr>
            <w:tcW w:type="dxa" w:w="408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자산 스키마 YAML + enum + 제약 + 아키타입 규칙</w:t>
            </w:r>
          </w:p>
        </w:tc>
        <w:tc>
          <w:tcPr>
            <w:tcW w:type="dxa" w:w="334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전면 교체 (도메인당 1회 구축)</w:t>
            </w:r>
          </w:p>
        </w:tc>
      </w:tr>
      <w:tr>
        <w:tc>
          <w:tcPr>
            <w:tcW w:type="dxa" w:w="39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4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재식별 방지</w:t>
            </w:r>
          </w:p>
        </w:tc>
        <w:tc>
          <w:tcPr>
            <w:tcW w:type="dxa" w:w="408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밴딩 + k-익명성 시뮬레이터 + 사진 안전성</w:t>
            </w:r>
          </w:p>
        </w:tc>
        <w:tc>
          <w:tcPr>
            <w:tcW w:type="dxa" w:w="334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역질의 대상 DB만 교체</w:t>
            </w:r>
          </w:p>
        </w:tc>
      </w:tr>
      <w:tr>
        <w:tc>
          <w:tcPr>
            <w:tcW w:type="dxa" w:w="39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5</w:t>
            </w:r>
          </w:p>
        </w:tc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P2P 교환망</w:t>
            </w:r>
          </w:p>
        </w:tc>
        <w:tc>
          <w:tcPr>
            <w:tcW w:type="dxa" w:w="408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블라인드 교환·Gate·평판·수수료 합의 템플릿</w:t>
            </w:r>
          </w:p>
        </w:tc>
        <w:tc>
          <w:tcPr>
            <w:tcW w:type="dxa" w:w="334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협업 관행 반영한 정책만</w:t>
            </w:r>
          </w:p>
        </w:tc>
      </w:tr>
      <w:tr>
        <w:tc>
          <w:tcPr>
            <w:tcW w:type="dxa" w:w="39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6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암묵지 플라이휠</w:t>
            </w:r>
          </w:p>
        </w:tc>
        <w:tc>
          <w:tcPr>
            <w:tcW w:type="dxa" w:w="408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행동 라벨·1탭 태깅·결과 회귀·Give-to-Get</w:t>
            </w:r>
          </w:p>
        </w:tc>
        <w:tc>
          <w:tcPr>
            <w:tcW w:type="dxa" w:w="334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태깅 어휘만</w:t>
            </w:r>
          </w:p>
        </w:tc>
      </w:tr>
      <w:tr>
        <w:tc>
          <w:tcPr>
            <w:tcW w:type="dxa" w:w="39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7</w:t>
            </w:r>
          </w:p>
        </w:tc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라이프사이클 순환</w:t>
            </w:r>
          </w:p>
        </w:tc>
        <w:tc>
          <w:tcPr>
            <w:tcW w:type="dxa" w:w="408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고객 자산 리포트 → 재수임 (매수자→매도인)</w:t>
            </w:r>
          </w:p>
        </w:tc>
        <w:tc>
          <w:tcPr>
            <w:tcW w:type="dxa" w:w="334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보유 주기·리포트 내용만</w:t>
            </w:r>
          </w:p>
        </w:tc>
      </w:tr>
    </w:tbl>
    <w:p>
      <w:pPr>
        <w:spacing w:after="80"/>
      </w:pPr>
    </w:p>
    <w:p>
      <w:pPr>
        <w:pStyle w:val="Heading2"/>
      </w:pPr>
      <w:r>
        <w:t>2.2 패턴의 한 줄 정의</w:t>
      </w:r>
    </w:p>
    <w:p>
      <w:r>
        <w:rPr>
          <w:rFonts w:ascii="Malgun Gothic" w:hAnsi="Malgun Gothic" w:eastAsia="Malgun Gothic"/>
          <w:i/>
        </w:rPr>
        <w:t>"설득 문서를 AI로 만들어주는 개인 도구로 진입하여, 문서 유통에서 수요 신호를 수집하고, 표준 온톨로지로 중개인 간 블라인드 교환망을 열며, 딜 결과 데이터로 그 시장에 존재하지 않던 가격·성사 인텔리전스를 축적하는 플랫폼."</w:t>
      </w:r>
    </w:p>
    <w:p>
      <w:pPr>
        <w:pStyle w:val="Heading1"/>
      </w:pPr>
      <w:r>
        <w:t>3. 적용성 평가 프레임워크</w:t>
      </w:r>
    </w:p>
    <w:p>
      <w:pPr>
        <w:pStyle w:val="Heading2"/>
      </w:pPr>
      <w:r>
        <w:t>3.1 7가지 적용 조건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3742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3969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왜 필수인가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C1 파편화된 중개인층</w:t>
            </w:r>
          </w:p>
        </w:tc>
        <w:tc>
          <w:tcPr>
            <w:tcW w:type="dxa" w:w="374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전문 브로커·자문사가 다수 분산돼 있는가</w:t>
            </w:r>
          </w:p>
        </w:tc>
        <w:tc>
          <w:tcPr>
            <w:tcW w:type="dxa" w:w="396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개인 도구 채택층 + P2P 망의 노드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C2 비표준·고액·저빈도</w:t>
            </w:r>
          </w:p>
        </w:tc>
        <w:tc>
          <w:tcPr>
            <w:tcW w:type="dxa" w:w="374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딜마다 다르고, 건당 커서, 자주 없는가</w:t>
            </w:r>
          </w:p>
        </w:tc>
        <w:tc>
          <w:tcPr>
            <w:tcW w:type="dxa" w:w="396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AI 문서·온톨로지의 부가가치 조건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C3 정보 비대칭 붕괴 중</w:t>
            </w:r>
          </w:p>
        </w:tc>
        <w:tc>
          <w:tcPr>
            <w:tcW w:type="dxa" w:w="374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공개 데이터화로 중개인 무기가 해체되는가</w:t>
            </w:r>
          </w:p>
        </w:tc>
        <w:tc>
          <w:tcPr>
            <w:tcW w:type="dxa" w:w="396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'중개인 편' 포지션의 수요 발생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C4 설득 문서 병목</w:t>
            </w:r>
          </w:p>
        </w:tc>
        <w:tc>
          <w:tcPr>
            <w:tcW w:type="dxa" w:w="374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티저·IM류 문서 제작이 수작업 병목인가</w:t>
            </w:r>
          </w:p>
        </w:tc>
        <w:tc>
          <w:tcPr>
            <w:tcW w:type="dxa" w:w="396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진입 쐐기(채택 유인)의 존재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C5 비공개 정보가 자산</w:t>
            </w:r>
          </w:p>
        </w:tc>
        <w:tc>
          <w:tcPr>
            <w:tcW w:type="dxa" w:w="374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가격·조건·사정이 비밀로 유통되는가</w:t>
            </w:r>
          </w:p>
        </w:tc>
        <w:tc>
          <w:tcPr>
            <w:tcW w:type="dxa" w:w="396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격리·블라인드·사다리의 가치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C6 협업 관행 존재</w:t>
            </w:r>
          </w:p>
        </w:tc>
        <w:tc>
          <w:tcPr>
            <w:tcW w:type="dxa" w:w="374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공동중개·스플릿·코워크 문화가 있는가</w:t>
            </w:r>
          </w:p>
        </w:tc>
        <w:tc>
          <w:tcPr>
            <w:tcW w:type="dxa" w:w="396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P2P 망의 인센티브 정합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C7 성사 데이터 부재</w:t>
            </w:r>
          </w:p>
        </w:tc>
        <w:tc>
          <w:tcPr>
            <w:tcW w:type="dxa" w:w="374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실제 성사가·조건 데이터가 시장에 없는가</w:t>
            </w:r>
          </w:p>
        </w:tc>
        <w:tc>
          <w:tcPr>
            <w:tcW w:type="dxa" w:w="396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궁극 해자(데이터 상품)의 기회</w:t>
            </w:r>
          </w:p>
        </w:tc>
      </w:tr>
    </w:tbl>
    <w:p>
      <w:pPr>
        <w:spacing w:after="80"/>
      </w:pPr>
    </w:p>
    <w:p>
      <w:pPr>
        <w:pStyle w:val="Heading2"/>
      </w:pPr>
      <w:r>
        <w:t>3.2 스코어링 방법</w:t>
      </w:r>
    </w:p>
    <w:p>
      <w:r>
        <w:rPr>
          <w:rFonts w:ascii="Malgun Gothic" w:hAnsi="Malgun Gothic" w:eastAsia="Malgun Gothic"/>
        </w:rPr>
        <w:t>각 조건 0~2점(총 14점) + 시장 규모·타이밍·규제 리스크·모듈 재사용률을 정성 병기. 10점 이상 = 구조 적합, 12점 이상 = 유력 후보.</w:t>
      </w:r>
    </w:p>
    <w:p>
      <w:r>
        <w:br w:type="page"/>
      </w:r>
    </w:p>
    <w:p>
      <w:pPr>
        <w:pStyle w:val="Heading1"/>
      </w:pPr>
      <w:r>
        <w:t>4. 확장 후보 전수 스크리닝 (롱리스트 18)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04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79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적합도(14)</w:t>
            </w:r>
          </w:p>
        </w:tc>
        <w:tc>
          <w:tcPr>
            <w:tcW w:type="dxa" w:w="113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시장·타이밍</w:t>
            </w:r>
          </w:p>
        </w:tc>
        <w:tc>
          <w:tcPr>
            <w:tcW w:type="dxa" w:w="4649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핵심 논거 / 결격 사유</w:t>
            </w:r>
          </w:p>
        </w:tc>
        <w:tc>
          <w:tcPr>
            <w:tcW w:type="dxa" w:w="567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Tier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일본 수익부동산</w:t>
            </w:r>
          </w:p>
        </w:tc>
        <w:tc>
          <w:tcPr>
            <w:tcW w:type="dxa" w:w="79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◎ 대형·성숙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마이소쿠(1장 전단) 문화 = 티저와 동형. 패턴 이식이 아닌 제품 이식</w:t>
            </w:r>
          </w:p>
        </w:tc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0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중소기업 M&amp;A·사업승계</w:t>
            </w:r>
          </w:p>
        </w:tc>
        <w:tc>
          <w:tcPr>
            <w:tcW w:type="dxa" w:w="79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14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◎ 승계 절벽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티저/CIM 관행 기존재·회사 특정 방지=재식별 게이트·멀티플 데이터 전무</w:t>
            </w:r>
          </w:p>
        </w:tc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상가 점포·권리금 양수도</w:t>
            </w:r>
          </w:p>
        </w:tc>
        <w:tc>
          <w:tcPr>
            <w:tcW w:type="dxa" w:w="79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◎ 거래량 최대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블라인드 필요성 극단(영업 중 노출 치명)·권리금 암시장·단가 낮아 볼륨형</w:t>
            </w:r>
          </w:p>
        </w:tc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임원급 헤드헌팅·서치펌</w:t>
            </w:r>
          </w:p>
        </w:tc>
        <w:tc>
          <w:tcPr>
            <w:tcW w:type="dxa" w:w="79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12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○ 안정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후보=블라인드 자산·서치펌 코워크 관행·성사 연봉 데이터 부재</w:t>
            </w:r>
          </w:p>
        </w:tc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태양광·신재생 발전자산</w:t>
            </w:r>
          </w:p>
        </w:tc>
        <w:tc>
          <w:tcPr>
            <w:tcW w:type="dxa" w:w="79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◎ RE100·기관 매수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SMP+REC 현금흐름=Cap Rate 사고 직이식·인허가 온톨로지·브로커 파편화</w:t>
            </w:r>
          </w:p>
        </w:tc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1.5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병의원·약국 양수도</w:t>
            </w:r>
          </w:p>
        </w:tc>
        <w:tc>
          <w:tcPr>
            <w:tcW w:type="dxa" w:w="79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13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◎ 고령화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환자·직원 동요 방지=블라인드 극단·입지+인허가+매출 온톨로지·전문직 커뮤니티</w:t>
            </w:r>
          </w:p>
        </w:tc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1.5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디지털 자산 M&amp;A (채널·앱·SaaS·이커머스)</w:t>
            </w:r>
          </w:p>
        </w:tc>
        <w:tc>
          <w:tcPr>
            <w:tcW w:type="dxa" w:w="79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12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○ 초기·글로벌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플랫폼 API로 슬롯 자동 검증(자동충전의 디지털 판)·글로벌 확장 자연스러움</w:t>
            </w:r>
          </w:p>
        </w:tc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1.5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산업설비·중장비·상용차</w:t>
            </w:r>
          </w:p>
        </w:tc>
        <w:tc>
          <w:tcPr>
            <w:tcW w:type="dxa" w:w="79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11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○ 꾸준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스펙 온톨로지(물류센터 모듈) 직이식·해외 매수자=이중 렌더 활용</w:t>
            </w:r>
          </w:p>
        </w:tc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NPL·특수채권 소액시장</w:t>
            </w:r>
          </w:p>
        </w:tc>
        <w:tc>
          <w:tcPr>
            <w:tcW w:type="dxa" w:w="79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11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◎ 만기 도래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크리딜 물류 NPL의 수직 심화 — 신규 도메인이라기보다 인접 확장</w:t>
            </w:r>
          </w:p>
        </w:tc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선박 S&amp;P (매매 중개)</w:t>
            </w:r>
          </w:p>
        </w:tc>
        <w:tc>
          <w:tcPr>
            <w:tcW w:type="dxa" w:w="79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11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○ 한국 해운 강점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서큘러 관행=티저 동형·초고액. 글로벌 기존 강자(대형 브로커) 존재</w:t>
            </w:r>
          </w:p>
        </w:tc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IP·기술이전</w:t>
            </w:r>
          </w:p>
        </w:tc>
        <w:tc>
          <w:tcPr>
            <w:tcW w:type="dxa" w:w="79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11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△ 국내 소시장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기술 요약 익명 티저 동형·수요 얇음</w:t>
            </w:r>
          </w:p>
        </w:tc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미술품·고가 컬렉터블</w:t>
            </w:r>
          </w:p>
        </w:tc>
        <w:tc>
          <w:tcPr>
            <w:tcW w:type="dxa" w:w="79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10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△ 중간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프로비넌스 온톨로지·성사가 비공개 문화 극단. 위작·감정 리스크</w:t>
            </w:r>
          </w:p>
        </w:tc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주유소 전환·복합개발</w:t>
            </w:r>
          </w:p>
        </w:tc>
        <w:tc>
          <w:tcPr>
            <w:tcW w:type="dxa" w:w="79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◎ EV 전환기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폐업 급증·자산+사업+개발 복합 — 개발부지 자산군 확장으로 흡수 가능</w:t>
            </w:r>
          </w:p>
        </w:tc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요양병원·요양시설 M&amp;A</w:t>
            </w:r>
          </w:p>
        </w:tc>
        <w:tc>
          <w:tcPr>
            <w:tcW w:type="dxa" w:w="79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10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◎ 고령화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병의원 프로파일의 서브셋으로 통합 권장</w:t>
            </w:r>
          </w:p>
        </w:tc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화물운송 면허(넘버)·버스면허</w:t>
            </w:r>
          </w:p>
        </w:tc>
        <w:tc>
          <w:tcPr>
            <w:tcW w:type="dxa" w:w="79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9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△ 니치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극불투명·브로커 존재. 규제 변동 리스크·시장 소형</w:t>
            </w:r>
          </w:p>
        </w:tc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농지·산지·전원부지</w:t>
            </w:r>
          </w:p>
        </w:tc>
        <w:tc>
          <w:tcPr>
            <w:tcW w:type="dxa" w:w="79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9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△ 저단가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자산군 확장으로 일부 흡수. 농지법 규제 복잡</w:t>
            </w:r>
          </w:p>
        </w:tc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어업권·양식장</w:t>
            </w:r>
          </w:p>
        </w:tc>
        <w:tc>
          <w:tcPr>
            <w:tcW w:type="dxa" w:w="79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8</w:t>
            </w:r>
          </w:p>
        </w:tc>
        <w:tc>
          <w:tcPr>
            <w:tcW w:type="dxa" w:w="113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△ 니치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실브로커 존재하나 시장 소형·지역 편중</w:t>
            </w:r>
          </w:p>
        </w:tc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스타트업 세컨더리·비상장주</w:t>
            </w:r>
          </w:p>
        </w:tc>
        <w:tc>
          <w:tcPr>
            <w:tcW w:type="dxa" w:w="79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8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△ 규제 중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자본시장법 라이선스 장벽 — 패턴 적합해도 진입 구조가 다름</w:t>
            </w:r>
          </w:p>
        </w:tc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Tier 분류 총괄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204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정의</w:t>
            </w:r>
          </w:p>
        </w:tc>
        <w:tc>
          <w:tcPr>
            <w:tcW w:type="dxa" w:w="4309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204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착수 시점</w:t>
            </w:r>
          </w:p>
        </w:tc>
      </w:tr>
      <w:tr>
        <w:tc>
          <w:tcPr>
            <w:tcW w:type="dxa" w:w="124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0 — 제품 이식</w:t>
            </w:r>
          </w:p>
        </w:tc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같은 제품·새 지역</w:t>
            </w:r>
          </w:p>
        </w:tc>
        <w:tc>
          <w:tcPr>
            <w:tcW w:type="dxa" w:w="430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일본 수익부동산 (동남아 후순위 검토)</w:t>
            </w:r>
          </w:p>
        </w:tc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2~3년차</w:t>
            </w:r>
          </w:p>
        </w:tc>
      </w:tr>
      <w:tr>
        <w:tc>
          <w:tcPr>
            <w:tcW w:type="dxa" w:w="124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 — 패턴 동형 최상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구조 동형성+타이밍 모두 충족</w:t>
            </w:r>
          </w:p>
        </w:tc>
        <w:tc>
          <w:tcPr>
            <w:tcW w:type="dxa" w:w="430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M&amp;A·사업승계 / 점포·권리금 / 헤드헌팅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3년차+</w:t>
            </w:r>
          </w:p>
        </w:tc>
      </w:tr>
      <w:tr>
        <w:tc>
          <w:tcPr>
            <w:tcW w:type="dxa" w:w="124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1.5 — 혁신 인접</w:t>
            </w:r>
          </w:p>
        </w:tc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크리딜 모듈 재사용률 최고·차별 기회</w:t>
            </w:r>
          </w:p>
        </w:tc>
        <w:tc>
          <w:tcPr>
            <w:tcW w:type="dxa" w:w="430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태양광·신재생 / 병의원·약국 / 디지털 자산 M&amp;A</w:t>
            </w:r>
          </w:p>
        </w:tc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2~3년차 (파일럿)</w:t>
            </w:r>
          </w:p>
        </w:tc>
      </w:tr>
      <w:tr>
        <w:tc>
          <w:tcPr>
            <w:tcW w:type="dxa" w:w="124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 — 구조 적합·조건부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적합하나 규모·경쟁·규제 제약</w:t>
            </w:r>
          </w:p>
        </w:tc>
        <w:tc>
          <w:tcPr>
            <w:tcW w:type="dxa" w:w="430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설비중장비 / NPL심화 / 선박 / IP / 미술품 / 주유소 / 요양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기회 발생 시</w:t>
            </w:r>
          </w:p>
        </w:tc>
      </w:tr>
      <w:tr>
        <w:tc>
          <w:tcPr>
            <w:tcW w:type="dxa" w:w="124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 — 관찰 목록</w:t>
            </w:r>
          </w:p>
        </w:tc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적합도·규모·규제 중 결격 존재</w:t>
            </w:r>
          </w:p>
        </w:tc>
        <w:tc>
          <w:tcPr>
            <w:tcW w:type="dxa" w:w="430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면허거래 / 농지산지 / 어업권 / 비상장주</w:t>
            </w:r>
          </w:p>
        </w:tc>
        <w:tc>
          <w:tcPr>
            <w:tcW w:type="dxa" w:w="204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재평가 주기 연 1회</w:t>
            </w:r>
          </w:p>
        </w:tc>
      </w:tr>
    </w:tbl>
    <w:p>
      <w:pPr>
        <w:spacing w:after="80"/>
      </w:pPr>
    </w:p>
    <w:p>
      <w:pPr>
        <w:pStyle w:val="Heading1"/>
      </w:pPr>
      <w:r>
        <w:t>6. 심층 프로파일 8선 — 동형 매핑</w:t>
      </w:r>
    </w:p>
    <w:p>
      <w:pPr>
        <w:pStyle w:val="Heading2"/>
      </w:pPr>
      <w:r>
        <w:t>6.1 일본 수익부동산 (Tier 0) — 최단 경로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 요소</w:t>
            </w:r>
          </w:p>
        </w:tc>
        <w:tc>
          <w:tcPr>
            <w:tcW w:type="dxa" w:w="680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일본 대응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티저 딜카드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마이소쿠(物件概要 1장 전단) — 기존 관행의 디지털·추적 가능 판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카톡 유통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LINE (동일 SDK 계열·OG 문화 유사)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공공데이터 자동충전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등기(登記)·레인즈(REINS)·고시가격 — 접근성은 한국보다 제한적, 파트너 필요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P2P 공동중개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겐교(元付)-갸쿠즈케(客付) 분업 관행 = 크로스 매칭과 정합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갭·핵심 리스크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레인즈 접근 규제·언어·현지 파트너 — 합작 진출 권장</w:t>
            </w:r>
          </w:p>
        </w:tc>
      </w:tr>
    </w:tbl>
    <w:p>
      <w:pPr>
        <w:spacing w:after="80"/>
      </w:pPr>
    </w:p>
    <w:p>
      <w:pPr>
        <w:pStyle w:val="Heading2"/>
      </w:pPr>
      <w:r>
        <w:t>6.2 중소기업 M&amp;A·사업승계 (Tier 1) — 구조 동형성 1위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 요소</w:t>
            </w:r>
          </w:p>
        </w:tc>
        <w:tc>
          <w:tcPr>
            <w:tcW w:type="dxa" w:w="680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M&amp;A 대응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자산 온톨로지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재무 3표 요약·업종·고객 집중도·핵심인력 의존도·승계 유형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티저(재식별 방지)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Teaser Memo — 회사 특정 시 직원·거래처 동요 → k-익명성 게이트가 그대로 킬러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IM Basic/Pro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IM/CIM — NDA 체인·워터마크·지정 열람 무수정 이식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아키타입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승계형·볼트온·턴어라운드·MBO — 매칭 규칙 동형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성사 데이터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업종별 멀티플·거래 구조 — 시장에 전무한 데이터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타이밍·리스크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창업주 고령화 승계 절벽. 자문 무자격 규제는 낮으나 이해상충 관리 필요</w:t>
            </w:r>
          </w:p>
        </w:tc>
      </w:tr>
    </w:tbl>
    <w:p>
      <w:pPr>
        <w:spacing w:after="80"/>
      </w:pPr>
    </w:p>
    <w:p>
      <w:pPr>
        <w:pStyle w:val="Heading2"/>
      </w:pPr>
      <w:r>
        <w:t>6.3 상가 점포·권리금 양수도 (Tier 1) — 블라인드의 극단 수요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 요소</w:t>
            </w:r>
          </w:p>
        </w:tc>
        <w:tc>
          <w:tcPr>
            <w:tcW w:type="dxa" w:w="680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권리금 대응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업종·매출(POS 검증)·임대조건·권리금 구성(바닥/영업/시설)·상권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재식별 방지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존재 이유 수준 — 영업 중 매장 노출은 직원·단골·건물주 3중 리스크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자동충전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POS·배달앱 매출 API 연동 = 공공데이터의 상업 버전 (검증 뱃지)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성사 데이터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권리금 성사가 — 완전 암시장. 최초 데이터 구축 기회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조정 필요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단가 낮음 → 볼륨형 과금·자동화 극대화. 임대차보호법 권리금 조항 준수</w:t>
            </w:r>
          </w:p>
        </w:tc>
      </w:tr>
    </w:tbl>
    <w:p>
      <w:pPr>
        <w:spacing w:after="80"/>
      </w:pPr>
    </w:p>
    <w:p>
      <w:pPr>
        <w:pStyle w:val="Heading2"/>
      </w:pPr>
      <w:r>
        <w:t>6.4 임원급 헤드헌팅·서치펌 (Tier 1) — '사람'이라는 블라인드 자산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 요소</w:t>
            </w:r>
          </w:p>
        </w:tc>
        <w:tc>
          <w:tcPr>
            <w:tcW w:type="dxa" w:w="680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서치 대응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티저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블라인드 후보 프로필 (현직장 특정 방지 = 재식별 게이트)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Pro(동의 체인)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상세 이력·평판 조회 — 후보 본인 동의 체인이 매도인 동의와 동형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P2P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서치펌 간 코워크·스플릿 관행 기존재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성사 데이터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실제 연봉·이직 사유·온보딩 성공률 — 부재 데이터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라이프사이클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오늘의 후보가 내일의 채용 결정권자 — 순환 구조 동형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리스크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개인정보보호 최고 수위 — 동의·격리 체계가 오히려 진입장벽 해자</w:t>
            </w:r>
          </w:p>
        </w:tc>
      </w:tr>
    </w:tbl>
    <w:p>
      <w:pPr>
        <w:spacing w:after="80"/>
      </w:pPr>
    </w:p>
    <w:p>
      <w:pPr>
        <w:pStyle w:val="Heading2"/>
      </w:pPr>
      <w:r>
        <w:t>6.5 태양광·신재생 발전자산 (Tier 1.5) — 수익형 자산 사고의 직이식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 요소</w:t>
            </w:r>
          </w:p>
        </w:tc>
        <w:tc>
          <w:tcPr>
            <w:tcW w:type="dxa" w:w="680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신재생 대응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재무 엔진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SMP+REC 현금흐름 → Cap Rate·DCF 사고 그대로 (발전량=렌트롤)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설비용량·모듈·인버터 연식·계통연계·부지 권원(임차/소유)·인허가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자동충전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전력거래소 발전량 데이터·RPS 정보 — 공공데이터 파이프라인 동형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아키타입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안정 수익형(고정가 계약)·밸류애드(리파워링)·개발형(허가권)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타이밍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RE100·기관 매수 수요 + 초기 발전소 매물화 주기 도래 + 브로커 극파편화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리스크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정책(SMP·REC 가격) 변동 — 가정 배지·범위 표시 체계가 그대로 방어</w:t>
            </w:r>
          </w:p>
        </w:tc>
      </w:tr>
    </w:tbl>
    <w:p>
      <w:pPr>
        <w:spacing w:after="80"/>
      </w:pPr>
    </w:p>
    <w:p>
      <w:pPr>
        <w:pStyle w:val="Heading2"/>
      </w:pPr>
      <w:r>
        <w:t>6.6 병의원·약국 양수도 (Tier 1.5) — 전문직 커뮤니티 버티컬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 요소</w:t>
            </w:r>
          </w:p>
        </w:tc>
        <w:tc>
          <w:tcPr>
            <w:tcW w:type="dxa" w:w="680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병의원 대응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진료과·매출(청구 데이터 검증)·입지·인허가·의료장비·인력 승계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재식별 방지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환자·직원 동요 방지 — 블라인드 극단 수요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Pro·데이터룸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실사(청구 실적·리스 계약) — 동의 체인·워터마크 이식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수요층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개원의·약사 — 커뮤니티 밀도 높아 확산 빠름. 고령화로 매물 증가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리스크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의료법상 광고·중개 규제 정밀 검토 필수 — 법률 선행 조건</w:t>
            </w:r>
          </w:p>
        </w:tc>
      </w:tr>
    </w:tbl>
    <w:p>
      <w:pPr>
        <w:spacing w:after="80"/>
      </w:pPr>
    </w:p>
    <w:p>
      <w:pPr>
        <w:pStyle w:val="Heading2"/>
      </w:pPr>
      <w:r>
        <w:t>6.7 디지털 자산 M&amp;A (Tier 1.5) — 자동충전 패턴의 디지털 전개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 요소</w:t>
            </w:r>
          </w:p>
        </w:tc>
        <w:tc>
          <w:tcPr>
            <w:tcW w:type="dxa" w:w="680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디지털 대응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자동충전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유튜브·스토어·GA·스트라이프 API로 구독자·매출·리텐션 자동 검증 — 공공데이터 자동충전의 완전한 디지털 판 (검증 신뢰가 이 시장 최대 페인)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티저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채널·앱 특정 방지 익명 요약 (탈취·카피 리스크 방어)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MAU·구독·수익 구성·플랫폼 의존도·이전 가능성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글로벌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자산이 무국적 — 유일하게 지역 확장 없이 글로벌 가능한 후보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리스크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해외 선행자(마이크로 인수 플랫폼) 존재 — 한국·아시아 크리에이터 축 차별화</w:t>
            </w:r>
          </w:p>
        </w:tc>
      </w:tr>
    </w:tbl>
    <w:p>
      <w:pPr>
        <w:spacing w:after="80"/>
      </w:pPr>
    </w:p>
    <w:p>
      <w:pPr>
        <w:pStyle w:val="Heading2"/>
      </w:pPr>
      <w:r>
        <w:t>6.8 산업설비·중장비·상용차 (Tier 2) — 스펙 온톨로지 재활용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크리딜 요소</w:t>
            </w:r>
          </w:p>
        </w:tc>
        <w:tc>
          <w:tcPr>
            <w:tcW w:type="dxa" w:w="680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설비 대응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물류센터 스펙 사고(제원·연식·가동시간·정비이력) 직이식</w:t>
            </w:r>
          </w:p>
        </w:tc>
      </w:tr>
      <w:tr>
        <w:tc>
          <w:tcPr>
            <w:tcW w:type="dxa" w:w="28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이중 렌더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B2B/B2C → 국문/영문 — 해외 매수자 관행에 정합</w:t>
            </w:r>
          </w:p>
        </w:tc>
      </w:tr>
      <w:tr>
        <w:tc>
          <w:tcPr>
            <w:tcW w:type="dxa" w:w="28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리스크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검수·물류·에스크로 등 거래 실행 인프라 필요 — 문서·매칭만으로 미완결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7. 수평 확장 vs 수직 심화 — 혼동 금지</w:t>
      </w:r>
    </w:p>
    <w:p>
      <w:r>
        <w:rPr>
          <w:rFonts w:ascii="Malgun Gothic" w:hAnsi="Malgun Gothic" w:eastAsia="Malgun Gothic"/>
        </w:rPr>
        <w:t>아래는 '새 분야'가 아니라 크리딜 코어 위의 레이어다. 수평 확장보다 대부분 우선순위가 높다.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수직 옵션</w:t>
            </w:r>
          </w:p>
        </w:tc>
        <w:tc>
          <w:tcPr>
            <w:tcW w:type="dxa" w:w="351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419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딜 금융 매칭</w:t>
            </w:r>
          </w:p>
        </w:tc>
        <w:tc>
          <w:tcPr>
            <w:tcW w:type="dxa" w:w="351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파이프라인 위 대출·브릿지 매칭 (제휴 금융기관)</w:t>
            </w:r>
          </w:p>
        </w:tc>
        <w:tc>
          <w:tcPr>
            <w:tcW w:type="dxa" w:w="419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무산 1위 사유=대출 — 성사율 직접 개선 + 수익화. IM-Pro 대출 시뮬레이션의 자연 연장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성사가능가 데이터 상품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K5 지수·기관 라이선스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축적 데이터의 최고 마진 전환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전문가 마켓플레이스</w:t>
            </w:r>
          </w:p>
        </w:tc>
        <w:tc>
          <w:tcPr>
            <w:tcW w:type="dxa" w:w="351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S6 기고 경제의 확장</w:t>
            </w:r>
          </w:p>
        </w:tc>
        <w:tc>
          <w:tcPr>
            <w:tcW w:type="dxa" w:w="419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3면 플랫폼 완성</w:t>
            </w:r>
          </w:p>
        </w:tc>
      </w:tr>
      <w:tr>
        <w:tc>
          <w:tcPr>
            <w:tcW w:type="dxa" w:w="192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자산관리 리포트 구독</w:t>
            </w:r>
          </w:p>
        </w:tc>
        <w:tc>
          <w:tcPr>
            <w:tcW w:type="dxa" w:w="351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K4 라이프사이클의 상품화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공급(매물) 자동 획득 엔진</w:t>
            </w:r>
          </w:p>
        </w:tc>
      </w:tr>
      <w:tr>
        <w:tc>
          <w:tcPr>
            <w:tcW w:type="dxa" w:w="192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보험·세무 등 딜 부대 서비스</w:t>
            </w:r>
          </w:p>
        </w:tc>
        <w:tc>
          <w:tcPr>
            <w:tcW w:type="dxa" w:w="351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제휴 리퍼럴</w:t>
            </w:r>
          </w:p>
        </w:tc>
        <w:tc>
          <w:tcPr>
            <w:tcW w:type="dxa" w:w="419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거래 완결 경험 + 부수익</w:t>
            </w:r>
          </w:p>
        </w:tc>
      </w:tr>
    </w:tbl>
    <w:p>
      <w:pPr>
        <w:spacing w:after="80"/>
      </w:pPr>
    </w:p>
    <w:p>
      <w:pPr>
        <w:pStyle w:val="Heading1"/>
      </w:pPr>
      <w:r>
        <w:t>8. 확장 시퀀싱 로드맵 (5개년)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연차</w:t>
            </w:r>
          </w:p>
        </w:tc>
        <w:tc>
          <w:tcPr>
            <w:tcW w:type="dxa" w:w="544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확장 행동</w:t>
            </w:r>
          </w:p>
        </w:tc>
        <w:tc>
          <w:tcPr>
            <w:tcW w:type="dxa" w:w="3288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전제 조건 (게이트)</w:t>
            </w:r>
          </w:p>
        </w:tc>
      </w:tr>
      <w:tr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1년차</w:t>
            </w:r>
          </w:p>
        </w:tc>
        <w:tc>
          <w:tcPr>
            <w:tcW w:type="dxa" w:w="544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확장 0. 강남·성수 검증 + 수직 심화 준비(딜 금융 제휴 탐색)</w:t>
            </w:r>
          </w:p>
        </w:tc>
        <w:tc>
          <w:tcPr>
            <w:tcW w:type="dxa" w:w="328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WAB 80%·유료 전환 20%·크로스 매칭 3건</w:t>
            </w:r>
          </w:p>
        </w:tc>
      </w:tr>
      <w:tr>
        <w:tc>
          <w:tcPr>
            <w:tcW w:type="dxa" w:w="90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2년차</w:t>
            </w:r>
          </w:p>
        </w:tc>
        <w:tc>
          <w:tcPr>
            <w:tcW w:type="dxa" w:w="544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국내 자산군 심화(NPL·주유소→개발부지 흡수) + 일본 타당성 조사·파트너 발굴 + Tier 1.5 중 1개 파일럿(태양광 우선 권장 — 재무 엔진 재사용률 최고)</w:t>
            </w:r>
          </w:p>
        </w:tc>
        <w:tc>
          <w:tcPr>
            <w:tcW w:type="dxa" w:w="328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P2P 네트워크 수익화 가동·온톨로지 v1.0(아웃컴 필드)</w:t>
            </w:r>
          </w:p>
        </w:tc>
      </w:tr>
      <w:tr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3년차</w:t>
            </w:r>
          </w:p>
        </w:tc>
        <w:tc>
          <w:tcPr>
            <w:tcW w:type="dxa" w:w="544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일본 합작 진출 또는 Tier 1.5 파일럿의 본격화(성과 좋은 쪽 선택과 집중) + M&amp;A·승계 설계 착수</w:t>
            </w:r>
          </w:p>
        </w:tc>
        <w:tc>
          <w:tcPr>
            <w:tcW w:type="dxa" w:w="328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국내 데이터 상품(K5) 표본 확보·im-core 멀티 도메인 검증</w:t>
            </w:r>
          </w:p>
        </w:tc>
      </w:tr>
      <w:tr>
        <w:tc>
          <w:tcPr>
            <w:tcW w:type="dxa" w:w="90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4년차</w:t>
            </w:r>
          </w:p>
        </w:tc>
        <w:tc>
          <w:tcPr>
            <w:tcW w:type="dxa" w:w="544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M&amp;A·사업승계 론칭(승계 절벽 본격화 동조) + 권리금/헤드헌팅 중 1개 파일럿</w:t>
            </w:r>
          </w:p>
        </w:tc>
        <w:tc>
          <w:tcPr>
            <w:tcW w:type="dxa" w:w="3288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도메인 2개 이상에서 플라이휠 재현 입증</w:t>
            </w:r>
          </w:p>
        </w:tc>
      </w:tr>
      <w:tr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5년차</w:t>
            </w:r>
          </w:p>
        </w:tc>
        <w:tc>
          <w:tcPr>
            <w:tcW w:type="dxa" w:w="544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'Deal OS' 플랫폼화 — 온톨로지 마켓(서드파티 도메인 모듈)·API 개방 검토</w:t>
            </w:r>
          </w:p>
        </w:tc>
        <w:tc>
          <w:tcPr>
            <w:tcW w:type="dxa" w:w="3288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3개 도메인 흑자 구조</w:t>
            </w:r>
          </w:p>
        </w:tc>
      </w:tr>
    </w:tbl>
    <w:p>
      <w:pPr>
        <w:spacing w:after="80"/>
      </w:pPr>
    </w:p>
    <w:p>
      <w:pPr>
        <w:pStyle w:val="Heading2"/>
      </w:pPr>
      <w:r>
        <w:t>8.1 확장 의사결정 게이트 (모든 확장에 공통)</w:t>
      </w:r>
    </w:p>
    <w:p>
      <w:pPr>
        <w:pStyle w:val="ListBullet"/>
      </w:pPr>
      <w:r>
        <w:rPr>
          <w:rFonts w:ascii="Malgun Gothic" w:hAnsi="Malgun Gothic" w:eastAsia="Malgun Gothic"/>
        </w:rPr>
        <w:t>동형성 12점 이상 + 재사용률 70% 이상 (im-core 수정 없이 온톨로지·정책 교체로 가동)</w:t>
      </w:r>
    </w:p>
    <w:p>
      <w:pPr>
        <w:pStyle w:val="ListBullet"/>
      </w:pPr>
      <w:r>
        <w:rPr>
          <w:rFonts w:ascii="Malgun Gothic" w:hAnsi="Malgun Gothic" w:eastAsia="Malgun Gothic"/>
        </w:rPr>
        <w:t>해당 도메인의 '베타 10인'에 해당하는 앵커 파트너 확보 전 개발 착수 금지</w:t>
      </w:r>
    </w:p>
    <w:p>
      <w:pPr>
        <w:pStyle w:val="ListBullet"/>
      </w:pPr>
      <w:r>
        <w:rPr>
          <w:rFonts w:ascii="Malgun Gothic" w:hAnsi="Malgun Gothic" w:eastAsia="Malgun Gothic"/>
        </w:rPr>
        <w:t>규제 법률 검토 선행 (의료법·자본시장법·개인정보 등 도메인별 상이)</w:t>
      </w:r>
    </w:p>
    <w:p>
      <w:pPr>
        <w:pStyle w:val="ListBullet"/>
      </w:pPr>
      <w:r>
        <w:rPr>
          <w:rFonts w:ascii="Malgun Gothic" w:hAnsi="Malgun Gothic" w:eastAsia="Malgun Gothic"/>
        </w:rPr>
        <w:t>기존 도메인 북극성 지표(WAB) 훼손 시 즉시 중단 — 확장은 코어의 세금이 아니어야 함</w:t>
      </w:r>
    </w:p>
    <w:p>
      <w:pPr>
        <w:pStyle w:val="Heading1"/>
      </w:pPr>
      <w:r>
        <w:t>9. 공통 플랫폼 전략 — 'Deal OS' 서사</w:t>
      </w:r>
    </w:p>
    <w:p>
      <w:r>
        <w:rPr>
          <w:rFonts w:ascii="Malgun Gothic" w:hAnsi="Malgun Gothic" w:eastAsia="Malgun Gothic"/>
        </w:rPr>
        <w:t xml:space="preserve">투자자·채용 서사의 전환: </w:t>
      </w:r>
      <w:r>
        <w:rPr>
          <w:rFonts w:ascii="Malgun Gothic" w:hAnsi="Malgun Gothic" w:eastAsia="Malgun Gothic"/>
          <w:b/>
        </w:rPr>
        <w:t>"꼬마빌딩 SaaS" → "비표준 고액 자산의 딜 인프라(Deal OS). 첫 시장이 상업용 부동산"</w:t>
      </w:r>
      <w:r>
        <w:rPr>
          <w:rFonts w:ascii="Malgun Gothic" w:hAnsi="Malgun Gothic" w:eastAsia="Malgun Gothic"/>
        </w:rPr>
        <w:t>. 본 문서의 롱리스트가 그 서사의 증거 목록이다. TAM 질문에 대한 답: 단일 시장의 수수료 풀이 아니라, 동형 시장의 합 — 그리고 각 시장에서 '존재하지 않던 성사 데이터'라는 신시장.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아키텍처 원칙(현행 유지): </w:t>
      </w:r>
      <w:r>
        <w:rPr>
          <w:rFonts w:ascii="Malgun Gothic" w:hAnsi="Malgun Gothic" w:eastAsia="Malgun Gothic"/>
        </w:rPr>
        <w:t>im-core·사다리·동의 체인·재식별 게이트의 도메인 중립성. 자산군은 enum이 아닌 스키마 모듈 — 온톨로지 YAML 교체가 곧 신규 도메인.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데이터 원칙: </w:t>
      </w:r>
      <w:r>
        <w:rPr>
          <w:rFonts w:ascii="Malgun Gothic" w:hAnsi="Malgun Gothic" w:eastAsia="Malgun Gothic"/>
        </w:rPr>
        <w:t>도메인 간 교차 학습은 패턴 수준(반응 함수·전환율 구조)만 — 개별 데이터는 도메인·브로커 격리 불변.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브랜드 원칙: </w:t>
      </w:r>
      <w:r>
        <w:rPr>
          <w:rFonts w:ascii="Malgun Gothic" w:hAnsi="Malgun Gothic" w:eastAsia="Malgun Gothic"/>
        </w:rPr>
        <w:t>도메인별 별도 브랜드(예: 크리딜/메디딜/솔라딜) + 공통 인프라 — 전문가 커뮤니티는 자기 업의 이름을 원한다.</w:t>
      </w:r>
    </w:p>
    <w:p>
      <w:pPr>
        <w:pStyle w:val="Heading1"/>
      </w:pPr>
      <w:r>
        <w:t>10. 리스크와 원칙 (하지 말 것)</w:t>
      </w:r>
    </w:p>
    <w:p>
      <w:pPr>
        <w:pStyle w:val="ListBullet"/>
      </w:pPr>
      <w:r>
        <w:rPr>
          <w:rFonts w:ascii="Malgun Gothic" w:hAnsi="Malgun Gothic" w:eastAsia="Malgun Gothic"/>
        </w:rPr>
        <w:t>검증 전 수평 확장 — 1년차 확장은 초점의 자살. 본 문서는 실행 명령이 아니라 옵션 지도다</w:t>
      </w:r>
    </w:p>
    <w:p>
      <w:pPr>
        <w:pStyle w:val="ListBullet"/>
      </w:pPr>
      <w:r>
        <w:rPr>
          <w:rFonts w:ascii="Malgun Gothic" w:hAnsi="Malgun Gothic" w:eastAsia="Malgun Gothic"/>
        </w:rPr>
        <w:t>동형성 착시 경계 — '문서+매칭' 겉모양이 같아도 거래 실행 인프라(검수·에스크로·규제)가 다르면 미완결 (설비·미술품의 결격 사유)</w:t>
      </w:r>
    </w:p>
    <w:p>
      <w:pPr>
        <w:pStyle w:val="ListBullet"/>
      </w:pPr>
      <w:r>
        <w:rPr>
          <w:rFonts w:ascii="Malgun Gothic" w:hAnsi="Malgun Gothic" w:eastAsia="Malgun Gothic"/>
        </w:rPr>
        <w:t>규제 무거운 도메인의 우회 진입 금지 — 비상장주(자본시장법)·의료(의료법)는 법률 선행 없이 착수 불가</w:t>
      </w:r>
    </w:p>
    <w:p>
      <w:pPr>
        <w:pStyle w:val="ListBullet"/>
      </w:pPr>
      <w:r>
        <w:rPr>
          <w:rFonts w:ascii="Malgun Gothic" w:hAnsi="Malgun Gothic" w:eastAsia="Malgun Gothic"/>
        </w:rPr>
        <w:t>코어 팀 분산 금지 — 파일럿은 전담 소팀 + im-core 재사용으로만, 코어 로드맵 차입 금지</w:t>
      </w:r>
    </w:p>
    <w:p>
      <w:pPr>
        <w:pStyle w:val="ListBullet"/>
      </w:pPr>
      <w:r>
        <w:rPr>
          <w:rFonts w:ascii="Malgun Gothic" w:hAnsi="Malgun Gothic" w:eastAsia="Malgun Gothic"/>
        </w:rPr>
        <w:t>도메인 간 데이터 혼합 금지 — 격리 원칙은 도메인 경계에서도 동일</w:t>
      </w:r>
    </w:p>
    <w:p>
      <w:pPr>
        <w:pStyle w:val="Heading1"/>
      </w:pPr>
      <w:r>
        <w:t>11. 결론</w:t>
      </w:r>
    </w:p>
    <w:p>
      <w:r>
        <w:rPr>
          <w:rFonts w:ascii="Malgun Gothic" w:hAnsi="Malgun Gothic" w:eastAsia="Malgun Gothic"/>
        </w:rPr>
        <w:t xml:space="preserve">크리딜이 증명하려는 것은 꼬마빌딩 시장이 아니라 </w:t>
      </w:r>
      <w:r>
        <w:rPr>
          <w:rFonts w:ascii="Malgun Gothic" w:hAnsi="Malgun Gothic" w:eastAsia="Malgun Gothic"/>
          <w:b/>
        </w:rPr>
        <w:t>패턴</w:t>
      </w:r>
      <w:r>
        <w:rPr>
          <w:rFonts w:ascii="Malgun Gothic" w:hAnsi="Malgun Gothic" w:eastAsia="Malgun Gothic"/>
        </w:rPr>
        <w:t xml:space="preserve">이다 — 파편화된 전문 중개 시장에 AI 문서 코어로 진입해, 온톨로지로 표준을 세우고, 사다리로 신뢰를 조직하고, 결과 데이터로 그 시장의 가격 언어를 소유하는 것. 첫 시장에서 이 순환이 한 번 완성되면, 나머지는 온톨로지 교체의 문제다. 그래서 지금 가장 중요한 확장 전략은 역설적으로 — </w:t>
      </w:r>
      <w:r>
        <w:rPr>
          <w:rFonts w:ascii="Malgun Gothic" w:hAnsi="Malgun Gothic" w:eastAsia="Malgun Gothic"/>
          <w:b/>
        </w:rPr>
        <w:t>강남과 성수에서 이기는 것</w:t>
      </w:r>
      <w:r>
        <w:rPr>
          <w:rFonts w:ascii="Malgun Gothic" w:hAnsi="Malgun Gothic" w:eastAsia="Malgun Gothic"/>
        </w:rPr>
        <w:t>이다.</w:t>
      </w:r>
    </w:p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93" w:lineRule="auto"/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