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Malgun Gothic" w:cs="Malgun Gothic" w:eastAsia="Malgun Gothic" w:hAnsi="Malgun Gothic"/>
          <w:b/>
          <w:bCs/>
          <w:color w:val="14213D"/>
          <w:sz w:val="44"/>
          <w:szCs w:val="44"/>
        </w:rPr>
        <w:t xml:space="preserve">모두의 정답노트 전략 플라이휠</w:t>
      </w:r>
    </w:p>
    <w:p>
      <w:pPr>
        <w:spacing w:after="360"/>
      </w:pPr>
      <w:r>
        <w:rPr>
          <w:rFonts w:ascii="Malgun Gothic" w:cs="Malgun Gothic" w:eastAsia="Malgun Gothic" w:hAnsi="Malgun Gothic"/>
          <w:color w:val="55636B"/>
          <w:sz w:val="26"/>
          <w:szCs w:val="26"/>
        </w:rPr>
        <w:t xml:space="preserve">네 권의 노트는 완전한 바퀴인가: 진단과 보완 10가지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항목</w:t>
            </w:r>
          </w:p>
        </w:tc>
        <w:tc>
          <w:tcPr>
            <w:tcW w:type="dxa" w:w="7711"/>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내용</w:t>
            </w:r>
          </w:p>
        </w:tc>
      </w:tr>
      <w:tr>
        <w:tc>
          <w:tcPr>
            <w:tcW w:type="dxa" w:w="1927"/>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작성</w:t>
            </w:r>
          </w:p>
        </w:tc>
        <w:tc>
          <w:tcPr>
            <w:tcW w:type="dxa" w:w="771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㈜디지털미디어네트워크 · 2026년 10월 2일</w:t>
            </w:r>
          </w:p>
        </w:tc>
      </w:tr>
      <w:tr>
        <w:tc>
          <w:tcPr>
            <w:tcW w:type="dxa" w:w="1927"/>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문서 성격</w:t>
            </w:r>
          </w:p>
        </w:tc>
        <w:tc>
          <w:tcPr>
            <w:tcW w:type="dxa" w:w="771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내부 전략 문서 (가설 단계)</w:t>
            </w:r>
          </w:p>
        </w:tc>
      </w:tr>
      <w:tr>
        <w:tc>
          <w:tcPr>
            <w:tcW w:type="dxa" w:w="1927"/>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대상</w:t>
            </w:r>
          </w:p>
        </w:tc>
        <w:tc>
          <w:tcPr>
            <w:tcW w:type="dxa" w:w="771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질문노트(묻기) · 오답노트(찾기) · 정답노트(만들기) · 트렌드노트(흐름 읽기)</w:t>
            </w:r>
          </w:p>
        </w:tc>
      </w:tr>
      <w:tr>
        <w:tc>
          <w:tcPr>
            <w:tcW w:type="dxa" w:w="1927"/>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판단</w:t>
            </w:r>
          </w:p>
        </w:tc>
        <w:tc>
          <w:tcPr>
            <w:tcW w:type="dxa" w:w="771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네 노트만으로 “내용과 데이터의 바퀴”는 완성되지만, “전략의 바퀴”로는 세 고리(돈·공급·증명)가 비어 있다</w:t>
            </w:r>
          </w:p>
        </w:tc>
      </w:tr>
    </w:tbl>
    <w:p>
      <w:pPr>
        <w:pStyle w:val="Heading1"/>
        <w:keepNext/>
        <w:keepLines/>
        <w:spacing w:after="160" w:before="360"/>
      </w:pPr>
      <w:r>
        <w:rPr>
          <w:rFonts w:ascii="Malgun Gothic" w:cs="Malgun Gothic" w:eastAsia="Malgun Gothic" w:hAnsi="Malgun Gothic"/>
          <w:b/>
          <w:bCs/>
          <w:color w:val="14213D"/>
          <w:sz w:val="30"/>
          <w:szCs w:val="30"/>
        </w:rPr>
        <w:t xml:space="preserve">요약</w:t>
      </w:r>
    </w:p>
    <w:p>
      <w:pPr>
        <w:pBdr>
          <w:left w:val="single" w:color="C8402C" w:sz="18" w:space="12"/>
        </w:pBdr>
        <w:spacing w:after="200" w:before="120" w:line="340"/>
        <w:ind w:left="360"/>
      </w:pPr>
      <w:r>
        <w:rPr>
          <w:rFonts w:ascii="Malgun Gothic" w:cs="Malgun Gothic" w:eastAsia="Malgun Gothic" w:hAnsi="Malgun Gothic"/>
          <w:b/>
          <w:bCs/>
          <w:color w:val="14213D"/>
          <w:sz w:val="22"/>
          <w:szCs w:val="22"/>
        </w:rPr>
        <w:t xml:space="preserve">안쪽 바퀴(공공)는 네 권의 노트, 바깥 바퀴(사업)는 AIHompy·LOCALOG·THEMELOG·교육·라이선스. 두 바퀴는 다섯 개의 기어(전환점)로 맞물리고, 축에는 시간이 쌓이는 원장이 있다.</w:t>
      </w:r>
    </w:p>
    <w:p>
      <w:pPr>
        <w:pStyle w:val="ListParagraph"/>
        <w:numPr>
          <w:ilvl w:val="0"/>
          <w:numId w:val="2"/>
        </w:numPr>
        <w:spacing w:after="80" w:line="300"/>
      </w:pPr>
      <w:r>
        <w:rPr>
          <w:rFonts w:ascii="Malgun Gothic" w:cs="Malgun Gothic" w:eastAsia="Malgun Gothic" w:hAnsi="Malgun Gothic"/>
          <w:sz w:val="21"/>
          <w:szCs w:val="21"/>
        </w:rPr>
        <w:t xml:space="preserve">가장 약한 고리는 “정답이 AI를 바꾼다”다. 효과를 AI 개선과 직접 인용의 두 갈래로 설계하고, 둘 다 안 되면 측정·평가 사업으로 무게를 옮긴다.</w:t>
      </w:r>
    </w:p>
    <w:p>
      <w:pPr>
        <w:pStyle w:val="ListParagraph"/>
        <w:numPr>
          <w:ilvl w:val="0"/>
          <w:numId w:val="2"/>
        </w:numPr>
        <w:spacing w:after="80" w:line="300"/>
      </w:pPr>
      <w:r>
        <w:rPr>
          <w:rFonts w:ascii="Malgun Gothic" w:cs="Malgun Gothic" w:eastAsia="Malgun Gothic" w:hAnsi="Malgun Gothic"/>
          <w:sz w:val="21"/>
          <w:szCs w:val="21"/>
        </w:rPr>
        <w:t xml:space="preserve">정본 주인의 자기 확인(공급 바퀴)과 확인 이력이 일감이 되는 구조(확인자 바퀴)로 두 사람의 병목을 푼다.</w:t>
      </w:r>
    </w:p>
    <w:p>
      <w:pPr>
        <w:pStyle w:val="ListParagraph"/>
        <w:numPr>
          <w:ilvl w:val="0"/>
          <w:numId w:val="2"/>
        </w:numPr>
        <w:spacing w:after="80" w:line="300"/>
      </w:pPr>
      <w:r>
        <w:rPr>
          <w:rFonts w:ascii="Malgun Gothic" w:cs="Malgun Gothic" w:eastAsia="Malgun Gothic" w:hAnsi="Malgun Gothic"/>
          <w:sz w:val="21"/>
          <w:szCs w:val="21"/>
        </w:rPr>
        <w:t xml:space="preserve">“확인·발행된 정답 1건당 원가”가 분기마다 내려가는지가 바퀴가 실제로 도는지의 증거다.</w:t>
      </w:r>
    </w:p>
    <w:p>
      <w:pPr>
        <w:pStyle w:val="ListParagraph"/>
        <w:numPr>
          <w:ilvl w:val="0"/>
          <w:numId w:val="2"/>
        </w:numPr>
        <w:spacing w:after="80" w:line="300"/>
      </w:pPr>
      <w:r>
        <w:rPr>
          <w:rFonts w:ascii="Malgun Gothic" w:cs="Malgun Gothic" w:eastAsia="Malgun Gothic" w:hAnsi="Malgun Gothic"/>
          <w:sz w:val="21"/>
          <w:szCs w:val="21"/>
        </w:rPr>
        <w:t xml:space="preserve">고리마다 전환율을 보는 대시보드로 어느 고리가 막혔는지 찾는다.</w:t>
      </w:r>
    </w:p>
    <w:p>
      <w:pPr>
        <w:pStyle w:val="Heading1"/>
        <w:keepNext/>
        <w:keepLines/>
        <w:spacing w:after="160" w:before="360"/>
      </w:pPr>
      <w:r>
        <w:rPr>
          <w:rFonts w:ascii="Malgun Gothic" w:cs="Malgun Gothic" w:eastAsia="Malgun Gothic" w:hAnsi="Malgun Gothic"/>
          <w:b/>
          <w:bCs/>
          <w:color w:val="14213D"/>
          <w:sz w:val="30"/>
          <w:szCs w:val="30"/>
        </w:rPr>
        <w:t xml:space="preserve">1. 진단: 네 노트가 만드는 바퀴와 약한 고리</w:t>
      </w:r>
    </w:p>
    <w:p>
      <w:pPr>
        <w:spacing w:after="120" w:line="320"/>
      </w:pPr>
      <w:r>
        <w:rPr>
          <w:rFonts w:ascii="Malgun Gothic" w:cs="Malgun Gothic" w:eastAsia="Malgun Gothic" w:hAnsi="Malgun Gothic"/>
          <w:sz w:val="21"/>
          <w:szCs w:val="21"/>
        </w:rPr>
        <w:t xml:space="preserve">기본 순환은 질문노트(묻기) → 오답노트(찾기) → 정답노트(만들기) → 재측정 → 트렌드노트(흐름 읽기) → 다음 질문이다. 플라이휠이 되려면 각 고리가 다음 고리를 실제로 밀어야 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6"/>
        <w:gridCol w:w="4672"/>
        <w:gridCol w:w="2630"/>
      </w:tblGrid>
      <w:tr>
        <w:trPr>
          <w:tblHeader/>
        </w:trPr>
        <w:tc>
          <w:tcPr>
            <w:tcW w:type="dxa" w:w="2336"/>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고리</w:t>
            </w:r>
          </w:p>
        </w:tc>
        <w:tc>
          <w:tcPr>
            <w:tcW w:type="dxa" w:w="4672"/>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미는 힘</w:t>
            </w:r>
          </w:p>
        </w:tc>
        <w:tc>
          <w:tcPr>
            <w:tcW w:type="dxa" w:w="2630"/>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상태</w:t>
            </w:r>
          </w:p>
        </w:tc>
      </w:tr>
      <w:tr>
        <w:tc>
          <w:tcPr>
            <w:tcW w:type="dxa" w:w="233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질문 → 채점</w:t>
            </w:r>
          </w:p>
        </w:tc>
        <w:tc>
          <w:tcPr>
            <w:tcW w:type="dxa" w:w="467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미리 깐 공통·아키타입 질문, 동의 문턱</w:t>
            </w:r>
          </w:p>
        </w:tc>
        <w:tc>
          <w:tcPr>
            <w:tcW w:type="dxa" w:w="2630"/>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강함 (콜드 스타트 해결)</w:t>
            </w:r>
          </w:p>
        </w:tc>
      </w:tr>
      <w:tr>
        <w:tc>
          <w:tcPr>
            <w:tcW w:type="dxa" w:w="233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채점 → 오답 발견</w:t>
            </w:r>
          </w:p>
        </w:tc>
        <w:tc>
          <w:tcPr>
            <w:tcW w:type="dxa" w:w="467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AI 오답은 실제로 많음</w:t>
            </w:r>
          </w:p>
        </w:tc>
        <w:tc>
          <w:tcPr>
            <w:tcW w:type="dxa" w:w="2630"/>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강함</w:t>
            </w:r>
          </w:p>
        </w:tc>
      </w:tr>
      <w:tr>
        <w:tc>
          <w:tcPr>
            <w:tcW w:type="dxa" w:w="233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오답 → 정답</w:t>
            </w:r>
          </w:p>
        </w:tc>
        <w:tc>
          <w:tcPr>
            <w:tcW w:type="dxa" w:w="467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확인자의 시간</w:t>
            </w:r>
          </w:p>
        </w:tc>
        <w:tc>
          <w:tcPr>
            <w:tcW w:type="dxa" w:w="2630"/>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병목 (두 사람에 기대고 있음)</w:t>
            </w:r>
          </w:p>
        </w:tc>
      </w:tr>
      <w:tr>
        <w:tc>
          <w:tcPr>
            <w:tcW w:type="dxa" w:w="233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정답 → AI가 바뀜</w:t>
            </w:r>
          </w:p>
        </w:tc>
        <w:tc>
          <w:tcPr>
            <w:tcW w:type="dxa" w:w="467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재측정에서 개선이 보여야 이야기가 이어짐</w:t>
            </w:r>
          </w:p>
        </w:tc>
        <w:tc>
          <w:tcPr>
            <w:tcW w:type="dxa" w:w="2630"/>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미검증 (가장 위험한 고리)</w:t>
            </w:r>
          </w:p>
        </w:tc>
      </w:tr>
      <w:tr>
        <w:tc>
          <w:tcPr>
            <w:tcW w:type="dxa" w:w="233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화제 → 참여</w:t>
            </w:r>
          </w:p>
        </w:tc>
        <w:tc>
          <w:tcPr>
            <w:tcW w:type="dxa" w:w="467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언론·퀴즈·동네 리포트</w:t>
            </w:r>
          </w:p>
        </w:tc>
        <w:tc>
          <w:tcPr>
            <w:tcW w:type="dxa" w:w="2630"/>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중간 (발표 주기에 의존)</w:t>
            </w:r>
          </w:p>
        </w:tc>
      </w:tr>
      <w:tr>
        <w:tc>
          <w:tcPr>
            <w:tcW w:type="dxa" w:w="233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참여 → 매출</w:t>
            </w:r>
          </w:p>
        </w:tc>
        <w:tc>
          <w:tcPr>
            <w:tcW w:type="dxa" w:w="467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노트 자체에는 없음</w:t>
            </w:r>
          </w:p>
        </w:tc>
        <w:tc>
          <w:tcPr>
            <w:tcW w:type="dxa" w:w="2630"/>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비어 있음</w:t>
            </w:r>
          </w:p>
        </w:tc>
      </w:tr>
      <w:tr>
        <w:tc>
          <w:tcPr>
            <w:tcW w:type="dxa" w:w="233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매출 → 재투자</w:t>
            </w:r>
          </w:p>
        </w:tc>
        <w:tc>
          <w:tcPr>
            <w:tcW w:type="dxa" w:w="467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더 많은 지역·측정</w:t>
            </w:r>
          </w:p>
        </w:tc>
        <w:tc>
          <w:tcPr>
            <w:tcW w:type="dxa" w:w="2630"/>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비어 있음</w:t>
            </w:r>
          </w:p>
        </w:tc>
      </w:tr>
    </w:tbl>
    <w:p>
      <w:pPr>
        <w:pStyle w:val="Heading1"/>
        <w:keepNext/>
        <w:keepLines/>
        <w:spacing w:after="160" w:before="360"/>
      </w:pPr>
      <w:r>
        <w:rPr>
          <w:rFonts w:ascii="Malgun Gothic" w:cs="Malgun Gothic" w:eastAsia="Malgun Gothic" w:hAnsi="Malgun Gothic"/>
          <w:b/>
          <w:bCs/>
          <w:color w:val="14213D"/>
          <w:sz w:val="30"/>
          <w:szCs w:val="30"/>
        </w:rPr>
        <w:t xml:space="preserve">2. 개선 방향: 바퀴를 두 개로</w:t>
      </w:r>
    </w:p>
    <w:p>
      <w:pPr>
        <w:spacing w:before="120"/>
        <w:jc w:val="center"/>
      </w:pPr>
      <w:r>
        <w:drawing>
          <wp:inline distT="0" distB="0" distL="0" distR="0">
            <wp:extent cx="6096000" cy="2647950"/>
            <wp:effectExtent t="0" r="0" b="0" l="0"/>
            <wp:docPr id="1" name="그림 1. 이중 플라이휠: 안쪽 바퀴(공공)와 바깥 바퀴(사업), 다섯 개의 기어, 축의 원장" descr="그림 1. 이중 플라이휠: 안쪽 바퀴(공공)와 바깥 바퀴(사업), 다섯 개의 기어, 축의 원장" title="그림 1. 이중 플라이휠: 안쪽 바퀴(공공)와 바깥 바퀴(사업), 다섯 개의 기어, 축의 원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647950"/>
                    </a:xfrm>
                    <a:prstGeom prst="rect">
                      <a:avLst/>
                    </a:prstGeom>
                  </pic:spPr>
                </pic:pic>
              </a:graphicData>
            </a:graphic>
          </wp:inline>
        </w:drawing>
      </w:r>
    </w:p>
    <w:p>
      <w:pPr>
        <w:spacing w:after="200"/>
        <w:jc w:val="center"/>
      </w:pPr>
      <w:r>
        <w:rPr>
          <w:rFonts w:ascii="Malgun Gothic" w:cs="Malgun Gothic" w:eastAsia="Malgun Gothic" w:hAnsi="Malgun Gothic"/>
          <w:i/>
          <w:iCs/>
          <w:color w:val="55636B"/>
          <w:sz w:val="18"/>
          <w:szCs w:val="18"/>
        </w:rPr>
        <w:t xml:space="preserve">그림 1. 이중 플라이휠: 안쪽 바퀴(공공)와 바깥 바퀴(사업), 다섯 개의 기어, 축의 원장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구성</w:t>
            </w:r>
          </w:p>
        </w:tc>
        <w:tc>
          <w:tcPr>
            <w:tcW w:type="dxa" w:w="7414"/>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내용</w:t>
            </w:r>
          </w:p>
        </w:tc>
      </w:tr>
      <w:tr>
        <w:tc>
          <w:tcPr>
            <w:tcW w:type="dxa" w:w="222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축 (해자)</w:t>
            </w:r>
          </w:p>
        </w:tc>
        <w:tc>
          <w:tcPr>
            <w:tcW w:type="dxa" w:w="741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질문 수요 시계열, 판정 기록, 정답의 유효 구간, AI 응답 시계, 편향 지수. 누구도 과거를 복제할 수 없음</w:t>
            </w:r>
          </w:p>
        </w:tc>
      </w:tr>
      <w:tr>
        <w:tc>
          <w:tcPr>
            <w:tcW w:type="dxa" w:w="222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안쪽 바퀴</w:t>
            </w:r>
          </w:p>
        </w:tc>
        <w:tc>
          <w:tcPr>
            <w:tcW w:type="dxa" w:w="741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묻기 → 찾기 → 만들기 → 재기 → 흐름 읽기. 공공재와 신뢰를 만듦</w:t>
            </w:r>
          </w:p>
        </w:tc>
      </w:tr>
      <w:tr>
        <w:tc>
          <w:tcPr>
            <w:tcW w:type="dxa" w:w="222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기어 (전환점 5개)</w:t>
            </w:r>
          </w:p>
        </w:tc>
        <w:tc>
          <w:tcPr>
            <w:tcW w:type="dxa" w:w="7414"/>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성적표 → 업체 AI홈피 / 동네 리포트 → 지자체 / 처방전 → 교육·Academy / 편향 리포트 → 언론·정책 / 열린 데이터 → AI 기업 라이선스</w:t>
            </w:r>
          </w:p>
        </w:tc>
      </w:tr>
      <w:tr>
        <w:tc>
          <w:tcPr>
            <w:tcW w:type="dxa" w:w="222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바깥 바퀴</w:t>
            </w:r>
          </w:p>
        </w:tc>
        <w:tc>
          <w:tcPr>
            <w:tcW w:type="dxa" w:w="7414"/>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매출이 측정·지역·확인자에 재투자되어 안쪽 바퀴를 더 빨리 돌림</w:t>
            </w:r>
          </w:p>
        </w:tc>
      </w:tr>
    </w:tbl>
    <w:p>
      <w:pPr>
        <w:pStyle w:val="Heading1"/>
        <w:keepNext/>
        <w:keepLines/>
        <w:spacing w:after="160" w:before="360"/>
      </w:pPr>
      <w:r>
        <w:rPr>
          <w:rFonts w:ascii="Malgun Gothic" w:cs="Malgun Gothic" w:eastAsia="Malgun Gothic" w:hAnsi="Malgun Gothic"/>
          <w:b/>
          <w:bCs/>
          <w:color w:val="14213D"/>
          <w:sz w:val="30"/>
          <w:szCs w:val="30"/>
        </w:rPr>
        <w:t xml:space="preserve">3. 고도화·보완 포인트 10가지</w:t>
      </w:r>
    </w:p>
    <w:p>
      <w:pPr>
        <w:pStyle w:val="Heading2"/>
        <w:keepNext/>
        <w:keepLines/>
        <w:spacing w:after="120" w:before="240"/>
      </w:pPr>
      <w:r>
        <w:rPr>
          <w:rFonts w:ascii="Malgun Gothic" w:cs="Malgun Gothic" w:eastAsia="Malgun Gothic" w:hAnsi="Malgun Gothic"/>
          <w:b/>
          <w:bCs/>
          <w:color w:val="14213D"/>
          <w:sz w:val="24"/>
          <w:szCs w:val="24"/>
        </w:rPr>
        <w:t xml:space="preserve">① 가장 약한 고리를 두 갈래로</w:t>
      </w:r>
    </w:p>
    <w:p>
      <w:pPr>
        <w:spacing w:after="120" w:line="320"/>
      </w:pPr>
      <w:r>
        <w:rPr>
          <w:rFonts w:ascii="Malgun Gothic" w:cs="Malgun Gothic" w:eastAsia="Malgun Gothic" w:hAnsi="Malgun Gothic"/>
          <w:sz w:val="21"/>
          <w:szCs w:val="21"/>
        </w:rPr>
        <w:t xml:space="preserve">“정답이 AI를 고친다”는 아직 증명되지 않았다. 효과를 두 갈래로 설계한다. AI 개선(재측정에서 AI가 맞히기 시작함)과 직접 인용(AI가 우리 정답 페이지를 출처로 인용함)이다. 둘 중 하나만 돼도 바퀴가 돈다. 둘 다 안 되면 측정·평가 사업(지수·편향 리포트·평가 세트)으로 무게를 옮긴다. 측정은 AI가 바뀌지 않아도 가치가 있다.</w:t>
      </w:r>
    </w:p>
    <w:p>
      <w:pPr>
        <w:pStyle w:val="Heading2"/>
        <w:keepNext/>
        <w:keepLines/>
        <w:spacing w:after="120" w:before="240"/>
      </w:pPr>
      <w:r>
        <w:rPr>
          <w:rFonts w:ascii="Malgun Gothic" w:cs="Malgun Gothic" w:eastAsia="Malgun Gothic" w:hAnsi="Malgun Gothic"/>
          <w:b/>
          <w:bCs/>
          <w:color w:val="14213D"/>
          <w:sz w:val="24"/>
          <w:szCs w:val="24"/>
        </w:rPr>
        <w:t xml:space="preserve">② 공급 바퀴: 정본 주인이 스스로 정답을 올리게</w:t>
      </w:r>
    </w:p>
    <w:p>
      <w:pPr>
        <w:spacing w:after="120" w:line="320"/>
      </w:pPr>
      <w:r>
        <w:rPr>
          <w:rFonts w:ascii="Malgun Gothic" w:cs="Malgun Gothic" w:eastAsia="Malgun Gothic" w:hAnsi="Malgun Gothic"/>
          <w:sz w:val="21"/>
          <w:szCs w:val="21"/>
        </w:rPr>
        <w:t xml:space="preserve">오답노트에 오른 가게·축제·기관에 알림을 보내고, 주인이 업체 AI홈피·기관 페이지에 정본을 올리면 다음 측정에서 자동으로 L2 확인이 된다. 정본 주인이 많아질수록 확인 비용이 떨어지고 정답이 빨리 늘어난다. 오답노트가 사장님에게 “당신 가게의 오답 알림”이 되는 순간 두 바퀴가 맞물린다.</w:t>
      </w:r>
    </w:p>
    <w:p>
      <w:pPr>
        <w:pStyle w:val="Heading2"/>
        <w:keepNext/>
        <w:keepLines/>
        <w:spacing w:after="120" w:before="240"/>
      </w:pPr>
      <w:r>
        <w:rPr>
          <w:rFonts w:ascii="Malgun Gothic" w:cs="Malgun Gothic" w:eastAsia="Malgun Gothic" w:hAnsi="Malgun Gothic"/>
          <w:b/>
          <w:bCs/>
          <w:color w:val="14213D"/>
          <w:sz w:val="24"/>
          <w:szCs w:val="24"/>
        </w:rPr>
        <w:t xml:space="preserve">③ 확인자 바퀴: 확인 이력이 일감이 되게</w:t>
      </w:r>
    </w:p>
    <w:p>
      <w:pPr>
        <w:spacing w:after="120" w:line="320"/>
      </w:pPr>
      <w:r>
        <w:rPr>
          <w:rFonts w:ascii="Malgun Gothic" w:cs="Malgun Gothic" w:eastAsia="Malgun Gothic" w:hAnsi="Malgun Gothic"/>
          <w:sz w:val="21"/>
          <w:szCs w:val="21"/>
        </w:rPr>
        <w:t xml:space="preserve">확인 이력은 개인 AI홈피의 자격이 되고, 그 자격이 일감(확인자 풀의 건당 보상, AI 대변인 팩트체크 데스크, 기관 진단의 검수)을 가져오며, 일감이 다시 확인자를 끌어들인다. Academy의 확인자 양성 과정이 입구다. 두 사람의 병목을 푸는 유일하게 지속 가능한 방법이다.</w:t>
      </w:r>
    </w:p>
    <w:p>
      <w:pPr>
        <w:pStyle w:val="Heading2"/>
        <w:keepNext/>
        <w:keepLines/>
        <w:spacing w:after="120" w:before="240"/>
      </w:pPr>
      <w:r>
        <w:rPr>
          <w:rFonts w:ascii="Malgun Gothic" w:cs="Malgun Gothic" w:eastAsia="Malgun Gothic" w:hAnsi="Malgun Gothic"/>
          <w:b/>
          <w:bCs/>
          <w:color w:val="14213D"/>
          <w:sz w:val="24"/>
          <w:szCs w:val="24"/>
        </w:rPr>
        <w:t xml:space="preserve">④ 단위 비용이 떨어지는 바퀴</w:t>
      </w:r>
    </w:p>
    <w:p>
      <w:pPr>
        <w:spacing w:after="120" w:line="320"/>
      </w:pPr>
      <w:r>
        <w:rPr>
          <w:rFonts w:ascii="Malgun Gothic" w:cs="Malgun Gothic" w:eastAsia="Malgun Gothic" w:hAnsi="Malgun Gothic"/>
          <w:sz w:val="21"/>
          <w:szCs w:val="21"/>
        </w:rPr>
        <w:t xml:space="preserve">“확인·발행된 정답 1건당 원가”를 핵심 효율 지표로 둔다. 원가가 떨어지는 경로는 공공 데이터 자동 확인(L1), 정본 주인의 자기 확인(L2), 공통 질문 세트의 전국 재사용이다. 이 원가가 분기마다 내려가는지가 바퀴가 실제로 도는지의 증거다.</w:t>
      </w:r>
    </w:p>
    <w:p>
      <w:pPr>
        <w:pStyle w:val="Heading2"/>
        <w:keepNext/>
        <w:keepLines/>
        <w:spacing w:after="120" w:before="240"/>
      </w:pPr>
      <w:r>
        <w:rPr>
          <w:rFonts w:ascii="Malgun Gothic" w:cs="Malgun Gothic" w:eastAsia="Malgun Gothic" w:hAnsi="Malgun Gothic"/>
          <w:b/>
          <w:bCs/>
          <w:color w:val="14213D"/>
          <w:sz w:val="24"/>
          <w:szCs w:val="24"/>
        </w:rPr>
        <w:t xml:space="preserve">⑤ 트렌드노트를 “다음 질문의 예측기”로</w:t>
      </w:r>
    </w:p>
    <w:p>
      <w:pPr>
        <w:spacing w:after="120" w:line="320"/>
      </w:pPr>
      <w:r>
        <w:rPr>
          <w:rFonts w:ascii="Malgun Gothic" w:cs="Malgun Gothic" w:eastAsia="Malgun Gothic" w:hAnsi="Malgun Gothic"/>
          <w:sz w:val="21"/>
          <w:szCs w:val="21"/>
        </w:rPr>
        <w:t xml:space="preserve">질문 수요의 급증(축제 시즌, 새 성분 유행)을 감지하면 그 질문의 정답을 오답이 생기기 전에 먼저 발행한다. “예고된 변화(변경 캘린더)”와 합쳐지면 바퀴가 사후 수습에서 선제 공급으로 바뀐다.</w:t>
      </w:r>
    </w:p>
    <w:p>
      <w:pPr>
        <w:pStyle w:val="Heading2"/>
        <w:keepNext/>
        <w:keepLines/>
        <w:spacing w:after="120" w:before="240"/>
      </w:pPr>
      <w:r>
        <w:rPr>
          <w:rFonts w:ascii="Malgun Gothic" w:cs="Malgun Gothic" w:eastAsia="Malgun Gothic" w:hAnsi="Malgun Gothic"/>
          <w:b/>
          <w:bCs/>
          <w:color w:val="14213D"/>
          <w:sz w:val="24"/>
          <w:szCs w:val="24"/>
        </w:rPr>
        <w:t xml:space="preserve">⑥ 재방문 바퀴: 기여의 효과를 되돌려 주기</w:t>
      </w:r>
    </w:p>
    <w:p>
      <w:pPr>
        <w:pStyle w:val="ListParagraph"/>
        <w:numPr>
          <w:ilvl w:val="0"/>
          <w:numId w:val="2"/>
        </w:numPr>
        <w:spacing w:after="80" w:line="300"/>
      </w:pPr>
      <w:r>
        <w:rPr>
          <w:rFonts w:ascii="Malgun Gothic" w:cs="Malgun Gothic" w:eastAsia="Malgun Gothic" w:hAnsi="Malgun Gothic"/>
          <w:sz w:val="21"/>
          <w:szCs w:val="21"/>
        </w:rPr>
        <w:t xml:space="preserve">“당신이 확인한 답을 AI가 이제 맞힙니다”</w:t>
      </w:r>
    </w:p>
    <w:p>
      <w:pPr>
        <w:pStyle w:val="ListParagraph"/>
        <w:numPr>
          <w:ilvl w:val="0"/>
          <w:numId w:val="2"/>
        </w:numPr>
        <w:spacing w:after="80" w:line="300"/>
      </w:pPr>
      <w:r>
        <w:rPr>
          <w:rFonts w:ascii="Malgun Gothic" w:cs="Malgun Gothic" w:eastAsia="Malgun Gothic" w:hAnsi="Malgun Gothic"/>
          <w:sz w:val="21"/>
          <w:szCs w:val="21"/>
        </w:rPr>
        <w:t xml:space="preserve">“당신이 동의한 질문이 이번 주 채점에 올랐습니다”</w:t>
      </w:r>
    </w:p>
    <w:p>
      <w:pPr>
        <w:pStyle w:val="ListParagraph"/>
        <w:numPr>
          <w:ilvl w:val="0"/>
          <w:numId w:val="2"/>
        </w:numPr>
        <w:spacing w:after="80" w:line="300"/>
      </w:pPr>
      <w:r>
        <w:rPr>
          <w:rFonts w:ascii="Malgun Gothic" w:cs="Malgun Gothic" w:eastAsia="Malgun Gothic" w:hAnsi="Malgun Gothic"/>
          <w:sz w:val="21"/>
          <w:szCs w:val="21"/>
        </w:rPr>
        <w:t xml:space="preserve">“당신 동네의 AI 정답률이 41%에서 58%가 됐습니다”</w:t>
      </w:r>
    </w:p>
    <w:p>
      <w:pPr>
        <w:spacing w:after="120" w:line="320"/>
      </w:pPr>
      <w:r>
        <w:rPr>
          <w:rFonts w:ascii="Malgun Gothic" w:cs="Malgun Gothic" w:eastAsia="Malgun Gothic" w:hAnsi="Malgun Gothic"/>
          <w:sz w:val="21"/>
          <w:szCs w:val="21"/>
        </w:rPr>
        <w:t xml:space="preserve">이런 효과의 증거가 재방문 엔진이다. 포인트나 연속 출석 같은 게임 장치보다 강하고, 정체성과도 맞는다.</w:t>
      </w:r>
    </w:p>
    <w:p>
      <w:pPr>
        <w:pStyle w:val="Heading2"/>
        <w:keepNext/>
        <w:keepLines/>
        <w:spacing w:after="120" w:before="240"/>
      </w:pPr>
      <w:r>
        <w:rPr>
          <w:rFonts w:ascii="Malgun Gothic" w:cs="Malgun Gothic" w:eastAsia="Malgun Gothic" w:hAnsi="Malgun Gothic"/>
          <w:b/>
          <w:bCs/>
          <w:color w:val="14213D"/>
          <w:sz w:val="24"/>
          <w:szCs w:val="24"/>
        </w:rPr>
        <w:t xml:space="preserve">⑦ 신뢰 바퀴: 외부 정당성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62"/>
        <w:gridCol w:w="6376"/>
      </w:tblGrid>
      <w:tr>
        <w:trPr>
          <w:tblHeader/>
        </w:trPr>
        <w:tc>
          <w:tcPr>
            <w:tcW w:type="dxa" w:w="3262"/>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장치</w:t>
            </w:r>
          </w:p>
        </w:tc>
        <w:tc>
          <w:tcPr>
            <w:tcW w:type="dxa" w:w="6376"/>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효과</w:t>
            </w:r>
          </w:p>
        </w:tc>
      </w:tr>
      <w:tr>
        <w:tc>
          <w:tcPr>
            <w:tcW w:type="dxa" w:w="326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방법 공개·사전 등록·반론 지면</w:t>
            </w:r>
          </w:p>
        </w:tc>
        <w:tc>
          <w:tcPr>
            <w:tcW w:type="dxa" w:w="637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AI 기업과 언론이 결과를 믿고 인용</w:t>
            </w:r>
          </w:p>
        </w:tc>
      </w:tr>
      <w:tr>
        <w:tc>
          <w:tcPr>
            <w:tcW w:type="dxa" w:w="326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공개 표준·공공 사양화</w:t>
            </w:r>
          </w:p>
        </w:tc>
        <w:tc>
          <w:tcPr>
            <w:tcW w:type="dxa" w:w="637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지자체가 사양에 넣으면 바퀴가 제도 안으로 들어감</w:t>
            </w:r>
          </w:p>
        </w:tc>
      </w:tr>
      <w:tr>
        <w:tc>
          <w:tcPr>
            <w:tcW w:type="dxa" w:w="326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학술 협력</w:t>
            </w:r>
          </w:p>
        </w:tc>
        <w:tc>
          <w:tcPr>
            <w:tcW w:type="dxa" w:w="6376"/>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측정 방법론의 검증 (논문 투고 계획과 연결)</w:t>
            </w:r>
          </w:p>
        </w:tc>
      </w:tr>
      <w:tr>
        <w:tc>
          <w:tcPr>
            <w:tcW w:type="dxa" w:w="326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공공 데이터 정정 제안</w:t>
            </w:r>
          </w:p>
        </w:tc>
        <w:tc>
          <w:tcPr>
            <w:tcW w:type="dxa" w:w="6376"/>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공공 데이터의 오류를 찾아 기관에 제안하고 수용되면 “공공 정보 품질의 협력자”가 됨</w:t>
            </w:r>
          </w:p>
        </w:tc>
      </w:tr>
    </w:tbl>
    <w:p>
      <w:pPr>
        <w:pStyle w:val="Heading2"/>
        <w:keepNext/>
        <w:keepLines/>
        <w:spacing w:after="120" w:before="240"/>
      </w:pPr>
      <w:r>
        <w:rPr>
          <w:rFonts w:ascii="Malgun Gothic" w:cs="Malgun Gothic" w:eastAsia="Malgun Gothic" w:hAnsi="Malgun Gothic"/>
          <w:b/>
          <w:bCs/>
          <w:color w:val="14213D"/>
          <w:sz w:val="24"/>
          <w:szCs w:val="24"/>
        </w:rPr>
        <w:t xml:space="preserve">⑧ 복제 바퀴: 새 지역이 더 싸게 돌게</w:t>
      </w:r>
    </w:p>
    <w:p>
      <w:pPr>
        <w:spacing w:after="120" w:line="320"/>
      </w:pPr>
      <w:r>
        <w:rPr>
          <w:rFonts w:ascii="Malgun Gothic" w:cs="Malgun Gothic" w:eastAsia="Malgun Gothic" w:hAnsi="Malgun Gothic"/>
          <w:sz w:val="21"/>
          <w:szCs w:val="21"/>
        </w:rPr>
        <w:t xml:space="preserve">지역 팩·언어 팩·공통 질문 30·아키타입 질문·동네 리포트 자동 생성을 묶은 재현 키트로 새 지역의 바퀴를 적은 비용으로 돌린다. 두 번째 지역(제주)의 개설 원가가 첫 지역(강남)보다 얼마나 낮은지가 증거다. CANON 플레이북의 전이 루프가 여기서 작동한다.</w:t>
      </w:r>
    </w:p>
    <w:p>
      <w:pPr>
        <w:pStyle w:val="Heading2"/>
        <w:keepNext/>
        <w:keepLines/>
        <w:spacing w:after="120" w:before="240"/>
      </w:pPr>
      <w:r>
        <w:rPr>
          <w:rFonts w:ascii="Malgun Gothic" w:cs="Malgun Gothic" w:eastAsia="Malgun Gothic" w:hAnsi="Malgun Gothic"/>
          <w:b/>
          <w:bCs/>
          <w:color w:val="14213D"/>
          <w:sz w:val="24"/>
          <w:szCs w:val="24"/>
        </w:rPr>
        <w:t xml:space="preserve">⑨ 브레이크 관리: 서킷 브레이커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6673"/>
      </w:tblGrid>
      <w:tr>
        <w:trPr>
          <w:tblHeader/>
        </w:trPr>
        <w:tc>
          <w:tcPr>
            <w:tcW w:type="dxa" w:w="2965"/>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브레이크</w:t>
            </w:r>
          </w:p>
        </w:tc>
        <w:tc>
          <w:tcPr>
            <w:tcW w:type="dxa" w:w="6673"/>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대응</w:t>
            </w:r>
          </w:p>
        </w:tc>
      </w:tr>
      <w:tr>
        <w:tc>
          <w:tcPr>
            <w:tcW w:type="dxa" w:w="2965"/>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확인 병목</w:t>
            </w:r>
          </w:p>
        </w:tc>
        <w:tc>
          <w:tcPr>
            <w:tcW w:type="dxa" w:w="6673"/>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확인 대기 50건 초과 시 새 미션 중단, 주간 채점 상한</w:t>
            </w:r>
          </w:p>
        </w:tc>
      </w:tr>
      <w:tr>
        <w:tc>
          <w:tcPr>
            <w:tcW w:type="dxa" w:w="2965"/>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조작 (동의·응답·퀴즈)</w:t>
            </w:r>
          </w:p>
        </w:tc>
        <w:tc>
          <w:tcPr>
            <w:tcW w:type="dxa" w:w="6673"/>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이상 패턴 탐지, 급변 결과는 다음 측정 뒤 발표</w:t>
            </w:r>
          </w:p>
        </w:tc>
      </w:tr>
      <w:tr>
        <w:tc>
          <w:tcPr>
            <w:tcW w:type="dxa" w:w="2965"/>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명예·법무 위험</w:t>
            </w:r>
          </w:p>
        </w:tc>
        <w:tc>
          <w:tcPr>
            <w:tcW w:type="dxa" w:w="6673"/>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확인 전 비공개, 업체명 동의, 서비스명 공개는 법무 검토 뒤</w:t>
            </w:r>
          </w:p>
        </w:tc>
      </w:tr>
      <w:tr>
        <w:tc>
          <w:tcPr>
            <w:tcW w:type="dxa" w:w="2965"/>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AI 기업의 반발</w:t>
            </w:r>
          </w:p>
        </w:tc>
        <w:tc>
          <w:tcPr>
            <w:tcW w:type="dxa" w:w="6673"/>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측정 기록·반론 지면·“정직한 모름” 점수 인정</w:t>
            </w:r>
          </w:p>
        </w:tc>
      </w:tr>
      <w:tr>
        <w:tc>
          <w:tcPr>
            <w:tcW w:type="dxa" w:w="2965"/>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편향 리포트의 공정성 논란</w:t>
            </w:r>
          </w:p>
        </w:tc>
        <w:tc>
          <w:tcPr>
            <w:tcW w:type="dxa" w:w="6673"/>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방법 공개, 같은 유형끼리 비교, 오차 범위 표시</w:t>
            </w:r>
          </w:p>
        </w:tc>
      </w:tr>
    </w:tbl>
    <w:p>
      <w:pPr>
        <w:pStyle w:val="Heading2"/>
        <w:keepNext/>
        <w:keepLines/>
        <w:spacing w:after="120" w:before="240"/>
      </w:pPr>
      <w:r>
        <w:rPr>
          <w:rFonts w:ascii="Malgun Gothic" w:cs="Malgun Gothic" w:eastAsia="Malgun Gothic" w:hAnsi="Malgun Gothic"/>
          <w:b/>
          <w:bCs/>
          <w:color w:val="14213D"/>
          <w:sz w:val="24"/>
          <w:szCs w:val="24"/>
        </w:rPr>
        <w:t xml:space="preserve">⑩ 고리별 회전 속도 대시보드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8"/>
        <w:gridCol w:w="6970"/>
      </w:tblGrid>
      <w:tr>
        <w:trPr>
          <w:tblHeader/>
        </w:trPr>
        <w:tc>
          <w:tcPr>
            <w:tcW w:type="dxa" w:w="2668"/>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고리</w:t>
            </w:r>
          </w:p>
        </w:tc>
        <w:tc>
          <w:tcPr>
            <w:tcW w:type="dxa" w:w="6970"/>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지표</w:t>
            </w:r>
          </w:p>
        </w:tc>
      </w:tr>
      <w:tr>
        <w:tc>
          <w:tcPr>
            <w:tcW w:type="dxa" w:w="2668"/>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질문 → 채점</w:t>
            </w:r>
          </w:p>
        </w:tc>
        <w:tc>
          <w:tcPr>
            <w:tcW w:type="dxa" w:w="6970"/>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동의 문턱을 넘는 질문의 비율, 채점까지 걸린 시간</w:t>
            </w:r>
          </w:p>
        </w:tc>
      </w:tr>
      <w:tr>
        <w:tc>
          <w:tcPr>
            <w:tcW w:type="dxa" w:w="2668"/>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채점 → 오답·빈칸</w:t>
            </w:r>
          </w:p>
        </w:tc>
        <w:tc>
          <w:tcPr>
            <w:tcW w:type="dxa" w:w="6970"/>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채점 질문 중 오답·빈칸 비율</w:t>
            </w:r>
          </w:p>
        </w:tc>
      </w:tr>
      <w:tr>
        <w:tc>
          <w:tcPr>
            <w:tcW w:type="dxa" w:w="2668"/>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오답 → 정답</w:t>
            </w:r>
          </w:p>
        </w:tc>
        <w:tc>
          <w:tcPr>
            <w:tcW w:type="dxa" w:w="6970"/>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정답까지 걸린 시간, 정본 주인 자기 확인 비율</w:t>
            </w:r>
          </w:p>
        </w:tc>
      </w:tr>
      <w:tr>
        <w:tc>
          <w:tcPr>
            <w:tcW w:type="dxa" w:w="2668"/>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정답 → 효과</w:t>
            </w:r>
          </w:p>
        </w:tc>
        <w:tc>
          <w:tcPr>
            <w:tcW w:type="dxa" w:w="6970"/>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재측정 개선율, AI의 우리 페이지 인용률</w:t>
            </w:r>
          </w:p>
        </w:tc>
      </w:tr>
      <w:tr>
        <w:tc>
          <w:tcPr>
            <w:tcW w:type="dxa" w:w="2668"/>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효과 → 화제</w:t>
            </w:r>
          </w:p>
        </w:tc>
        <w:tc>
          <w:tcPr>
            <w:tcW w:type="dxa" w:w="6970"/>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보도 수, 공유 카드</w:t>
            </w:r>
          </w:p>
        </w:tc>
      </w:tr>
      <w:tr>
        <w:tc>
          <w:tcPr>
            <w:tcW w:type="dxa" w:w="2668"/>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화제 → 참여</w:t>
            </w:r>
          </w:p>
        </w:tc>
        <w:tc>
          <w:tcPr>
            <w:tcW w:type="dxa" w:w="6970"/>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신규 참여자, 재방문율 (효과 알림 이후)</w:t>
            </w:r>
          </w:p>
        </w:tc>
      </w:tr>
      <w:tr>
        <w:tc>
          <w:tcPr>
            <w:tcW w:type="dxa" w:w="2668"/>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참여 → 매출</w:t>
            </w:r>
          </w:p>
        </w:tc>
        <w:tc>
          <w:tcPr>
            <w:tcW w:type="dxa" w:w="6970"/>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다섯 기어별 전환 (AIHompy 개설, 지자체 계약, 교육, 라이선스)</w:t>
            </w:r>
          </w:p>
        </w:tc>
      </w:tr>
      <w:tr>
        <w:tc>
          <w:tcPr>
            <w:tcW w:type="dxa" w:w="2668"/>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매출 → 원가</w:t>
            </w:r>
          </w:p>
        </w:tc>
        <w:tc>
          <w:tcPr>
            <w:tcW w:type="dxa" w:w="6970"/>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정답 1건당 원가의 분기 변화</w:t>
            </w:r>
          </w:p>
        </w:tc>
      </w:tr>
    </w:tbl>
    <w:p>
      <w:pPr>
        <w:pStyle w:val="Heading1"/>
        <w:keepNext/>
        <w:keepLines/>
        <w:spacing w:after="160" w:before="360"/>
      </w:pPr>
      <w:r>
        <w:rPr>
          <w:rFonts w:ascii="Malgun Gothic" w:cs="Malgun Gothic" w:eastAsia="Malgun Gothic" w:hAnsi="Malgun Gothic"/>
          <w:b/>
          <w:bCs/>
          <w:color w:val="14213D"/>
          <w:sz w:val="30"/>
          <w:szCs w:val="30"/>
        </w:rPr>
        <w:t xml:space="preserve">4. 완전한 전략 플라이휠의 조건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65"/>
        <w:gridCol w:w="3262"/>
        <w:gridCol w:w="3411"/>
      </w:tblGrid>
      <w:tr>
        <w:trPr>
          <w:tblHeader/>
        </w:trPr>
        <w:tc>
          <w:tcPr>
            <w:tcW w:type="dxa" w:w="2965"/>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조건</w:t>
            </w:r>
          </w:p>
        </w:tc>
        <w:tc>
          <w:tcPr>
            <w:tcW w:type="dxa" w:w="3262"/>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네 노트만으로</w:t>
            </w:r>
          </w:p>
        </w:tc>
        <w:tc>
          <w:tcPr>
            <w:tcW w:type="dxa" w:w="3411"/>
            <w:tcBorders>
              <w:top w:val="single" w:color="C9D3DE" w:sz="4"/>
              <w:left w:val="single" w:color="C9D3DE" w:sz="4"/>
              <w:bottom w:val="single" w:color="C9D3DE" w:sz="4"/>
              <w:right w:val="single" w:color="C9D3DE" w:sz="4"/>
            </w:tcBorders>
            <w:shd w:fill="14213D" w:color="auto" w:val="clear"/>
            <w:tcMar>
              <w:top w:type="dxa" w:w="60"/>
              <w:left w:type="dxa" w:w="90"/>
              <w:bottom w:type="dxa" w:w="60"/>
              <w:right w:type="dxa" w:w="90"/>
            </w:tcMar>
          </w:tcPr>
          <w:p>
            <w:pPr>
              <w:spacing w:line="270"/>
            </w:pPr>
            <w:r>
              <w:rPr>
                <w:rFonts w:ascii="Malgun Gothic" w:cs="Malgun Gothic" w:eastAsia="Malgun Gothic" w:hAnsi="Malgun Gothic"/>
                <w:b/>
                <w:bCs/>
                <w:color w:val="FFFFFF"/>
                <w:sz w:val="18"/>
                <w:szCs w:val="18"/>
              </w:rPr>
              <w:t xml:space="preserve">보완 후</w:t>
            </w:r>
          </w:p>
        </w:tc>
      </w:tr>
      <w:tr>
        <w:tc>
          <w:tcPr>
            <w:tcW w:type="dxa" w:w="2965"/>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각 고리가 다음을 민다</w:t>
            </w:r>
          </w:p>
        </w:tc>
        <w:tc>
          <w:tcPr>
            <w:tcW w:type="dxa" w:w="326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일부 (정답→AI 개선 미검증)</w:t>
            </w:r>
          </w:p>
        </w:tc>
        <w:tc>
          <w:tcPr>
            <w:tcW w:type="dxa" w:w="341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두 갈래 효과로 보강</w:t>
            </w:r>
          </w:p>
        </w:tc>
      </w:tr>
      <w:tr>
        <w:tc>
          <w:tcPr>
            <w:tcW w:type="dxa" w:w="2965"/>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돈이 바퀴 안에 있다</w:t>
            </w:r>
          </w:p>
        </w:tc>
        <w:tc>
          <w:tcPr>
            <w:tcW w:type="dxa" w:w="326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없음</w:t>
            </w:r>
          </w:p>
        </w:tc>
        <w:tc>
          <w:tcPr>
            <w:tcW w:type="dxa" w:w="341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다섯 기어</w:t>
            </w:r>
          </w:p>
        </w:tc>
      </w:tr>
      <w:tr>
        <w:tc>
          <w:tcPr>
            <w:tcW w:type="dxa" w:w="2965"/>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돌수록 싸진다</w:t>
            </w:r>
          </w:p>
        </w:tc>
        <w:tc>
          <w:tcPr>
            <w:tcW w:type="dxa" w:w="326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불분명</w:t>
            </w:r>
          </w:p>
        </w:tc>
        <w:tc>
          <w:tcPr>
            <w:tcW w:type="dxa" w:w="341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정답 1건당 원가 지표, 공급·확인자 바퀴</w:t>
            </w:r>
          </w:p>
        </w:tc>
      </w:tr>
      <w:tr>
        <w:tc>
          <w:tcPr>
            <w:tcW w:type="dxa" w:w="2965"/>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쌓이는 해자가 있다</w:t>
            </w:r>
          </w:p>
        </w:tc>
        <w:tc>
          <w:tcPr>
            <w:tcW w:type="dxa" w:w="326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있음 (시계열)</w:t>
            </w:r>
          </w:p>
        </w:tc>
        <w:tc>
          <w:tcPr>
            <w:tcW w:type="dxa" w:w="341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축으로 명시</w:t>
            </w:r>
          </w:p>
        </w:tc>
      </w:tr>
      <w:tr>
        <w:tc>
          <w:tcPr>
            <w:tcW w:type="dxa" w:w="2965"/>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멈추지 않게 한다</w:t>
            </w:r>
          </w:p>
        </w:tc>
        <w:tc>
          <w:tcPr>
            <w:tcW w:type="dxa" w:w="3262"/>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일부</w:t>
            </w:r>
          </w:p>
        </w:tc>
        <w:tc>
          <w:tcPr>
            <w:tcW w:type="dxa" w:w="3411"/>
            <w:tcBorders>
              <w:top w:val="single" w:color="C9D3DE" w:sz="4"/>
              <w:left w:val="single" w:color="C9D3DE" w:sz="4"/>
              <w:bottom w:val="single" w:color="C9D3DE" w:sz="4"/>
              <w:right w:val="single" w:color="C9D3DE" w:sz="4"/>
            </w:tcBorders>
            <w:shd w:fill="FFFFFF"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서킷 브레이커</w:t>
            </w:r>
          </w:p>
        </w:tc>
      </w:tr>
      <w:tr>
        <w:tc>
          <w:tcPr>
            <w:tcW w:type="dxa" w:w="2965"/>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bCs/>
                <w:color w:val="1A1A1A"/>
                <w:sz w:val="17"/>
                <w:szCs w:val="17"/>
              </w:rPr>
              <w:t xml:space="preserve">복제된다</w:t>
            </w:r>
          </w:p>
        </w:tc>
        <w:tc>
          <w:tcPr>
            <w:tcW w:type="dxa" w:w="3262"/>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설계만</w:t>
            </w:r>
          </w:p>
        </w:tc>
        <w:tc>
          <w:tcPr>
            <w:tcW w:type="dxa" w:w="3411"/>
            <w:tcBorders>
              <w:top w:val="single" w:color="C9D3DE" w:sz="4"/>
              <w:left w:val="single" w:color="C9D3DE" w:sz="4"/>
              <w:bottom w:val="single" w:color="C9D3DE" w:sz="4"/>
              <w:right w:val="single" w:color="C9D3DE" w:sz="4"/>
            </w:tcBorders>
            <w:shd w:fill="F5F7FA" w:color="auto" w:val="clear"/>
            <w:tcMar>
              <w:top w:type="dxa" w:w="60"/>
              <w:left w:type="dxa" w:w="90"/>
              <w:bottom w:type="dxa" w:w="60"/>
              <w:right w:type="dxa" w:w="90"/>
            </w:tcMar>
          </w:tcPr>
          <w:p>
            <w:pPr>
              <w:spacing w:line="270"/>
            </w:pPr>
            <w:r>
              <w:rPr>
                <w:rFonts w:ascii="Malgun Gothic" w:cs="Malgun Gothic" w:eastAsia="Malgun Gothic" w:hAnsi="Malgun Gothic"/>
                <w:b w:val="false"/>
                <w:bCs w:val="false"/>
                <w:color w:val="1A1A1A"/>
                <w:sz w:val="17"/>
                <w:szCs w:val="17"/>
              </w:rPr>
              <w:t xml:space="preserve">재현 키트와 두 번째 지역 원가로 증명</w:t>
            </w:r>
          </w:p>
        </w:tc>
      </w:tr>
    </w:tbl>
    <w:p>
      <w:pPr>
        <w:pStyle w:val="Heading1"/>
        <w:keepNext/>
        <w:keepLines/>
        <w:spacing w:after="160" w:before="360"/>
      </w:pPr>
      <w:r>
        <w:rPr>
          <w:rFonts w:ascii="Malgun Gothic" w:cs="Malgun Gothic" w:eastAsia="Malgun Gothic" w:hAnsi="Malgun Gothic"/>
          <w:b/>
          <w:bCs/>
          <w:color w:val="14213D"/>
          <w:sz w:val="30"/>
          <w:szCs w:val="30"/>
        </w:rPr>
        <w:t xml:space="preserve">5. 정직 기록</w:t>
      </w:r>
    </w:p>
    <w:p>
      <w:pPr>
        <w:spacing w:after="120" w:line="320"/>
      </w:pPr>
      <w:r>
        <w:rPr>
          <w:rFonts w:ascii="Malgun Gothic" w:cs="Malgun Gothic" w:eastAsia="Malgun Gothic" w:hAnsi="Malgun Gothic"/>
          <w:sz w:val="21"/>
          <w:szCs w:val="21"/>
        </w:rPr>
        <w:t xml:space="preserve">이 바퀴의 성패는 우리 정답이 AI의 답이나 인용을 실제로 바꾸는가에 달려 있다. 2027년 1월의 첫 재측정이 그 첫 증거이고, 그 전까지 이 플라이휠은 설계도다. 1월 결과가 어느 쪽으로 나와도 바퀴가 돌 수 있도록 측정·평가 사업이라는 두 번째 갈래를 처음부터 함께 키운다. 기어별 전환율과 정답 1건당 원가는 아직 측정된 값이 없다.</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5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55636B"/>
        <w:sz w:val="16"/>
        <w:szCs w:val="16"/>
      </w:rPr>
      <w:t xml:space="preserve">㈜디지털미디어네트워크 · 내부 전략 문서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color w:val="14213D"/>
      <w:sz w:val="30"/>
      <w:szCs w:val="30"/>
    </w:rPr>
  </w:style>
  <w:style w:type="paragraph" w:styleId="Heading2">
    <w:name w:val="Heading 2"/>
    <w:basedOn w:val="Normal"/>
    <w:next w:val="Normal"/>
    <w:qFormat/>
    <w:pPr>
      <w:outlineLvl w:val="1"/>
    </w:pPr>
    <w:rPr>
      <w:rFonts w:ascii="Malgun Gothic" w:cs="Malgun Gothic" w:eastAsia="Malgun Gothic" w:hAnsi="Malgun Gothic"/>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966b0cf12dae0e6c8f73419525bbb3b3c809d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2026-10-02T13:04:38.985Z</dcterms:created>
  <dcterms:modified xsi:type="dcterms:W3CDTF">2026-10-02T13:04:38.988Z</dcterms:modified>
</cp:coreProperties>
</file>

<file path=docProps/custom.xml><?xml version="1.0" encoding="utf-8"?>
<Properties xmlns="http://schemas.openxmlformats.org/officeDocument/2006/custom-properties" xmlns:vt="http://schemas.openxmlformats.org/officeDocument/2006/docPropsVTypes"/>
</file>