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2F61" w14:textId="77777777" w:rsidR="00C01F33" w:rsidRDefault="00C01F33">
      <w:pPr>
        <w:spacing w:before="3000"/>
      </w:pPr>
    </w:p>
    <w:p w14:paraId="5469A309" w14:textId="77777777" w:rsidR="00C01F33" w:rsidRDefault="00000000">
      <w:pPr>
        <w:spacing w:after="200"/>
        <w:jc w:val="center"/>
      </w:pPr>
      <w:r>
        <w:rPr>
          <w:b/>
          <w:bCs/>
          <w:color w:val="1A5276"/>
          <w:spacing w:val="200"/>
          <w:sz w:val="28"/>
          <w:szCs w:val="28"/>
        </w:rPr>
        <w:t>MINIPROJEKT</w:t>
      </w:r>
    </w:p>
    <w:p w14:paraId="73A07858" w14:textId="77777777" w:rsidR="00C01F33" w:rsidRDefault="00000000">
      <w:pPr>
        <w:spacing w:after="200"/>
        <w:jc w:val="center"/>
      </w:pPr>
      <w:proofErr w:type="spellStart"/>
      <w:r>
        <w:rPr>
          <w:b/>
          <w:bCs/>
          <w:color w:val="1A5276"/>
          <w:sz w:val="56"/>
          <w:szCs w:val="56"/>
        </w:rPr>
        <w:t>TicketHub</w:t>
      </w:r>
      <w:proofErr w:type="spellEnd"/>
    </w:p>
    <w:p w14:paraId="6E35AD45" w14:textId="77777777" w:rsidR="00C01F33" w:rsidRDefault="00000000">
      <w:pPr>
        <w:spacing w:after="100"/>
        <w:jc w:val="center"/>
      </w:pPr>
      <w:r>
        <w:rPr>
          <w:color w:val="5D6D7E"/>
          <w:sz w:val="28"/>
          <w:szCs w:val="28"/>
        </w:rPr>
        <w:t>Online Eventbilletsystem</w:t>
      </w:r>
    </w:p>
    <w:p w14:paraId="1C452016" w14:textId="77777777" w:rsidR="00C01F33" w:rsidRDefault="00000000">
      <w:pPr>
        <w:spacing w:after="600"/>
        <w:jc w:val="center"/>
      </w:pPr>
      <w:r>
        <w:rPr>
          <w:color w:val="5D6D7E"/>
          <w:sz w:val="24"/>
          <w:szCs w:val="24"/>
        </w:rPr>
        <w:t xml:space="preserve">Microservices med C#, </w:t>
      </w:r>
      <w:proofErr w:type="spellStart"/>
      <w:r>
        <w:rPr>
          <w:color w:val="5D6D7E"/>
          <w:sz w:val="24"/>
          <w:szCs w:val="24"/>
        </w:rPr>
        <w:t>Dapr</w:t>
      </w:r>
      <w:proofErr w:type="spellEnd"/>
      <w:r>
        <w:rPr>
          <w:color w:val="5D6D7E"/>
          <w:sz w:val="24"/>
          <w:szCs w:val="24"/>
        </w:rPr>
        <w:t xml:space="preserve"> og </w:t>
      </w:r>
      <w:proofErr w:type="spellStart"/>
      <w:r>
        <w:rPr>
          <w:color w:val="5D6D7E"/>
          <w:sz w:val="24"/>
          <w:szCs w:val="24"/>
        </w:rPr>
        <w:t>Aspire</w:t>
      </w:r>
      <w:proofErr w:type="spellEnd"/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C01F33" w14:paraId="6DDEEB89" w14:textId="77777777">
        <w:trPr>
          <w:jc w:val="center"/>
        </w:trPr>
        <w:tc>
          <w:tcPr>
            <w:tcW w:w="4000" w:type="dxa"/>
            <w:tcBorders>
              <w:top w:val="single" w:sz="3" w:space="0" w:color="1A5276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ECB4C0" w14:textId="77777777" w:rsidR="00C01F33" w:rsidRDefault="00C01F33"/>
        </w:tc>
      </w:tr>
    </w:tbl>
    <w:p w14:paraId="1BFED30B" w14:textId="77777777" w:rsidR="00C01F33" w:rsidRDefault="00C01F33">
      <w:pPr>
        <w:spacing w:after="400"/>
      </w:pPr>
    </w:p>
    <w:p w14:paraId="19F3129B" w14:textId="77777777" w:rsidR="00C01F33" w:rsidRDefault="00000000">
      <w:pPr>
        <w:spacing w:after="100"/>
        <w:jc w:val="center"/>
      </w:pPr>
      <w:r>
        <w:rPr>
          <w:color w:val="5D6D7E"/>
        </w:rPr>
        <w:t>Varighed: 5–7 uger</w:t>
      </w:r>
    </w:p>
    <w:p w14:paraId="1D1D9456" w14:textId="77777777" w:rsidR="00C01F33" w:rsidRDefault="00000000">
      <w:pPr>
        <w:spacing w:after="100"/>
        <w:jc w:val="center"/>
      </w:pPr>
      <w:r>
        <w:rPr>
          <w:color w:val="5D6D7E"/>
        </w:rPr>
        <w:t xml:space="preserve">Teknologier: .NET / C#, </w:t>
      </w:r>
      <w:proofErr w:type="spellStart"/>
      <w:r>
        <w:rPr>
          <w:color w:val="5D6D7E"/>
        </w:rPr>
        <w:t>Dapr</w:t>
      </w:r>
      <w:proofErr w:type="spellEnd"/>
      <w:r>
        <w:rPr>
          <w:color w:val="5D6D7E"/>
        </w:rPr>
        <w:t xml:space="preserve">, .NET </w:t>
      </w:r>
      <w:proofErr w:type="spellStart"/>
      <w:r>
        <w:rPr>
          <w:color w:val="5D6D7E"/>
        </w:rPr>
        <w:t>Aspire</w:t>
      </w:r>
      <w:proofErr w:type="spellEnd"/>
    </w:p>
    <w:p w14:paraId="12D05A6C" w14:textId="77777777" w:rsidR="00C01F33" w:rsidRDefault="00000000">
      <w:pPr>
        <w:spacing w:after="2000"/>
        <w:jc w:val="center"/>
      </w:pPr>
      <w:r>
        <w:rPr>
          <w:color w:val="5D6D7E"/>
        </w:rPr>
        <w:t xml:space="preserve">Op til 5 microservices med </w:t>
      </w:r>
      <w:proofErr w:type="spellStart"/>
      <w:r>
        <w:rPr>
          <w:color w:val="5D6D7E"/>
        </w:rPr>
        <w:t>messaging</w:t>
      </w:r>
      <w:proofErr w:type="spellEnd"/>
      <w:r>
        <w:rPr>
          <w:color w:val="5D6D7E"/>
        </w:rPr>
        <w:t>, REST og SAGA</w:t>
      </w:r>
    </w:p>
    <w:p w14:paraId="5E299708" w14:textId="77777777" w:rsidR="00C01F33" w:rsidRDefault="00000000">
      <w:r>
        <w:br w:type="page"/>
      </w:r>
    </w:p>
    <w:p w14:paraId="2101238C" w14:textId="77777777" w:rsidR="00C01F33" w:rsidRPr="00B7667B" w:rsidRDefault="00000000">
      <w:pPr>
        <w:pStyle w:val="Overskrift1"/>
      </w:pPr>
      <w:r w:rsidRPr="00B7667B">
        <w:lastRenderedPageBreak/>
        <w:t>6. Internt design: Clean Architecture</w:t>
      </w:r>
    </w:p>
    <w:p w14:paraId="43BD8807" w14:textId="77777777" w:rsidR="00C01F33" w:rsidRDefault="00000000">
      <w:pPr>
        <w:spacing w:after="160" w:line="276" w:lineRule="auto"/>
      </w:pPr>
      <w:r>
        <w:t>Hvor afsnit 3–5 handler om det overordnede og eksterne design (hvilke services findes, og hvordan taler de sammen), handler dette afsnit om det interne design: Hvordan er den enkelte service bygget op indeni?</w:t>
      </w:r>
    </w:p>
    <w:p w14:paraId="59184A09" w14:textId="77777777" w:rsidR="00C01F33" w:rsidRDefault="00000000">
      <w:pPr>
        <w:spacing w:after="160" w:line="276" w:lineRule="auto"/>
      </w:pPr>
      <w:proofErr w:type="spellStart"/>
      <w:r>
        <w:rPr>
          <w:lang w:val="en-US"/>
        </w:rPr>
        <w:t>Hver</w:t>
      </w:r>
      <w:proofErr w:type="spellEnd"/>
      <w:r>
        <w:rPr>
          <w:lang w:val="en-US"/>
        </w:rPr>
        <w:t xml:space="preserve"> microservice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TicketHub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følge</w:t>
      </w:r>
      <w:proofErr w:type="spellEnd"/>
      <w:r>
        <w:rPr>
          <w:lang w:val="en-US"/>
        </w:rPr>
        <w:t xml:space="preserve"> Clean Architecture-</w:t>
      </w:r>
      <w:proofErr w:type="spellStart"/>
      <w:r>
        <w:rPr>
          <w:lang w:val="en-US"/>
        </w:rPr>
        <w:t>principperne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kombinerer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idéer</w:t>
      </w:r>
      <w:proofErr w:type="spellEnd"/>
      <w:r>
        <w:rPr>
          <w:lang w:val="en-US"/>
        </w:rPr>
        <w:t xml:space="preserve"> fra Onion Architecture, Domain-Driven Design (DDD) og Command Query Separation (CQS). </w:t>
      </w:r>
      <w:r>
        <w:t xml:space="preserve">Det centrale princip er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Rule</w:t>
      </w:r>
      <w:proofErr w:type="spellEnd"/>
      <w:r>
        <w:t>: kildekode-afhængigheder må kun pege indad – fra de ydre, tekniske lag mod de indre, forretningsnære lag. Det sikrer at forretningslogikken er uafhængig af frameworks, databaser og andre tekniske detaljer.</w:t>
      </w:r>
    </w:p>
    <w:p w14:paraId="13DD1EC7" w14:textId="77777777" w:rsidR="00C01F33" w:rsidRDefault="00000000">
      <w:pPr>
        <w:pStyle w:val="Overskrift2"/>
      </w:pPr>
      <w:r>
        <w:t>6.1 Lagmodellen</w:t>
      </w:r>
    </w:p>
    <w:p w14:paraId="24F2742A" w14:textId="77777777" w:rsidR="00C01F33" w:rsidRDefault="00000000">
      <w:pPr>
        <w:spacing w:after="160" w:line="276" w:lineRule="auto"/>
      </w:pPr>
      <w:r>
        <w:t>Arkitekturen består af fire lag plus et Api-projekt. Hvert lag afspejles som et selvstændigt projekt i jeres .NET Solution:</w:t>
      </w:r>
    </w:p>
    <w:p w14:paraId="045F27C2" w14:textId="77777777" w:rsidR="00C01F33" w:rsidRDefault="00000000">
      <w:pPr>
        <w:spacing w:after="100" w:line="276" w:lineRule="auto"/>
      </w:pPr>
      <w:r>
        <w:rPr>
          <w:b/>
          <w:bCs/>
        </w:rPr>
        <w:t xml:space="preserve">Domain-laget (inderst) </w:t>
      </w:r>
      <w:r>
        <w:t xml:space="preserve">– Arkitekturens hjerte. Indeholder kerneforretningslogikken i sin reneste form: </w:t>
      </w:r>
      <w:proofErr w:type="spellStart"/>
      <w:r>
        <w:t>entity</w:t>
      </w:r>
      <w:proofErr w:type="spellEnd"/>
      <w:r>
        <w:t xml:space="preserve">-klasser med DDD-principper (private setters, tilstandsændringer via metoder),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og domain services. Dette lag har ingen afhængigheder til andre lag eller frameworks overhovedet. I Inventory-servicen vil f.eks. </w:t>
      </w:r>
      <w:proofErr w:type="spellStart"/>
      <w:r>
        <w:t>entity</w:t>
      </w:r>
      <w:proofErr w:type="spellEnd"/>
      <w:r>
        <w:t xml:space="preserve">-klassen </w:t>
      </w:r>
      <w:proofErr w:type="spellStart"/>
      <w:r>
        <w:t>TicketStock</w:t>
      </w:r>
      <w:proofErr w:type="spellEnd"/>
      <w:r>
        <w:t xml:space="preserve"> med logik for reservation og frigivelse høre til her.</w:t>
      </w:r>
    </w:p>
    <w:p w14:paraId="5184EF4E" w14:textId="77777777" w:rsidR="00C01F33" w:rsidRDefault="00000000">
      <w:pPr>
        <w:spacing w:after="100" w:line="276" w:lineRule="auto"/>
      </w:pP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Case-laget </w:t>
      </w:r>
      <w:r>
        <w:t xml:space="preserve">– Orkestrerer applikationslogikken. Hvert </w:t>
      </w:r>
      <w:proofErr w:type="spellStart"/>
      <w:r>
        <w:t>use</w:t>
      </w:r>
      <w:proofErr w:type="spellEnd"/>
      <w:r>
        <w:t xml:space="preserve"> case repræsenterer én konkret handling (f.eks. “Placér ordre” eller “Reserver billetter”). </w:t>
      </w:r>
      <w:proofErr w:type="spellStart"/>
      <w:r>
        <w:t>Use</w:t>
      </w:r>
      <w:proofErr w:type="spellEnd"/>
      <w:r>
        <w:t xml:space="preserve"> cases kalder Domain-laget for forretningsregler og definerer repository-interfaces (f.eks. </w:t>
      </w:r>
      <w:proofErr w:type="spellStart"/>
      <w:r>
        <w:t>IOrderRepository</w:t>
      </w:r>
      <w:proofErr w:type="spellEnd"/>
      <w:r>
        <w:t xml:space="preserve">, </w:t>
      </w:r>
      <w:proofErr w:type="spellStart"/>
      <w:r>
        <w:t>ITicketStockRepository</w:t>
      </w:r>
      <w:proofErr w:type="spellEnd"/>
      <w:r>
        <w:t xml:space="preserve">), som </w:t>
      </w:r>
      <w:proofErr w:type="spellStart"/>
      <w:r>
        <w:t>Infrastructure</w:t>
      </w:r>
      <w:proofErr w:type="spellEnd"/>
      <w:r>
        <w:t xml:space="preserve">-laget implementerer. Med CQS-princippet er </w:t>
      </w:r>
      <w:proofErr w:type="spellStart"/>
      <w:r>
        <w:t>use</w:t>
      </w:r>
      <w:proofErr w:type="spellEnd"/>
      <w:r>
        <w:t xml:space="preserve"> cases udelukkende </w:t>
      </w:r>
      <w:proofErr w:type="spellStart"/>
      <w:r>
        <w:t>commands</w:t>
      </w:r>
      <w:proofErr w:type="spellEnd"/>
      <w:r>
        <w:t xml:space="preserve"> – de ændrer tilstand, men returnerer ikke data. Læsning af data sker via separate query-interfaces (se Facade-laget).</w:t>
      </w:r>
    </w:p>
    <w:p w14:paraId="73DD5528" w14:textId="77777777" w:rsidR="00C01F33" w:rsidRDefault="00000000">
      <w:pPr>
        <w:spacing w:after="100" w:line="276" w:lineRule="auto"/>
      </w:pPr>
      <w:r>
        <w:rPr>
          <w:b/>
          <w:bCs/>
        </w:rPr>
        <w:t xml:space="preserve">Facade-laget </w:t>
      </w:r>
      <w:r>
        <w:t xml:space="preserve">– Kontraktlaget der udgør den eneste indgang til kernen. Her findes udelukkende interfaces og </w:t>
      </w:r>
      <w:proofErr w:type="spellStart"/>
      <w:r>
        <w:t>DTO’er</w:t>
      </w:r>
      <w:proofErr w:type="spellEnd"/>
      <w:r>
        <w:t xml:space="preserve"> – ingen implementering. Interfaces opdeles efter CQS-princippet: ét interface per </w:t>
      </w:r>
      <w:proofErr w:type="spellStart"/>
      <w:r>
        <w:t>use</w:t>
      </w:r>
      <w:proofErr w:type="spellEnd"/>
      <w:r>
        <w:t xml:space="preserve"> case (</w:t>
      </w:r>
      <w:proofErr w:type="spellStart"/>
      <w:r>
        <w:t>command</w:t>
      </w:r>
      <w:proofErr w:type="spellEnd"/>
      <w:r>
        <w:t xml:space="preserve">) og ét interface per query-gruppe. Alle parametre og returværdier er </w:t>
      </w:r>
      <w:proofErr w:type="spellStart"/>
      <w:r>
        <w:t>DTO’er</w:t>
      </w:r>
      <w:proofErr w:type="spellEnd"/>
      <w:r>
        <w:t xml:space="preserve"> – domæne-</w:t>
      </w:r>
      <w:proofErr w:type="spellStart"/>
      <w:r>
        <w:t>entities</w:t>
      </w:r>
      <w:proofErr w:type="spellEnd"/>
      <w:r>
        <w:t xml:space="preserve"> eksponeres aldrig. Facade-laget sikrer at API-controllere, test-klienter og andre konsumenter aldrig taler direkte med </w:t>
      </w:r>
      <w:proofErr w:type="spellStart"/>
      <w:r>
        <w:t>use</w:t>
      </w:r>
      <w:proofErr w:type="spellEnd"/>
      <w:r>
        <w:t xml:space="preserve"> cases eller domæne-</w:t>
      </w:r>
      <w:proofErr w:type="spellStart"/>
      <w:r>
        <w:t>entities</w:t>
      </w:r>
      <w:proofErr w:type="spellEnd"/>
      <w:r>
        <w:t>.</w:t>
      </w:r>
    </w:p>
    <w:p w14:paraId="0D18C6DC" w14:textId="66DC2683" w:rsidR="00C01F33" w:rsidRDefault="00000000">
      <w:pPr>
        <w:spacing w:after="100" w:line="276" w:lineRule="auto"/>
      </w:pPr>
      <w:proofErr w:type="spellStart"/>
      <w:r>
        <w:rPr>
          <w:b/>
          <w:bCs/>
        </w:rPr>
        <w:t>Infrastructure</w:t>
      </w:r>
      <w:proofErr w:type="spellEnd"/>
      <w:r>
        <w:rPr>
          <w:b/>
          <w:bCs/>
        </w:rPr>
        <w:t xml:space="preserve">-laget (yderst) </w:t>
      </w:r>
      <w:r>
        <w:t>– Indeholder al teknisk implementering: databaseadgang (</w:t>
      </w:r>
      <w:proofErr w:type="spellStart"/>
      <w:r>
        <w:t>Entity</w:t>
      </w:r>
      <w:proofErr w:type="spellEnd"/>
      <w:r>
        <w:t xml:space="preserve"> Framework, </w:t>
      </w:r>
      <w:proofErr w:type="spellStart"/>
      <w:r w:rsidR="00B7667B">
        <w:t>POSTGRESQL</w:t>
      </w:r>
      <w:r>
        <w:t>ite</w:t>
      </w:r>
      <w:proofErr w:type="spellEnd"/>
      <w:r>
        <w:t xml:space="preserve">), </w:t>
      </w:r>
      <w:proofErr w:type="spellStart"/>
      <w:r>
        <w:t>Dapr</w:t>
      </w:r>
      <w:proofErr w:type="spellEnd"/>
      <w:r>
        <w:t xml:space="preserve">-integrationer, eksterne API-kald og </w:t>
      </w:r>
      <w:proofErr w:type="spellStart"/>
      <w:r>
        <w:t>messaging</w:t>
      </w:r>
      <w:proofErr w:type="spellEnd"/>
      <w:r>
        <w:t xml:space="preserve">. </w:t>
      </w:r>
      <w:r>
        <w:rPr>
          <w:lang w:val="en-US"/>
        </w:rPr>
        <w:t xml:space="preserve">Infrastructure </w:t>
      </w:r>
      <w:proofErr w:type="spellStart"/>
      <w:r>
        <w:rPr>
          <w:lang w:val="en-US"/>
        </w:rPr>
        <w:t>implementerer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både</w:t>
      </w:r>
      <w:proofErr w:type="spellEnd"/>
      <w:r>
        <w:rPr>
          <w:lang w:val="en-US"/>
        </w:rPr>
        <w:t xml:space="preserve"> Use Case-</w:t>
      </w:r>
      <w:proofErr w:type="spellStart"/>
      <w:r>
        <w:rPr>
          <w:lang w:val="en-US"/>
        </w:rPr>
        <w:t>lagets</w:t>
      </w:r>
      <w:proofErr w:type="spellEnd"/>
      <w:r>
        <w:rPr>
          <w:lang w:val="en-US"/>
        </w:rPr>
        <w:t xml:space="preserve"> repository-interfaces og Facade-</w:t>
      </w:r>
      <w:proofErr w:type="spellStart"/>
      <w:r>
        <w:rPr>
          <w:lang w:val="en-US"/>
        </w:rPr>
        <w:t>lagets</w:t>
      </w:r>
      <w:proofErr w:type="spellEnd"/>
      <w:r>
        <w:rPr>
          <w:lang w:val="en-US"/>
        </w:rPr>
        <w:t xml:space="preserve"> query-interfaces. </w:t>
      </w:r>
      <w:r>
        <w:t>Med CQS kan query-handlers gå direkte til databasen med optimerede forespørgsler uden at involvere domæne-</w:t>
      </w:r>
      <w:proofErr w:type="spellStart"/>
      <w:r>
        <w:t>entities</w:t>
      </w:r>
      <w:proofErr w:type="spellEnd"/>
      <w:r>
        <w:t>.</w:t>
      </w:r>
    </w:p>
    <w:p w14:paraId="0A91ABFC" w14:textId="77777777" w:rsidR="00C01F33" w:rsidRDefault="00000000">
      <w:pPr>
        <w:spacing w:after="160" w:line="276" w:lineRule="auto"/>
      </w:pPr>
      <w:r>
        <w:rPr>
          <w:b/>
          <w:bCs/>
        </w:rPr>
        <w:t xml:space="preserve">Api-projektet </w:t>
      </w:r>
      <w:r>
        <w:t>– ASP.NET Core Web API-controllere der eksponerer servicens funktionalitet. Controllerne refererer kun til Facade-laget (</w:t>
      </w:r>
      <w:proofErr w:type="spellStart"/>
      <w:r>
        <w:t>use</w:t>
      </w:r>
      <w:proofErr w:type="spellEnd"/>
      <w:r>
        <w:t xml:space="preserve"> case-interfaces og query-interfaces) og bruger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til at </w:t>
      </w:r>
      <w:proofErr w:type="spellStart"/>
      <w:r>
        <w:t>resolve</w:t>
      </w:r>
      <w:proofErr w:type="spellEnd"/>
      <w:r>
        <w:t xml:space="preserve"> de konkrete implementeringer.</w:t>
      </w:r>
    </w:p>
    <w:p w14:paraId="117F8FA8" w14:textId="77777777" w:rsidR="00C01F33" w:rsidRDefault="00000000">
      <w:pPr>
        <w:pStyle w:val="Overskrift2"/>
      </w:pPr>
      <w:r>
        <w:t xml:space="preserve">6.2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65B6E0D8" w14:textId="77777777" w:rsidR="00C01F33" w:rsidRDefault="00000000">
      <w:pPr>
        <w:spacing w:after="160" w:line="276" w:lineRule="auto"/>
      </w:pPr>
      <w:r>
        <w:t xml:space="preserve">Den vigtigste regel i hele arkitekturen er: kildekode-afhængigheder må kun pege indad. Domain-laget kender intet til de andre lag. </w:t>
      </w:r>
      <w:proofErr w:type="spellStart"/>
      <w:r>
        <w:t>Use</w:t>
      </w:r>
      <w:proofErr w:type="spellEnd"/>
      <w:r>
        <w:t xml:space="preserve"> Case-laget afhænger kun af Domain, men implementerer Facade-lagets interfaces. Facade-laget definerer kontrakten (interfaces og </w:t>
      </w:r>
      <w:proofErr w:type="spellStart"/>
      <w:r>
        <w:lastRenderedPageBreak/>
        <w:t>DTO’er</w:t>
      </w:r>
      <w:proofErr w:type="spellEnd"/>
      <w:r>
        <w:t xml:space="preserve">) og kender ikke til andre lag. </w:t>
      </w:r>
      <w:proofErr w:type="spellStart"/>
      <w:r>
        <w:t>Infrastructure</w:t>
      </w:r>
      <w:proofErr w:type="spellEnd"/>
      <w:r>
        <w:t xml:space="preserve">-laget implementerer interfaces fra både Facade og </w:t>
      </w:r>
      <w:proofErr w:type="spellStart"/>
      <w:r>
        <w:t>Use</w:t>
      </w:r>
      <w:proofErr w:type="spellEnd"/>
      <w:r>
        <w:t xml:space="preserve"> Case, og afhænger desuden af Domain (til materialisering og </w:t>
      </w:r>
      <w:proofErr w:type="spellStart"/>
      <w:r>
        <w:t>persistering</w:t>
      </w:r>
      <w:proofErr w:type="spellEnd"/>
      <w:r>
        <w:t>). Api-projektet refererer kun til Facade.</w:t>
      </w:r>
    </w:p>
    <w:p w14:paraId="33DC9CE1" w14:textId="72665554" w:rsidR="00C01F33" w:rsidRDefault="00000000">
      <w:pPr>
        <w:spacing w:after="160" w:line="276" w:lineRule="auto"/>
      </w:pPr>
      <w:r>
        <w:t xml:space="preserve">Konkret: Når et </w:t>
      </w:r>
      <w:proofErr w:type="spellStart"/>
      <w:r>
        <w:t>Use</w:t>
      </w:r>
      <w:proofErr w:type="spellEnd"/>
      <w:r>
        <w:t xml:space="preserve"> Case har brug for at gemme data, definerer det et repository-interface (f.eks. </w:t>
      </w:r>
      <w:proofErr w:type="spellStart"/>
      <w:r>
        <w:t>IOrderRepository</w:t>
      </w:r>
      <w:proofErr w:type="spellEnd"/>
      <w:r>
        <w:t xml:space="preserve">). </w:t>
      </w:r>
      <w:proofErr w:type="spellStart"/>
      <w:r>
        <w:t>Infrastructure</w:t>
      </w:r>
      <w:proofErr w:type="spellEnd"/>
      <w:r>
        <w:t xml:space="preserve">-laget implementerer dette med </w:t>
      </w:r>
      <w:proofErr w:type="spellStart"/>
      <w:r>
        <w:t>Entity</w:t>
      </w:r>
      <w:proofErr w:type="spellEnd"/>
      <w:r>
        <w:t xml:space="preserve"> Framework og </w:t>
      </w:r>
      <w:proofErr w:type="spellStart"/>
      <w:r w:rsidR="00B7667B">
        <w:t>POSTGRESQL</w:t>
      </w:r>
      <w:r>
        <w:t>ite</w:t>
      </w:r>
      <w:proofErr w:type="spellEnd"/>
      <w:r>
        <w:t xml:space="preserve">. Ved opstart registreres implementeringen via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så </w:t>
      </w:r>
      <w:proofErr w:type="spellStart"/>
      <w:r>
        <w:t>Use</w:t>
      </w:r>
      <w:proofErr w:type="spellEnd"/>
      <w:r>
        <w:t xml:space="preserve"> Case-laget aldrig har en direkte reference til </w:t>
      </w:r>
      <w:proofErr w:type="spellStart"/>
      <w:r>
        <w:t>Infrastructure</w:t>
      </w:r>
      <w:proofErr w:type="spellEnd"/>
      <w:r>
        <w:t xml:space="preserve">-projektet. På samme måde definerer Facade-laget query-interfaces (f.eks. </w:t>
      </w:r>
      <w:proofErr w:type="spellStart"/>
      <w:r>
        <w:t>IEventQueries</w:t>
      </w:r>
      <w:proofErr w:type="spellEnd"/>
      <w:r>
        <w:t xml:space="preserve">), som </w:t>
      </w:r>
      <w:proofErr w:type="spellStart"/>
      <w:r>
        <w:t>Infrastructure</w:t>
      </w:r>
      <w:proofErr w:type="spellEnd"/>
      <w:r>
        <w:t xml:space="preserve"> implementerer med optimerede læseforespørgsler.</w:t>
      </w:r>
    </w:p>
    <w:p w14:paraId="317B387C" w14:textId="77777777" w:rsidR="00C01F33" w:rsidRDefault="00000000">
      <w:pPr>
        <w:pStyle w:val="Overskrift2"/>
      </w:pPr>
      <w:r>
        <w:t xml:space="preserve">6.3 Eksempel: </w:t>
      </w:r>
      <w:proofErr w:type="spellStart"/>
      <w:r>
        <w:t>Ordering</w:t>
      </w:r>
      <w:proofErr w:type="spellEnd"/>
      <w:r>
        <w:t>-servicen</w:t>
      </w:r>
    </w:p>
    <w:p w14:paraId="5F32B13B" w14:textId="77777777" w:rsidR="00C01F33" w:rsidRDefault="00000000">
      <w:pPr>
        <w:spacing w:after="160" w:line="276" w:lineRule="auto"/>
      </w:pPr>
      <w:r>
        <w:t xml:space="preserve">For </w:t>
      </w:r>
      <w:proofErr w:type="spellStart"/>
      <w:r>
        <w:t>Ordering</w:t>
      </w:r>
      <w:proofErr w:type="spellEnd"/>
      <w:r>
        <w:t xml:space="preserve">-servicen kunne Solution-strukturen se sådan ud: </w:t>
      </w:r>
      <w:proofErr w:type="spellStart"/>
      <w:r>
        <w:t>Ordering.Domain</w:t>
      </w:r>
      <w:proofErr w:type="spellEnd"/>
      <w:r>
        <w:t xml:space="preserve"> indeholder Order-entiteten med statuslogik (</w:t>
      </w:r>
      <w:proofErr w:type="spellStart"/>
      <w:r>
        <w:t>Created</w:t>
      </w:r>
      <w:proofErr w:type="spellEnd"/>
      <w:r>
        <w:t xml:space="preserve">, </w:t>
      </w:r>
      <w:proofErr w:type="spellStart"/>
      <w:r>
        <w:t>Confirmed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 xml:space="preserve">) og </w:t>
      </w:r>
      <w:proofErr w:type="spellStart"/>
      <w:r>
        <w:t>OrderLine</w:t>
      </w:r>
      <w:proofErr w:type="spellEnd"/>
      <w:r>
        <w:t xml:space="preserve"> som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. </w:t>
      </w:r>
      <w:proofErr w:type="spellStart"/>
      <w:r>
        <w:t>Ordering.UseCases</w:t>
      </w:r>
      <w:proofErr w:type="spellEnd"/>
      <w:r>
        <w:t xml:space="preserve"> indeholder </w:t>
      </w:r>
      <w:proofErr w:type="spellStart"/>
      <w:r>
        <w:t>use</w:t>
      </w:r>
      <w:proofErr w:type="spellEnd"/>
      <w:r>
        <w:t xml:space="preserve"> cases som </w:t>
      </w:r>
      <w:proofErr w:type="spellStart"/>
      <w:r>
        <w:t>PlaceOrderUseCase</w:t>
      </w:r>
      <w:proofErr w:type="spellEnd"/>
      <w:r>
        <w:t xml:space="preserve"> samt repository-interfaces som </w:t>
      </w:r>
      <w:proofErr w:type="spellStart"/>
      <w:r>
        <w:t>IOrderRepository</w:t>
      </w:r>
      <w:proofErr w:type="spellEnd"/>
      <w:r>
        <w:t xml:space="preserve">. </w:t>
      </w:r>
      <w:proofErr w:type="spellStart"/>
      <w:r>
        <w:t>Ordering.Facade</w:t>
      </w:r>
      <w:proofErr w:type="spellEnd"/>
      <w:r>
        <w:t xml:space="preserve"> indeholder </w:t>
      </w:r>
      <w:proofErr w:type="spellStart"/>
      <w:r>
        <w:t>use</w:t>
      </w:r>
      <w:proofErr w:type="spellEnd"/>
      <w:r>
        <w:t xml:space="preserve"> case-interfaces (f.eks. </w:t>
      </w:r>
      <w:proofErr w:type="spellStart"/>
      <w:r>
        <w:t>IPlaceOrderUseCase</w:t>
      </w:r>
      <w:proofErr w:type="spellEnd"/>
      <w:r>
        <w:t xml:space="preserve">), query-interfaces (f.eks. </w:t>
      </w:r>
      <w:proofErr w:type="spellStart"/>
      <w:r>
        <w:t>IOrderQueries</w:t>
      </w:r>
      <w:proofErr w:type="spellEnd"/>
      <w:r>
        <w:t xml:space="preserve">) og </w:t>
      </w:r>
      <w:proofErr w:type="spellStart"/>
      <w:r>
        <w:t>DTO’er</w:t>
      </w:r>
      <w:proofErr w:type="spellEnd"/>
      <w:r>
        <w:t xml:space="preserve"> (f.eks. </w:t>
      </w:r>
      <w:proofErr w:type="spellStart"/>
      <w:r>
        <w:t>OrderDto</w:t>
      </w:r>
      <w:proofErr w:type="spellEnd"/>
      <w:r>
        <w:t xml:space="preserve">, </w:t>
      </w:r>
      <w:proofErr w:type="spellStart"/>
      <w:r>
        <w:t>PlaceOrderRequest</w:t>
      </w:r>
      <w:proofErr w:type="spellEnd"/>
      <w:r>
        <w:t xml:space="preserve">). </w:t>
      </w:r>
      <w:proofErr w:type="spellStart"/>
      <w:r>
        <w:t>Ordering.Infrastructure</w:t>
      </w:r>
      <w:proofErr w:type="spellEnd"/>
      <w:r>
        <w:t xml:space="preserve"> implementerer </w:t>
      </w:r>
      <w:proofErr w:type="spellStart"/>
      <w:r>
        <w:t>IOrderRepository</w:t>
      </w:r>
      <w:proofErr w:type="spellEnd"/>
      <w:r>
        <w:t xml:space="preserve"> med </w:t>
      </w:r>
      <w:proofErr w:type="spellStart"/>
      <w:r>
        <w:t>Entity</w:t>
      </w:r>
      <w:proofErr w:type="spellEnd"/>
      <w:r>
        <w:t xml:space="preserve"> Framework, </w:t>
      </w:r>
      <w:proofErr w:type="spellStart"/>
      <w:r>
        <w:t>IOrderQueries</w:t>
      </w:r>
      <w:proofErr w:type="spellEnd"/>
      <w:r>
        <w:t xml:space="preserve"> med optimerede læseforespørgsler, og </w:t>
      </w:r>
      <w:proofErr w:type="spellStart"/>
      <w:r>
        <w:t>Dapr</w:t>
      </w:r>
      <w:proofErr w:type="spellEnd"/>
      <w:r>
        <w:t xml:space="preserve">-integrationer. </w:t>
      </w:r>
      <w:proofErr w:type="spellStart"/>
      <w:r>
        <w:t>Ordering.Api</w:t>
      </w:r>
      <w:proofErr w:type="spellEnd"/>
      <w:r>
        <w:t xml:space="preserve"> indeholder controllere der kun refererer til Facade-lagets interfaces.</w:t>
      </w:r>
    </w:p>
    <w:p w14:paraId="36C60983" w14:textId="77777777" w:rsidR="00C01F33" w:rsidRDefault="00000000">
      <w:pPr>
        <w:pStyle w:val="Overskrift2"/>
      </w:pPr>
      <w:r>
        <w:t>6.4 Referencemateriale</w:t>
      </w:r>
    </w:p>
    <w:p w14:paraId="6667C1B3" w14:textId="77777777" w:rsidR="00C01F33" w:rsidRDefault="00000000">
      <w:pPr>
        <w:spacing w:after="160" w:line="276" w:lineRule="auto"/>
      </w:pPr>
      <w:r>
        <w:t>Følg Clean Architecture-noten fra kursusmaterialet for den fulde beskrivelse af lagene, DDD-</w:t>
      </w:r>
      <w:proofErr w:type="spellStart"/>
      <w:r>
        <w:t>entity</w:t>
      </w:r>
      <w:proofErr w:type="spellEnd"/>
      <w:r>
        <w:t>-mønstret, CQS-princippet og Facade-lagets rolle:</w:t>
      </w:r>
    </w:p>
    <w:p w14:paraId="357EEB6F" w14:textId="77777777" w:rsidR="00C01F33" w:rsidRDefault="00000000">
      <w:pPr>
        <w:spacing w:after="160" w:line="276" w:lineRule="auto"/>
      </w:pPr>
      <w:r>
        <w:rPr>
          <w:color w:val="2E75B6"/>
        </w:rPr>
        <w:t>https://github.com/kbr-ucl/DMU-2-Semester-Programmering/blob/main/Noter/Clean-Architecture.md</w:t>
      </w:r>
    </w:p>
    <w:tbl>
      <w:tblPr>
        <w:tblW w:w="9026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tblBorders>
        <w:tblLook w:val="04A0" w:firstRow="1" w:lastRow="0" w:firstColumn="1" w:lastColumn="0" w:noHBand="0" w:noVBand="1"/>
      </w:tblPr>
      <w:tblGrid>
        <w:gridCol w:w="9026"/>
      </w:tblGrid>
      <w:tr w:rsidR="00C01F33" w14:paraId="7EE2F7C6" w14:textId="77777777">
        <w:tc>
          <w:tcPr>
            <w:tcW w:w="9026" w:type="dxa"/>
            <w:shd w:val="clear" w:color="auto" w:fill="EBF5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1AE161" w14:textId="77777777" w:rsidR="00C01F33" w:rsidRDefault="00000000">
            <w:r>
              <w:rPr>
                <w:b/>
                <w:bCs/>
              </w:rPr>
              <w:t>Krav til internt design</w:t>
            </w:r>
          </w:p>
          <w:p w14:paraId="5F454132" w14:textId="77777777" w:rsidR="00C01F3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Minimum én service (f.eks. </w:t>
            </w:r>
            <w:proofErr w:type="spellStart"/>
            <w:r>
              <w:rPr>
                <w:sz w:val="20"/>
                <w:szCs w:val="20"/>
              </w:rPr>
              <w:t>Ordering</w:t>
            </w:r>
            <w:proofErr w:type="spellEnd"/>
            <w:r>
              <w:rPr>
                <w:sz w:val="20"/>
                <w:szCs w:val="20"/>
              </w:rPr>
              <w:t xml:space="preserve"> eller Inventory) skal være struktureret efter Clean Architecture med separate projekter for Domain, </w:t>
            </w:r>
            <w:proofErr w:type="spellStart"/>
            <w:r>
              <w:rPr>
                <w:sz w:val="20"/>
                <w:szCs w:val="20"/>
              </w:rPr>
              <w:t>UseCases</w:t>
            </w:r>
            <w:proofErr w:type="spellEnd"/>
            <w:r>
              <w:rPr>
                <w:sz w:val="20"/>
                <w:szCs w:val="20"/>
              </w:rPr>
              <w:t xml:space="preserve">, Facade,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 og Api. </w:t>
            </w:r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skal overholdes: Domain må ikke have referencer til andre projekter,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Cases må kun referere Domain, og Facade må ikke referere nogen andre lag. Api-projektet må kun referere Facade.</w:t>
            </w:r>
          </w:p>
        </w:tc>
      </w:tr>
    </w:tbl>
    <w:p w14:paraId="64485440" w14:textId="77777777" w:rsidR="00C01F33" w:rsidRDefault="00000000">
      <w:r>
        <w:br w:type="page"/>
      </w:r>
    </w:p>
    <w:sectPr w:rsidR="00C01F3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628E8" w14:textId="77777777" w:rsidR="00A308B1" w:rsidRDefault="00A308B1">
      <w:r>
        <w:separator/>
      </w:r>
    </w:p>
  </w:endnote>
  <w:endnote w:type="continuationSeparator" w:id="0">
    <w:p w14:paraId="13EDFF90" w14:textId="77777777" w:rsidR="00A308B1" w:rsidRDefault="00A30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C078" w14:textId="77777777" w:rsidR="00C01F33" w:rsidRDefault="00000000">
    <w:pPr>
      <w:jc w:val="center"/>
    </w:pPr>
    <w:r>
      <w:rPr>
        <w:color w:val="95A5A6"/>
        <w:sz w:val="18"/>
        <w:szCs w:val="18"/>
      </w:rPr>
      <w:t xml:space="preserve">Side </w:t>
    </w:r>
    <w:r>
      <w:rPr>
        <w:color w:val="95A5A6"/>
        <w:sz w:val="18"/>
        <w:szCs w:val="18"/>
      </w:rPr>
      <w:fldChar w:fldCharType="begin"/>
    </w:r>
    <w:r>
      <w:rPr>
        <w:color w:val="95A5A6"/>
        <w:sz w:val="18"/>
        <w:szCs w:val="18"/>
      </w:rPr>
      <w:instrText>PAGE</w:instrText>
    </w:r>
    <w:r>
      <w:rPr>
        <w:color w:val="95A5A6"/>
        <w:sz w:val="18"/>
        <w:szCs w:val="18"/>
      </w:rPr>
      <w:fldChar w:fldCharType="separate"/>
    </w:r>
    <w:r w:rsidR="00CC2EB9">
      <w:rPr>
        <w:noProof/>
        <w:color w:val="95A5A6"/>
        <w:sz w:val="18"/>
        <w:szCs w:val="18"/>
      </w:rPr>
      <w:t>1</w:t>
    </w:r>
    <w:r>
      <w:rPr>
        <w:color w:val="95A5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49B50" w14:textId="77777777" w:rsidR="00A308B1" w:rsidRDefault="00A308B1">
      <w:r>
        <w:separator/>
      </w:r>
    </w:p>
  </w:footnote>
  <w:footnote w:type="continuationSeparator" w:id="0">
    <w:p w14:paraId="4E4378D9" w14:textId="77777777" w:rsidR="00A308B1" w:rsidRDefault="00A30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FC54" w14:textId="77777777" w:rsidR="00C01F33" w:rsidRDefault="00000000">
    <w:pPr>
      <w:jc w:val="right"/>
    </w:pPr>
    <w:proofErr w:type="spellStart"/>
    <w:r>
      <w:rPr>
        <w:i/>
        <w:iCs/>
        <w:color w:val="95A5A6"/>
        <w:sz w:val="18"/>
        <w:szCs w:val="18"/>
      </w:rPr>
      <w:t>TicketHub</w:t>
    </w:r>
    <w:proofErr w:type="spellEnd"/>
    <w:r>
      <w:rPr>
        <w:i/>
        <w:iCs/>
        <w:color w:val="95A5A6"/>
        <w:sz w:val="18"/>
        <w:szCs w:val="18"/>
      </w:rPr>
      <w:t xml:space="preserve"> – Miniprojekt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E91"/>
    <w:multiLevelType w:val="hybridMultilevel"/>
    <w:tmpl w:val="434AF5F2"/>
    <w:lvl w:ilvl="0" w:tplc="D3D0516C">
      <w:start w:val="1"/>
      <w:numFmt w:val="bullet"/>
      <w:lvlText w:val="•"/>
      <w:lvlJc w:val="left"/>
      <w:pPr>
        <w:ind w:left="1080" w:hanging="360"/>
      </w:pPr>
    </w:lvl>
    <w:lvl w:ilvl="1" w:tplc="07245E3A">
      <w:numFmt w:val="decimal"/>
      <w:lvlText w:val=""/>
      <w:lvlJc w:val="left"/>
    </w:lvl>
    <w:lvl w:ilvl="2" w:tplc="3196B760">
      <w:numFmt w:val="decimal"/>
      <w:lvlText w:val=""/>
      <w:lvlJc w:val="left"/>
    </w:lvl>
    <w:lvl w:ilvl="3" w:tplc="7988CF02">
      <w:numFmt w:val="decimal"/>
      <w:lvlText w:val=""/>
      <w:lvlJc w:val="left"/>
    </w:lvl>
    <w:lvl w:ilvl="4" w:tplc="2B1A0B4C">
      <w:numFmt w:val="decimal"/>
      <w:lvlText w:val=""/>
      <w:lvlJc w:val="left"/>
    </w:lvl>
    <w:lvl w:ilvl="5" w:tplc="AC52380A">
      <w:numFmt w:val="decimal"/>
      <w:lvlText w:val=""/>
      <w:lvlJc w:val="left"/>
    </w:lvl>
    <w:lvl w:ilvl="6" w:tplc="64EC0B66">
      <w:numFmt w:val="decimal"/>
      <w:lvlText w:val=""/>
      <w:lvlJc w:val="left"/>
    </w:lvl>
    <w:lvl w:ilvl="7" w:tplc="AAA868BA">
      <w:numFmt w:val="decimal"/>
      <w:lvlText w:val=""/>
      <w:lvlJc w:val="left"/>
    </w:lvl>
    <w:lvl w:ilvl="8" w:tplc="000ACB14">
      <w:numFmt w:val="decimal"/>
      <w:lvlText w:val=""/>
      <w:lvlJc w:val="left"/>
    </w:lvl>
  </w:abstractNum>
  <w:abstractNum w:abstractNumId="1" w15:restartNumberingAfterBreak="0">
    <w:nsid w:val="05DE3E3A"/>
    <w:multiLevelType w:val="hybridMultilevel"/>
    <w:tmpl w:val="DE9CBD80"/>
    <w:lvl w:ilvl="0" w:tplc="55064C6C">
      <w:start w:val="1"/>
      <w:numFmt w:val="bullet"/>
      <w:lvlText w:val="●"/>
      <w:lvlJc w:val="left"/>
      <w:pPr>
        <w:ind w:left="720" w:hanging="360"/>
      </w:pPr>
    </w:lvl>
    <w:lvl w:ilvl="1" w:tplc="2A4047BA">
      <w:start w:val="1"/>
      <w:numFmt w:val="bullet"/>
      <w:lvlText w:val="○"/>
      <w:lvlJc w:val="left"/>
      <w:pPr>
        <w:ind w:left="1440" w:hanging="360"/>
      </w:pPr>
    </w:lvl>
    <w:lvl w:ilvl="2" w:tplc="1E980E7C">
      <w:start w:val="1"/>
      <w:numFmt w:val="bullet"/>
      <w:lvlText w:val="■"/>
      <w:lvlJc w:val="left"/>
      <w:pPr>
        <w:ind w:left="2160" w:hanging="360"/>
      </w:pPr>
    </w:lvl>
    <w:lvl w:ilvl="3" w:tplc="133E79CA">
      <w:start w:val="1"/>
      <w:numFmt w:val="bullet"/>
      <w:lvlText w:val="●"/>
      <w:lvlJc w:val="left"/>
      <w:pPr>
        <w:ind w:left="2880" w:hanging="360"/>
      </w:pPr>
    </w:lvl>
    <w:lvl w:ilvl="4" w:tplc="C6926DA2">
      <w:start w:val="1"/>
      <w:numFmt w:val="bullet"/>
      <w:lvlText w:val="○"/>
      <w:lvlJc w:val="left"/>
      <w:pPr>
        <w:ind w:left="3600" w:hanging="360"/>
      </w:pPr>
    </w:lvl>
    <w:lvl w:ilvl="5" w:tplc="775EB5F8">
      <w:start w:val="1"/>
      <w:numFmt w:val="bullet"/>
      <w:lvlText w:val="■"/>
      <w:lvlJc w:val="left"/>
      <w:pPr>
        <w:ind w:left="4320" w:hanging="360"/>
      </w:pPr>
    </w:lvl>
    <w:lvl w:ilvl="6" w:tplc="9DF2F482">
      <w:start w:val="1"/>
      <w:numFmt w:val="bullet"/>
      <w:lvlText w:val="●"/>
      <w:lvlJc w:val="left"/>
      <w:pPr>
        <w:ind w:left="5040" w:hanging="360"/>
      </w:pPr>
    </w:lvl>
    <w:lvl w:ilvl="7" w:tplc="D1565FA8">
      <w:start w:val="1"/>
      <w:numFmt w:val="bullet"/>
      <w:lvlText w:val="●"/>
      <w:lvlJc w:val="left"/>
      <w:pPr>
        <w:ind w:left="5760" w:hanging="360"/>
      </w:pPr>
    </w:lvl>
    <w:lvl w:ilvl="8" w:tplc="29AAE2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906199"/>
    <w:multiLevelType w:val="hybridMultilevel"/>
    <w:tmpl w:val="E18C65A8"/>
    <w:lvl w:ilvl="0" w:tplc="762AC3B8">
      <w:start w:val="1"/>
      <w:numFmt w:val="decimal"/>
      <w:lvlText w:val="%1."/>
      <w:lvlJc w:val="left"/>
      <w:pPr>
        <w:ind w:left="720" w:hanging="360"/>
      </w:pPr>
    </w:lvl>
    <w:lvl w:ilvl="1" w:tplc="18140C04">
      <w:numFmt w:val="decimal"/>
      <w:lvlText w:val=""/>
      <w:lvlJc w:val="left"/>
    </w:lvl>
    <w:lvl w:ilvl="2" w:tplc="7B98014C">
      <w:numFmt w:val="decimal"/>
      <w:lvlText w:val=""/>
      <w:lvlJc w:val="left"/>
    </w:lvl>
    <w:lvl w:ilvl="3" w:tplc="13CE1D1A">
      <w:numFmt w:val="decimal"/>
      <w:lvlText w:val=""/>
      <w:lvlJc w:val="left"/>
    </w:lvl>
    <w:lvl w:ilvl="4" w:tplc="CBB09292">
      <w:numFmt w:val="decimal"/>
      <w:lvlText w:val=""/>
      <w:lvlJc w:val="left"/>
    </w:lvl>
    <w:lvl w:ilvl="5" w:tplc="85384094">
      <w:numFmt w:val="decimal"/>
      <w:lvlText w:val=""/>
      <w:lvlJc w:val="left"/>
    </w:lvl>
    <w:lvl w:ilvl="6" w:tplc="E2FA2884">
      <w:numFmt w:val="decimal"/>
      <w:lvlText w:val=""/>
      <w:lvlJc w:val="left"/>
    </w:lvl>
    <w:lvl w:ilvl="7" w:tplc="BBECE418">
      <w:numFmt w:val="decimal"/>
      <w:lvlText w:val=""/>
      <w:lvlJc w:val="left"/>
    </w:lvl>
    <w:lvl w:ilvl="8" w:tplc="FDE4D1FA">
      <w:numFmt w:val="decimal"/>
      <w:lvlText w:val=""/>
      <w:lvlJc w:val="left"/>
    </w:lvl>
  </w:abstractNum>
  <w:abstractNum w:abstractNumId="3" w15:restartNumberingAfterBreak="0">
    <w:nsid w:val="69455288"/>
    <w:multiLevelType w:val="hybridMultilevel"/>
    <w:tmpl w:val="D236210E"/>
    <w:lvl w:ilvl="0" w:tplc="5B24EDAA">
      <w:start w:val="1"/>
      <w:numFmt w:val="bullet"/>
      <w:lvlText w:val="•"/>
      <w:lvlJc w:val="left"/>
      <w:pPr>
        <w:ind w:left="720" w:hanging="360"/>
      </w:pPr>
    </w:lvl>
    <w:lvl w:ilvl="1" w:tplc="3EFA5426">
      <w:numFmt w:val="decimal"/>
      <w:lvlText w:val=""/>
      <w:lvlJc w:val="left"/>
    </w:lvl>
    <w:lvl w:ilvl="2" w:tplc="CF0ECCEE">
      <w:numFmt w:val="decimal"/>
      <w:lvlText w:val=""/>
      <w:lvlJc w:val="left"/>
    </w:lvl>
    <w:lvl w:ilvl="3" w:tplc="589CD744">
      <w:numFmt w:val="decimal"/>
      <w:lvlText w:val=""/>
      <w:lvlJc w:val="left"/>
    </w:lvl>
    <w:lvl w:ilvl="4" w:tplc="C92AE604">
      <w:numFmt w:val="decimal"/>
      <w:lvlText w:val=""/>
      <w:lvlJc w:val="left"/>
    </w:lvl>
    <w:lvl w:ilvl="5" w:tplc="D7E4DDAC">
      <w:numFmt w:val="decimal"/>
      <w:lvlText w:val=""/>
      <w:lvlJc w:val="left"/>
    </w:lvl>
    <w:lvl w:ilvl="6" w:tplc="A008BAF4">
      <w:numFmt w:val="decimal"/>
      <w:lvlText w:val=""/>
      <w:lvlJc w:val="left"/>
    </w:lvl>
    <w:lvl w:ilvl="7" w:tplc="B0542486">
      <w:numFmt w:val="decimal"/>
      <w:lvlText w:val=""/>
      <w:lvlJc w:val="left"/>
    </w:lvl>
    <w:lvl w:ilvl="8" w:tplc="999C8FA2">
      <w:numFmt w:val="decimal"/>
      <w:lvlText w:val=""/>
      <w:lvlJc w:val="left"/>
    </w:lvl>
  </w:abstractNum>
  <w:abstractNum w:abstractNumId="4" w15:restartNumberingAfterBreak="0">
    <w:nsid w:val="76574AA9"/>
    <w:multiLevelType w:val="hybridMultilevel"/>
    <w:tmpl w:val="11BE101A"/>
    <w:lvl w:ilvl="0" w:tplc="0D66591A">
      <w:start w:val="1"/>
      <w:numFmt w:val="decimal"/>
      <w:lvlText w:val="%1."/>
      <w:lvlJc w:val="left"/>
      <w:pPr>
        <w:ind w:left="720" w:hanging="360"/>
      </w:pPr>
    </w:lvl>
    <w:lvl w:ilvl="1" w:tplc="B45CABA4">
      <w:numFmt w:val="decimal"/>
      <w:lvlText w:val=""/>
      <w:lvlJc w:val="left"/>
    </w:lvl>
    <w:lvl w:ilvl="2" w:tplc="29FAC06C">
      <w:numFmt w:val="decimal"/>
      <w:lvlText w:val=""/>
      <w:lvlJc w:val="left"/>
    </w:lvl>
    <w:lvl w:ilvl="3" w:tplc="6E0E7D06">
      <w:numFmt w:val="decimal"/>
      <w:lvlText w:val=""/>
      <w:lvlJc w:val="left"/>
    </w:lvl>
    <w:lvl w:ilvl="4" w:tplc="C2107096">
      <w:numFmt w:val="decimal"/>
      <w:lvlText w:val=""/>
      <w:lvlJc w:val="left"/>
    </w:lvl>
    <w:lvl w:ilvl="5" w:tplc="B36830BA">
      <w:numFmt w:val="decimal"/>
      <w:lvlText w:val=""/>
      <w:lvlJc w:val="left"/>
    </w:lvl>
    <w:lvl w:ilvl="6" w:tplc="A84C05AE">
      <w:numFmt w:val="decimal"/>
      <w:lvlText w:val=""/>
      <w:lvlJc w:val="left"/>
    </w:lvl>
    <w:lvl w:ilvl="7" w:tplc="673CE592">
      <w:numFmt w:val="decimal"/>
      <w:lvlText w:val=""/>
      <w:lvlJc w:val="left"/>
    </w:lvl>
    <w:lvl w:ilvl="8" w:tplc="D7D49BBA">
      <w:numFmt w:val="decimal"/>
      <w:lvlText w:val=""/>
      <w:lvlJc w:val="left"/>
    </w:lvl>
  </w:abstractNum>
  <w:num w:numId="1" w16cid:durableId="287786516">
    <w:abstractNumId w:val="1"/>
    <w:lvlOverride w:ilvl="0">
      <w:startOverride w:val="1"/>
    </w:lvlOverride>
  </w:num>
  <w:num w:numId="2" w16cid:durableId="1921714935">
    <w:abstractNumId w:val="3"/>
    <w:lvlOverride w:ilvl="0">
      <w:startOverride w:val="1"/>
    </w:lvlOverride>
  </w:num>
  <w:num w:numId="3" w16cid:durableId="1117913966">
    <w:abstractNumId w:val="2"/>
    <w:lvlOverride w:ilvl="0">
      <w:startOverride w:val="1"/>
    </w:lvlOverride>
  </w:num>
  <w:num w:numId="4" w16cid:durableId="131964840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F33"/>
    <w:rsid w:val="002B4CB0"/>
    <w:rsid w:val="004C6111"/>
    <w:rsid w:val="005C22C0"/>
    <w:rsid w:val="008745A0"/>
    <w:rsid w:val="00943E2B"/>
    <w:rsid w:val="00A21581"/>
    <w:rsid w:val="00A308B1"/>
    <w:rsid w:val="00B7667B"/>
    <w:rsid w:val="00BF1097"/>
    <w:rsid w:val="00BF28DE"/>
    <w:rsid w:val="00BF6672"/>
    <w:rsid w:val="00C01F33"/>
    <w:rsid w:val="00C902D6"/>
    <w:rsid w:val="00CC2EB9"/>
    <w:rsid w:val="00D4451F"/>
    <w:rsid w:val="00E5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8EF11"/>
  <w15:docId w15:val="{C0A92F7E-263C-4464-B6ED-9DE936B5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link w:val="Overskrift1Tegn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Overskrift2">
    <w:name w:val="heading 2"/>
    <w:uiPriority w:val="9"/>
    <w:unhideWhenUsed/>
    <w:qFormat/>
    <w:pPr>
      <w:spacing w:before="280" w:after="160"/>
      <w:outlineLvl w:val="1"/>
    </w:pPr>
    <w:rPr>
      <w:b/>
      <w:bCs/>
      <w:color w:val="1A5276"/>
      <w:sz w:val="26"/>
      <w:szCs w:val="26"/>
    </w:rPr>
  </w:style>
  <w:style w:type="paragraph" w:styleId="Overskrift3">
    <w:name w:val="heading 3"/>
    <w:uiPriority w:val="9"/>
    <w:unhideWhenUsed/>
    <w:qFormat/>
    <w:pPr>
      <w:spacing w:before="200" w:after="120"/>
      <w:outlineLvl w:val="2"/>
    </w:pPr>
    <w:rPr>
      <w:b/>
      <w:bCs/>
      <w:color w:val="2C3E50"/>
      <w:sz w:val="23"/>
      <w:szCs w:val="23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C902D6"/>
    <w:rPr>
      <w:b/>
      <w:bCs/>
      <w:color w:val="1A527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647</Words>
  <Characters>4784</Characters>
  <Application>Microsoft Office Word</Application>
  <DocSecurity>0</DocSecurity>
  <Lines>82</Lines>
  <Paragraphs>30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Kaj Steen Bromose</cp:lastModifiedBy>
  <cp:revision>4</cp:revision>
  <dcterms:created xsi:type="dcterms:W3CDTF">2026-02-16T09:45:00Z</dcterms:created>
  <dcterms:modified xsi:type="dcterms:W3CDTF">2026-02-21T14:07:00Z</dcterms:modified>
</cp:coreProperties>
</file>