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D3FA" w14:textId="133B5EA4" w:rsidR="007C30EB" w:rsidRPr="007C30EB" w:rsidRDefault="007C30EB" w:rsidP="007C30EB">
      <w:pPr>
        <w:spacing w:after="300" w:line="315" w:lineRule="atLeast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bookmarkStart w:id="0" w:name="_Hlk75123616"/>
      <w:r w:rsidRPr="007C30EB">
        <w:rPr>
          <w:rFonts w:ascii="Arial" w:eastAsia="Times New Roman" w:hAnsi="Arial" w:cs="Arial"/>
          <w:b/>
          <w:bCs/>
          <w:sz w:val="32"/>
          <w:szCs w:val="32"/>
          <w:u w:val="single"/>
        </w:rPr>
        <w:t>Greenhouse Gas Cost of Beef Restaurant Menu Options</w:t>
      </w:r>
    </w:p>
    <w:p w14:paraId="442AD584" w14:textId="79CCD76A" w:rsidR="007C30EB" w:rsidRPr="007C30EB" w:rsidRDefault="007C30EB" w:rsidP="00D71AC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 w:rsidRPr="007C30EB">
        <w:rPr>
          <w:rFonts w:ascii="Arial" w:eastAsia="Times New Roman" w:hAnsi="Arial" w:cs="Arial"/>
          <w:b/>
          <w:bCs/>
          <w:sz w:val="21"/>
          <w:szCs w:val="21"/>
          <w:u w:val="single"/>
        </w:rPr>
        <w:t>INTRODUCTION/BUSINESS PROBLEM</w:t>
      </w:r>
    </w:p>
    <w:p w14:paraId="7B36D204" w14:textId="0A888E42" w:rsidR="00D71AC7" w:rsidRDefault="003543CE" w:rsidP="00D71AC7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Anyone who </w:t>
      </w:r>
      <w:r w:rsidR="007C30EB">
        <w:rPr>
          <w:rFonts w:ascii="Arial" w:eastAsia="Times New Roman" w:hAnsi="Arial" w:cs="Arial"/>
          <w:sz w:val="21"/>
          <w:szCs w:val="21"/>
        </w:rPr>
        <w:t>is committed</w:t>
      </w:r>
      <w:r w:rsidR="0006684D">
        <w:rPr>
          <w:rFonts w:ascii="Arial" w:eastAsia="Times New Roman" w:hAnsi="Arial" w:cs="Arial"/>
          <w:sz w:val="21"/>
          <w:szCs w:val="21"/>
        </w:rPr>
        <w:t xml:space="preserve"> to preserv</w:t>
      </w:r>
      <w:r w:rsidR="007C30EB">
        <w:rPr>
          <w:rFonts w:ascii="Arial" w:eastAsia="Times New Roman" w:hAnsi="Arial" w:cs="Arial"/>
          <w:sz w:val="21"/>
          <w:szCs w:val="21"/>
        </w:rPr>
        <w:t>ing</w:t>
      </w:r>
      <w:r w:rsidR="0006684D">
        <w:rPr>
          <w:rFonts w:ascii="Arial" w:eastAsia="Times New Roman" w:hAnsi="Arial" w:cs="Arial"/>
          <w:sz w:val="21"/>
          <w:szCs w:val="21"/>
        </w:rPr>
        <w:t xml:space="preserve"> the planet </w:t>
      </w:r>
      <w:r w:rsidR="007C30EB">
        <w:rPr>
          <w:rFonts w:ascii="Arial" w:eastAsia="Times New Roman" w:hAnsi="Arial" w:cs="Arial"/>
          <w:sz w:val="21"/>
          <w:szCs w:val="21"/>
        </w:rPr>
        <w:t>and/or</w:t>
      </w:r>
      <w:r>
        <w:rPr>
          <w:rFonts w:ascii="Arial" w:eastAsia="Times New Roman" w:hAnsi="Arial" w:cs="Arial"/>
          <w:sz w:val="21"/>
          <w:szCs w:val="21"/>
        </w:rPr>
        <w:t xml:space="preserve"> protect</w:t>
      </w:r>
      <w:r w:rsidR="007C30EB">
        <w:rPr>
          <w:rFonts w:ascii="Arial" w:eastAsia="Times New Roman" w:hAnsi="Arial" w:cs="Arial"/>
          <w:sz w:val="21"/>
          <w:szCs w:val="21"/>
        </w:rPr>
        <w:t>ing</w:t>
      </w:r>
      <w:r>
        <w:rPr>
          <w:rFonts w:ascii="Arial" w:eastAsia="Times New Roman" w:hAnsi="Arial" w:cs="Arial"/>
          <w:sz w:val="21"/>
          <w:szCs w:val="21"/>
        </w:rPr>
        <w:t xml:space="preserve"> the health of themselves and their loved ones should be motivated to expand their understanding of the complex network of causes driving the global climate crisis we face.  </w:t>
      </w:r>
      <w:r w:rsidR="00383958">
        <w:rPr>
          <w:rFonts w:ascii="Arial" w:eastAsia="Times New Roman" w:hAnsi="Arial" w:cs="Arial"/>
          <w:sz w:val="21"/>
          <w:szCs w:val="21"/>
        </w:rPr>
        <w:t xml:space="preserve">Only </w:t>
      </w:r>
      <w:r>
        <w:rPr>
          <w:rFonts w:ascii="Arial" w:eastAsia="Times New Roman" w:hAnsi="Arial" w:cs="Arial"/>
          <w:sz w:val="21"/>
          <w:szCs w:val="21"/>
        </w:rPr>
        <w:t xml:space="preserve">recently </w:t>
      </w:r>
      <w:r w:rsidR="00B97379">
        <w:rPr>
          <w:rFonts w:ascii="Arial" w:eastAsia="Times New Roman" w:hAnsi="Arial" w:cs="Arial"/>
          <w:sz w:val="21"/>
          <w:szCs w:val="21"/>
        </w:rPr>
        <w:t>di</w:t>
      </w:r>
      <w:r>
        <w:rPr>
          <w:rFonts w:ascii="Arial" w:eastAsia="Times New Roman" w:hAnsi="Arial" w:cs="Arial"/>
          <w:sz w:val="21"/>
          <w:szCs w:val="21"/>
        </w:rPr>
        <w:t xml:space="preserve">d I </w:t>
      </w:r>
      <w:r w:rsidR="00B97379">
        <w:rPr>
          <w:rFonts w:ascii="Arial" w:eastAsia="Times New Roman" w:hAnsi="Arial" w:cs="Arial"/>
          <w:sz w:val="21"/>
          <w:szCs w:val="21"/>
        </w:rPr>
        <w:t>become aware of</w:t>
      </w:r>
      <w:r>
        <w:rPr>
          <w:rFonts w:ascii="Arial" w:eastAsia="Times New Roman" w:hAnsi="Arial" w:cs="Arial"/>
          <w:sz w:val="21"/>
          <w:szCs w:val="21"/>
        </w:rPr>
        <w:t xml:space="preserve"> the</w:t>
      </w:r>
      <w:r w:rsidR="00383958">
        <w:rPr>
          <w:rFonts w:ascii="Arial" w:eastAsia="Times New Roman" w:hAnsi="Arial" w:cs="Arial"/>
          <w:sz w:val="21"/>
          <w:szCs w:val="21"/>
        </w:rPr>
        <w:t xml:space="preserve"> environmental impact of </w:t>
      </w:r>
      <w:r>
        <w:rPr>
          <w:rFonts w:ascii="Arial" w:eastAsia="Times New Roman" w:hAnsi="Arial" w:cs="Arial"/>
          <w:sz w:val="21"/>
          <w:szCs w:val="21"/>
        </w:rPr>
        <w:t>my food choices</w:t>
      </w:r>
      <w:r w:rsidR="00383958">
        <w:rPr>
          <w:rFonts w:ascii="Arial" w:eastAsia="Times New Roman" w:hAnsi="Arial" w:cs="Arial"/>
          <w:sz w:val="21"/>
          <w:szCs w:val="21"/>
        </w:rPr>
        <w:t xml:space="preserve">.  </w:t>
      </w:r>
      <w:r w:rsidR="00F571D1">
        <w:rPr>
          <w:rFonts w:ascii="Arial" w:eastAsia="Times New Roman" w:hAnsi="Arial" w:cs="Arial"/>
          <w:sz w:val="21"/>
          <w:szCs w:val="21"/>
        </w:rPr>
        <w:t>On its website, t</w:t>
      </w:r>
      <w:r w:rsidR="00383958">
        <w:rPr>
          <w:rFonts w:ascii="Arial" w:eastAsia="Times New Roman" w:hAnsi="Arial" w:cs="Arial"/>
          <w:sz w:val="21"/>
          <w:szCs w:val="21"/>
        </w:rPr>
        <w:t>he E</w:t>
      </w:r>
      <w:r w:rsidR="00F571D1">
        <w:rPr>
          <w:rFonts w:ascii="Arial" w:eastAsia="Times New Roman" w:hAnsi="Arial" w:cs="Arial"/>
          <w:sz w:val="21"/>
          <w:szCs w:val="21"/>
        </w:rPr>
        <w:t xml:space="preserve">PA (Environmental Protection Agency) defines GWP (Global Warming Potential) as a </w:t>
      </w:r>
      <w:r w:rsidR="007C30EB">
        <w:rPr>
          <w:rFonts w:ascii="Arial" w:eastAsia="Times New Roman" w:hAnsi="Arial" w:cs="Arial"/>
          <w:sz w:val="21"/>
          <w:szCs w:val="21"/>
        </w:rPr>
        <w:t>measure of gases</w:t>
      </w:r>
      <w:r w:rsidR="00F571D1">
        <w:rPr>
          <w:rFonts w:ascii="Arial" w:eastAsia="Times New Roman" w:hAnsi="Arial" w:cs="Arial"/>
          <w:sz w:val="21"/>
          <w:szCs w:val="21"/>
        </w:rPr>
        <w:t xml:space="preserve"> other than CO2 and how they warm the Earth.  </w:t>
      </w:r>
      <w:r w:rsidR="00383958">
        <w:rPr>
          <w:rFonts w:ascii="Arial" w:eastAsia="Times New Roman" w:hAnsi="Arial" w:cs="Arial"/>
          <w:sz w:val="21"/>
          <w:szCs w:val="21"/>
        </w:rPr>
        <w:t xml:space="preserve">The information below provides some facts about the GWP of methane (a </w:t>
      </w:r>
      <w:r w:rsidR="007C30EB">
        <w:rPr>
          <w:rFonts w:ascii="Arial" w:eastAsia="Times New Roman" w:hAnsi="Arial" w:cs="Arial"/>
          <w:sz w:val="21"/>
          <w:szCs w:val="21"/>
        </w:rPr>
        <w:t>gas generated</w:t>
      </w:r>
      <w:r w:rsidR="00383958">
        <w:rPr>
          <w:rFonts w:ascii="Arial" w:eastAsia="Times New Roman" w:hAnsi="Arial" w:cs="Arial"/>
          <w:sz w:val="21"/>
          <w:szCs w:val="21"/>
        </w:rPr>
        <w:t xml:space="preserve"> </w:t>
      </w:r>
      <w:r w:rsidR="007C30EB">
        <w:rPr>
          <w:rFonts w:ascii="Arial" w:eastAsia="Times New Roman" w:hAnsi="Arial" w:cs="Arial"/>
          <w:sz w:val="21"/>
          <w:szCs w:val="21"/>
        </w:rPr>
        <w:t>by</w:t>
      </w:r>
      <w:r w:rsidR="00383958">
        <w:rPr>
          <w:rFonts w:ascii="Arial" w:eastAsia="Times New Roman" w:hAnsi="Arial" w:cs="Arial"/>
          <w:sz w:val="21"/>
          <w:szCs w:val="21"/>
        </w:rPr>
        <w:t xml:space="preserve"> beef/pork </w:t>
      </w:r>
      <w:r w:rsidR="007C30EB">
        <w:rPr>
          <w:rFonts w:ascii="Arial" w:eastAsia="Times New Roman" w:hAnsi="Arial" w:cs="Arial"/>
          <w:sz w:val="21"/>
          <w:szCs w:val="21"/>
        </w:rPr>
        <w:t>production):</w:t>
      </w:r>
    </w:p>
    <w:p w14:paraId="36E1C8D6" w14:textId="77777777" w:rsidR="00F571D1" w:rsidRDefault="00383958" w:rsidP="00F571D1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383958">
        <w:rPr>
          <w:rFonts w:ascii="Arial" w:eastAsia="Times New Roman" w:hAnsi="Arial" w:cs="Arial"/>
          <w:sz w:val="21"/>
          <w:szCs w:val="21"/>
        </w:rPr>
        <w:drawing>
          <wp:inline distT="0" distB="0" distL="0" distR="0" wp14:anchorId="4C999670" wp14:editId="397AB926">
            <wp:extent cx="5943600" cy="1217295"/>
            <wp:effectExtent l="38100" t="38100" r="38100" b="40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  <a:ln w="22225" cmpd="dbl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0B0AF" w14:textId="0A863A9E" w:rsidR="00F571D1" w:rsidRPr="00553AE7" w:rsidRDefault="00F571D1" w:rsidP="00553AE7">
      <w:pPr>
        <w:spacing w:after="300" w:line="315" w:lineRule="atLeast"/>
        <w:ind w:firstLine="720"/>
        <w:rPr>
          <w:rFonts w:ascii="Arial" w:eastAsia="Times New Roman" w:hAnsi="Arial" w:cs="Arial"/>
          <w:sz w:val="20"/>
          <w:szCs w:val="20"/>
        </w:rPr>
      </w:pPr>
      <w:r w:rsidRPr="00553AE7">
        <w:rPr>
          <w:rFonts w:ascii="Arial" w:eastAsia="Times New Roman" w:hAnsi="Arial" w:cs="Arial"/>
          <w:sz w:val="20"/>
          <w:szCs w:val="20"/>
        </w:rPr>
        <w:t>l</w:t>
      </w:r>
      <w:r w:rsidRPr="00553AE7">
        <w:rPr>
          <w:rFonts w:ascii="Arial" w:eastAsia="Times New Roman" w:hAnsi="Arial" w:cs="Arial"/>
          <w:sz w:val="20"/>
          <w:szCs w:val="20"/>
        </w:rPr>
        <w:t xml:space="preserve">ink: </w:t>
      </w:r>
      <w:hyperlink r:id="rId6" w:history="1">
        <w:r w:rsidRPr="00553AE7">
          <w:rPr>
            <w:rStyle w:val="Hyperlink"/>
            <w:rFonts w:ascii="Arial" w:eastAsia="Times New Roman" w:hAnsi="Arial" w:cs="Arial"/>
            <w:sz w:val="20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https://www.epa.gov/ghgemissions/understanding-global-warming-potentials</w:t>
        </w:r>
      </w:hyperlink>
    </w:p>
    <w:p w14:paraId="46C77281" w14:textId="5BB7AC54" w:rsidR="00F571D1" w:rsidRDefault="00F571D1" w:rsidP="00F571D1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lastRenderedPageBreak/>
        <w:t xml:space="preserve">In this analysis, I will attempt to quantify the Greenhouse Gas Emissions cost of purchasing beef or pork products from a retail food establishment.  This should be of importance to a variety of stakeholders, including consumers, regulatory authorities, legislative officials, and businesses </w:t>
      </w:r>
      <w:r>
        <w:rPr>
          <w:rFonts w:ascii="Arial" w:eastAsia="Times New Roman" w:hAnsi="Arial" w:cs="Arial"/>
          <w:sz w:val="21"/>
          <w:szCs w:val="21"/>
        </w:rPr>
        <w:t xml:space="preserve">that are </w:t>
      </w:r>
      <w:r>
        <w:rPr>
          <w:rFonts w:ascii="Arial" w:eastAsia="Times New Roman" w:hAnsi="Arial" w:cs="Arial"/>
          <w:sz w:val="21"/>
          <w:szCs w:val="21"/>
        </w:rPr>
        <w:t xml:space="preserve">motivated to improve sustainability practices and reduce their contribution to our global warming crisis.  In addition to a review of the statistics relating to beef/pork consumption, my analysis will incorporate Foursquare location data to examine a location’s Greenhouse Gas Emissions Cost associated with beef consumption.  Ideally, this </w:t>
      </w:r>
      <w:r w:rsidR="00553AE7">
        <w:rPr>
          <w:rFonts w:ascii="Arial" w:eastAsia="Times New Roman" w:hAnsi="Arial" w:cs="Arial"/>
          <w:sz w:val="21"/>
          <w:szCs w:val="21"/>
        </w:rPr>
        <w:t>w</w:t>
      </w:r>
      <w:r>
        <w:rPr>
          <w:rFonts w:ascii="Arial" w:eastAsia="Times New Roman" w:hAnsi="Arial" w:cs="Arial"/>
          <w:sz w:val="21"/>
          <w:szCs w:val="21"/>
        </w:rPr>
        <w:t xml:space="preserve">ould be material information considered </w:t>
      </w:r>
      <w:r w:rsidR="00553AE7">
        <w:rPr>
          <w:rFonts w:ascii="Arial" w:eastAsia="Times New Roman" w:hAnsi="Arial" w:cs="Arial"/>
          <w:sz w:val="21"/>
          <w:szCs w:val="21"/>
        </w:rPr>
        <w:t>as part of</w:t>
      </w:r>
      <w:r>
        <w:rPr>
          <w:rFonts w:ascii="Arial" w:eastAsia="Times New Roman" w:hAnsi="Arial" w:cs="Arial"/>
          <w:sz w:val="21"/>
          <w:szCs w:val="21"/>
        </w:rPr>
        <w:t xml:space="preserve"> the approval process associated with opening new businesses</w:t>
      </w:r>
      <w:r w:rsidR="00553AE7">
        <w:rPr>
          <w:rFonts w:ascii="Arial" w:eastAsia="Times New Roman" w:hAnsi="Arial" w:cs="Arial"/>
          <w:sz w:val="21"/>
          <w:szCs w:val="21"/>
        </w:rPr>
        <w:t>.  It should also</w:t>
      </w:r>
      <w:r>
        <w:rPr>
          <w:rFonts w:ascii="Arial" w:eastAsia="Times New Roman" w:hAnsi="Arial" w:cs="Arial"/>
          <w:sz w:val="21"/>
          <w:szCs w:val="21"/>
        </w:rPr>
        <w:t xml:space="preserve"> have an impact on ordinances/regulations governing existing restaurants.</w:t>
      </w:r>
    </w:p>
    <w:p w14:paraId="3584E848" w14:textId="77777777" w:rsidR="007C30EB" w:rsidRDefault="007C30EB" w:rsidP="007C30EB">
      <w:pPr>
        <w:spacing w:after="300" w:line="315" w:lineRule="atLeast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308F3377" w14:textId="77777777" w:rsidR="007C30EB" w:rsidRDefault="007C30EB" w:rsidP="007C30EB">
      <w:pPr>
        <w:spacing w:after="300" w:line="315" w:lineRule="atLeast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69C39C85" w14:textId="77777777" w:rsidR="007C30EB" w:rsidRDefault="007C30EB" w:rsidP="007C30EB">
      <w:pPr>
        <w:spacing w:after="300" w:line="315" w:lineRule="atLeast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2DEE2E57" w14:textId="77777777" w:rsidR="007C30EB" w:rsidRDefault="007C30EB" w:rsidP="007C30EB">
      <w:pPr>
        <w:spacing w:after="300" w:line="315" w:lineRule="atLeast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01A604D4" w14:textId="77777777" w:rsidR="007C30EB" w:rsidRDefault="007C30EB" w:rsidP="007C30EB">
      <w:pPr>
        <w:spacing w:after="300" w:line="315" w:lineRule="atLeast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3EE7C954" w14:textId="257481D8" w:rsidR="007C30EB" w:rsidRPr="007C30EB" w:rsidRDefault="007C30EB" w:rsidP="007C30EB">
      <w:pPr>
        <w:spacing w:after="300" w:line="315" w:lineRule="atLeast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7C30EB">
        <w:rPr>
          <w:rFonts w:ascii="Arial" w:eastAsia="Times New Roman" w:hAnsi="Arial" w:cs="Arial"/>
          <w:b/>
          <w:bCs/>
          <w:sz w:val="32"/>
          <w:szCs w:val="32"/>
          <w:u w:val="single"/>
        </w:rPr>
        <w:t>Greenhouse Gas Cost of Beef Restaurant Menu Options</w:t>
      </w:r>
    </w:p>
    <w:p w14:paraId="4C28B08B" w14:textId="49EF13FD" w:rsidR="007C30EB" w:rsidRDefault="007C30EB" w:rsidP="00144714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bCs/>
          <w:sz w:val="21"/>
          <w:szCs w:val="21"/>
          <w:u w:val="single"/>
        </w:rPr>
        <w:t>DATA</w:t>
      </w:r>
    </w:p>
    <w:p w14:paraId="63BD1AE4" w14:textId="7947A242" w:rsidR="00BB4607" w:rsidRPr="007C30EB" w:rsidRDefault="00C335AD" w:rsidP="00144714">
      <w:pPr>
        <w:spacing w:after="300" w:line="315" w:lineRule="atLeast"/>
        <w:rPr>
          <w:rStyle w:val="Hyperlink"/>
          <w:rFonts w:ascii="Arial" w:eastAsia="Times New Roman" w:hAnsi="Arial" w:cs="Arial"/>
          <w:b/>
          <w:bCs/>
          <w:color w:val="auto"/>
          <w:sz w:val="21"/>
          <w:szCs w:val="21"/>
        </w:rPr>
      </w:pPr>
      <w:r w:rsidRPr="00553AE7">
        <w:rPr>
          <w:rFonts w:ascii="Arial" w:eastAsia="Times New Roman" w:hAnsi="Arial" w:cs="Arial"/>
          <w:sz w:val="21"/>
          <w:szCs w:val="21"/>
        </w:rPr>
        <w:t xml:space="preserve">The most popular sandwich at a leading </w:t>
      </w:r>
      <w:proofErr w:type="gramStart"/>
      <w:r w:rsidRPr="00553AE7">
        <w:rPr>
          <w:rFonts w:ascii="Arial" w:eastAsia="Times New Roman" w:hAnsi="Arial" w:cs="Arial"/>
          <w:sz w:val="21"/>
          <w:szCs w:val="21"/>
        </w:rPr>
        <w:t>fast food</w:t>
      </w:r>
      <w:proofErr w:type="gramEnd"/>
      <w:r w:rsidRPr="00553AE7">
        <w:rPr>
          <w:rFonts w:ascii="Arial" w:eastAsia="Times New Roman" w:hAnsi="Arial" w:cs="Arial"/>
          <w:sz w:val="21"/>
          <w:szCs w:val="21"/>
        </w:rPr>
        <w:t xml:space="preserve"> restaurant contains 211g (7.4 oz) of beef.</w:t>
      </w:r>
      <w:r w:rsidR="00FA386B" w:rsidRPr="00553AE7">
        <w:rPr>
          <w:rFonts w:ascii="Arial" w:eastAsia="Times New Roman" w:hAnsi="Arial" w:cs="Arial"/>
          <w:sz w:val="21"/>
          <w:szCs w:val="21"/>
        </w:rPr>
        <w:t xml:space="preserve">  Consumers </w:t>
      </w:r>
      <w:r w:rsidR="00553AE7">
        <w:rPr>
          <w:rFonts w:ascii="Arial" w:eastAsia="Times New Roman" w:hAnsi="Arial" w:cs="Arial"/>
          <w:sz w:val="21"/>
          <w:szCs w:val="21"/>
        </w:rPr>
        <w:t>of</w:t>
      </w:r>
      <w:r w:rsidR="00FA386B" w:rsidRPr="00553AE7">
        <w:rPr>
          <w:rFonts w:ascii="Arial" w:eastAsia="Times New Roman" w:hAnsi="Arial" w:cs="Arial"/>
          <w:sz w:val="21"/>
          <w:szCs w:val="21"/>
        </w:rPr>
        <w:t xml:space="preserve"> this sandwich may not know that they are also purchasing a Greenhouse Gas Emissions unit </w:t>
      </w:r>
      <w:r w:rsidR="00BB5381">
        <w:rPr>
          <w:rFonts w:ascii="Arial" w:eastAsia="Times New Roman" w:hAnsi="Arial" w:cs="Arial"/>
          <w:sz w:val="21"/>
          <w:szCs w:val="21"/>
        </w:rPr>
        <w:t>equal to</w:t>
      </w:r>
      <w:r w:rsidR="00553AE7">
        <w:rPr>
          <w:rFonts w:ascii="Arial" w:eastAsia="Times New Roman" w:hAnsi="Arial" w:cs="Arial"/>
          <w:sz w:val="21"/>
          <w:szCs w:val="21"/>
        </w:rPr>
        <w:t xml:space="preserve"> driving a car almost 9.81 miles (7.40 pounds of CO2-equivalent emissions from producing half a pound of beef – link: </w:t>
      </w:r>
      <w:hyperlink r:id="rId7" w:history="1">
        <w:r w:rsidR="00553AE7">
          <w:rPr>
            <w:rStyle w:val="Hyperlink"/>
          </w:rPr>
          <w:t>How Meat Contributes to Global Warming - Scientific American</w:t>
        </w:r>
      </w:hyperlink>
      <w:r w:rsidR="00553AE7">
        <w:rPr>
          <w:rFonts w:ascii="Arial" w:eastAsia="Times New Roman" w:hAnsi="Arial" w:cs="Arial"/>
          <w:sz w:val="21"/>
          <w:szCs w:val="21"/>
        </w:rPr>
        <w:t>).</w:t>
      </w:r>
      <w:r w:rsidR="00BB5381">
        <w:rPr>
          <w:rFonts w:ascii="Arial" w:eastAsia="Times New Roman" w:hAnsi="Arial" w:cs="Arial"/>
          <w:sz w:val="21"/>
          <w:szCs w:val="21"/>
        </w:rPr>
        <w:t xml:space="preserve">  An informative publication by the NRDC tells us that beef “contributes more climate-warming pollution than any other food in the American diet.” (</w:t>
      </w:r>
      <w:proofErr w:type="gramStart"/>
      <w:r w:rsidR="00BB5381">
        <w:rPr>
          <w:rFonts w:ascii="Arial" w:eastAsia="Times New Roman" w:hAnsi="Arial" w:cs="Arial"/>
          <w:sz w:val="21"/>
          <w:szCs w:val="21"/>
        </w:rPr>
        <w:t>link</w:t>
      </w:r>
      <w:proofErr w:type="gramEnd"/>
      <w:r w:rsidR="00BB5381">
        <w:rPr>
          <w:rFonts w:ascii="Arial" w:eastAsia="Times New Roman" w:hAnsi="Arial" w:cs="Arial"/>
          <w:sz w:val="21"/>
          <w:szCs w:val="21"/>
        </w:rPr>
        <w:t xml:space="preserve">: </w:t>
      </w:r>
      <w:hyperlink r:id="rId8" w:history="1">
        <w:r w:rsidR="00BB4607" w:rsidRPr="00272ED5">
          <w:rPr>
            <w:rStyle w:val="Hyperlink"/>
          </w:rPr>
          <w:t>ht</w:t>
        </w:r>
        <w:r w:rsidR="00BB4607" w:rsidRPr="00272ED5">
          <w:rPr>
            <w:rStyle w:val="Hyperlink"/>
          </w:rPr>
          <w:t>tps://www.nrdc.org/sites/default/files/less-beef-less-carbon-ip.pdf</w:t>
        </w:r>
      </w:hyperlink>
    </w:p>
    <w:p w14:paraId="0A067B8D" w14:textId="20DB3546" w:rsidR="00BB4607" w:rsidRPr="00BB4607" w:rsidRDefault="00BB4607" w:rsidP="00BB4607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r>
        <w:rPr>
          <w:rFonts w:ascii="Arial" w:eastAsia="Times New Roman" w:hAnsi="Arial" w:cs="Arial"/>
          <w:sz w:val="21"/>
          <w:szCs w:val="21"/>
        </w:rPr>
        <w:t xml:space="preserve">Restaurant menu data sources will include Foursquare and other published datasets (including </w:t>
      </w:r>
      <w:hyperlink r:id="rId9" w:history="1">
        <w:r w:rsidRPr="00BB4607">
          <w:rPr>
            <w:rFonts w:ascii="Calibri" w:eastAsia="Times New Roman" w:hAnsi="Calibri" w:cs="Calibri"/>
            <w:color w:val="0563C1"/>
            <w:u w:val="single"/>
          </w:rPr>
          <w:t>Nutrition Facts for McDonald's Menu | Kaggle</w:t>
        </w:r>
      </w:hyperlink>
      <w:r>
        <w:rPr>
          <w:rFonts w:ascii="Calibri" w:eastAsia="Times New Roman" w:hAnsi="Calibri" w:cs="Calibri"/>
          <w:color w:val="0563C1"/>
          <w:u w:val="single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 xml:space="preserve">).  After gathering this data, I plan to utilize </w:t>
      </w:r>
      <w:r w:rsidR="00BB5381">
        <w:rPr>
          <w:rFonts w:ascii="Arial" w:eastAsia="Times New Roman" w:hAnsi="Arial" w:cs="Arial"/>
          <w:sz w:val="21"/>
          <w:szCs w:val="21"/>
        </w:rPr>
        <w:t>t</w:t>
      </w:r>
      <w:commentRangeStart w:id="1"/>
      <w:r w:rsidR="00BB5381">
        <w:rPr>
          <w:rFonts w:ascii="Arial" w:eastAsia="Times New Roman" w:hAnsi="Arial" w:cs="Arial"/>
          <w:sz w:val="21"/>
          <w:szCs w:val="21"/>
        </w:rPr>
        <w:t>he</w:t>
      </w:r>
      <w:commentRangeEnd w:id="1"/>
      <w:r w:rsidR="00BB5381">
        <w:rPr>
          <w:rStyle w:val="CommentReference"/>
        </w:rPr>
        <w:commentReference w:id="1"/>
      </w:r>
      <w:r w:rsidR="00BB5381">
        <w:rPr>
          <w:rFonts w:ascii="Arial" w:eastAsia="Times New Roman" w:hAnsi="Arial" w:cs="Arial"/>
          <w:sz w:val="21"/>
          <w:szCs w:val="21"/>
        </w:rPr>
        <w:t xml:space="preserve"> EPA’s Greenhouse Gas Equivalencies Calculator </w:t>
      </w:r>
      <w:r>
        <w:rPr>
          <w:rFonts w:ascii="Arial" w:eastAsia="Times New Roman" w:hAnsi="Arial" w:cs="Arial"/>
          <w:sz w:val="21"/>
          <w:szCs w:val="21"/>
        </w:rPr>
        <w:t>(</w:t>
      </w:r>
      <w:r w:rsidR="00BB5381">
        <w:rPr>
          <w:rFonts w:ascii="Arial" w:eastAsia="Times New Roman" w:hAnsi="Arial" w:cs="Arial"/>
          <w:sz w:val="21"/>
          <w:szCs w:val="21"/>
        </w:rPr>
        <w:t xml:space="preserve">link:  </w:t>
      </w:r>
      <w:hyperlink r:id="rId14" w:history="1">
        <w:r w:rsidRPr="00272ED5">
          <w:rPr>
            <w:rStyle w:val="Hyperlink"/>
          </w:rPr>
          <w:t>https://www.epa.gov/energy/greenhouse-gas-equivalencies-calculator</w:t>
        </w:r>
      </w:hyperlink>
      <w:r w:rsidRPr="00BB4607">
        <w:rPr>
          <w:rFonts w:ascii="Arial" w:eastAsia="Times New Roman" w:hAnsi="Arial" w:cs="Arial"/>
          <w:sz w:val="21"/>
          <w:szCs w:val="21"/>
        </w:rPr>
        <w:t>)</w:t>
      </w:r>
      <w:r>
        <w:rPr>
          <w:rFonts w:ascii="Arial" w:eastAsia="Times New Roman" w:hAnsi="Arial" w:cs="Arial"/>
          <w:sz w:val="21"/>
          <w:szCs w:val="21"/>
        </w:rPr>
        <w:t xml:space="preserve"> to measure the Greenhouse Gas Cost of each menu.  From this, I will be able to use Foursquare location dat</w:t>
      </w:r>
      <w:r w:rsidR="00530538">
        <w:rPr>
          <w:rFonts w:ascii="Arial" w:eastAsia="Times New Roman" w:hAnsi="Arial" w:cs="Arial"/>
          <w:sz w:val="21"/>
          <w:szCs w:val="21"/>
        </w:rPr>
        <w:t>a</w:t>
      </w:r>
      <w:r>
        <w:rPr>
          <w:rFonts w:ascii="Arial" w:eastAsia="Times New Roman" w:hAnsi="Arial" w:cs="Arial"/>
          <w:sz w:val="21"/>
          <w:szCs w:val="21"/>
        </w:rPr>
        <w:t xml:space="preserve"> to provide a visual representation of </w:t>
      </w:r>
      <w:r w:rsidR="007C30EB">
        <w:rPr>
          <w:rFonts w:ascii="Arial" w:eastAsia="Times New Roman" w:hAnsi="Arial" w:cs="Arial"/>
          <w:sz w:val="21"/>
          <w:szCs w:val="21"/>
        </w:rPr>
        <w:t>the Greenhouse Gas Costs of a</w:t>
      </w:r>
      <w:r>
        <w:rPr>
          <w:rFonts w:ascii="Arial" w:eastAsia="Times New Roman" w:hAnsi="Arial" w:cs="Arial"/>
          <w:sz w:val="21"/>
          <w:szCs w:val="21"/>
        </w:rPr>
        <w:t xml:space="preserve"> location’s </w:t>
      </w:r>
      <w:r w:rsidR="00530538">
        <w:rPr>
          <w:rFonts w:ascii="Arial" w:eastAsia="Times New Roman" w:hAnsi="Arial" w:cs="Arial"/>
          <w:sz w:val="21"/>
          <w:szCs w:val="21"/>
        </w:rPr>
        <w:t>retail food establishment</w:t>
      </w:r>
      <w:r w:rsidR="007C30EB">
        <w:rPr>
          <w:rFonts w:ascii="Arial" w:eastAsia="Times New Roman" w:hAnsi="Arial" w:cs="Arial"/>
          <w:sz w:val="21"/>
          <w:szCs w:val="21"/>
        </w:rPr>
        <w:t>s.</w:t>
      </w:r>
    </w:p>
    <w:bookmarkEnd w:id="0"/>
    <w:p w14:paraId="0600C78A" w14:textId="77777777" w:rsidR="007C30EB" w:rsidRDefault="007C30EB" w:rsidP="0014471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7C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therine Brazeau" w:date="2021-06-20T22:30:00Z" w:initials="KB">
    <w:p w14:paraId="0F02B49C" w14:textId="75D78D59" w:rsidR="00BB5381" w:rsidRDefault="00BB538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02B49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3FF2" w16cex:dateUtc="2021-06-21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02B49C" w16cid:durableId="247A3F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erine Brazeau">
    <w15:presenceInfo w15:providerId="Windows Live" w15:userId="53c1eb3c9015f5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14"/>
    <w:rsid w:val="0006684D"/>
    <w:rsid w:val="00085E69"/>
    <w:rsid w:val="00144714"/>
    <w:rsid w:val="001F0F37"/>
    <w:rsid w:val="003543CE"/>
    <w:rsid w:val="00383958"/>
    <w:rsid w:val="004217E4"/>
    <w:rsid w:val="00530538"/>
    <w:rsid w:val="00553AE7"/>
    <w:rsid w:val="007C30EB"/>
    <w:rsid w:val="00980C06"/>
    <w:rsid w:val="00B97379"/>
    <w:rsid w:val="00BB4607"/>
    <w:rsid w:val="00BB5381"/>
    <w:rsid w:val="00C335AD"/>
    <w:rsid w:val="00D71AC7"/>
    <w:rsid w:val="00F571D1"/>
    <w:rsid w:val="00F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E3F4"/>
  <w15:chartTrackingRefBased/>
  <w15:docId w15:val="{544A0717-303D-449A-9088-2AC77A49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714"/>
    <w:rPr>
      <w:b/>
      <w:bCs/>
    </w:rPr>
  </w:style>
  <w:style w:type="character" w:styleId="Hyperlink">
    <w:name w:val="Hyperlink"/>
    <w:basedOn w:val="DefaultParagraphFont"/>
    <w:uiPriority w:val="99"/>
    <w:unhideWhenUsed/>
    <w:rsid w:val="004217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B5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8065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4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4319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dc.org/sites/default/files/less-beef-less-carbon-ip.pdf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www.scientificamerican.com/slideshow/the-greenhouse-hamburger/" TargetMode="Externa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epa.gov/ghgemissions/understanding-global-warming-potentials" TargetMode="Externa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cdonalds/nutrition-facts" TargetMode="External"/><Relationship Id="rId14" Type="http://schemas.openxmlformats.org/officeDocument/2006/relationships/hyperlink" Target="https://www.epa.gov/energy/greenhouse-gas-equivalencies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8489F-2930-4CB6-9F30-9047213D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Brazeau</dc:creator>
  <cp:keywords/>
  <dc:description/>
  <cp:lastModifiedBy>Katherine Brazeau</cp:lastModifiedBy>
  <cp:revision>2</cp:revision>
  <dcterms:created xsi:type="dcterms:W3CDTF">2021-06-21T03:29:00Z</dcterms:created>
  <dcterms:modified xsi:type="dcterms:W3CDTF">2021-06-21T03:29:00Z</dcterms:modified>
</cp:coreProperties>
</file>