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40" w:after="240"/>
      </w:pPr>
      <w:r>
        <w:rPr>
          <w:b w:val="false"/>
          <w:bCs w:val="false"/>
          <w:i w:val="false"/>
          <w:iCs w:val="false"/>
          <w:strike w:val="false"/>
        </w:rPr>
        <w:t xml:space="preserve">Note – Projet Sapin 2</w:t>
      </w:r>
    </w:p>
    <w:p>
      <w:pPr>
        <w:pStyle w:val="Heading3"/>
        <w:spacing w:before="240" w:after="240"/>
      </w:pPr>
      <w:r>
        <w:rPr>
          <w:b w:val="false"/>
          <w:bCs w:val="false"/>
          <w:i w:val="false"/>
          <w:iCs w:val="false"/>
          <w:strike w:val="false"/>
        </w:rPr>
        <w:t xml:space="preserve">Fondation OVE – Gouvernance des risques et cohérence de l’écosystème</w:t>
      </w:r>
    </w:p>
    <w:p>
      <w:pPr>
        <w:pBdr>
          <w:bottom w:val="single" w:color="auto" w:sz="2" w:space="0"/>
        </w:pBdr>
        <w:spacing w:before="0" w:after="0"/>
      </w:pPr>
    </w:p>
    <w:p>
      <w:pPr>
        <w:pStyle w:val="Heading2"/>
        <w:spacing w:before="240" w:after="240"/>
      </w:pPr>
      <w:r>
        <w:rPr>
          <w:b w:val="false"/>
          <w:bCs w:val="false"/>
          <w:i w:val="false"/>
          <w:iCs w:val="false"/>
          <w:strike w:val="false"/>
        </w:rPr>
        <w:t xml:space="preserve">1. Un enjeu de gouvernance propre à l’écosystème OVE</w:t>
      </w:r>
    </w:p>
    <w:p>
      <w:pPr>
        <w:spacing w:before="240" w:after="240"/>
      </w:pPr>
      <w:r>
        <w:rPr>
          <w:b w:val="false"/>
          <w:bCs w:val="false"/>
          <w:i w:val="false"/>
          <w:iCs w:val="false"/>
          <w:strike w:val="false"/>
        </w:rPr>
        <w:t xml:space="preserve">La Fondation OVE fonctionne au centre d’un ensemble très intégré : fonds de dotation IMOVE, SCI, associations du réseau OVE. Les liens sont forts :  </w:t>
      </w:r>
    </w:p>
    <w:p>
      <w:pPr>
        <w:pStyle w:val="ListParagraph"/>
        <w:numPr>
          <w:ilvl w:val="1"/>
          <w:numId w:val="1"/>
        </w:numPr>
        <w:ind w:left="360" w:hanging="360"/>
      </w:pPr>
      <w:r>
        <w:rPr>
          <w:b w:val="false"/>
          <w:bCs w:val="false"/>
          <w:i w:val="false"/>
          <w:iCs w:val="false"/>
          <w:strike w:val="false"/>
        </w:rPr>
        <w:t xml:space="preserve">nombreux flux financiers internes (apports en compte courant, avances, prestations, mises à disposition) entre la Fondation, IMOVE, les SCI et les associations ;  </w:t>
      </w:r>
    </w:p>
    <w:p>
      <w:pPr>
        <w:pStyle w:val="ListParagraph"/>
        <w:numPr>
          <w:ilvl w:val="1"/>
          <w:numId w:val="1"/>
        </w:numPr>
        <w:ind w:left="360" w:hanging="360"/>
      </w:pPr>
      <w:r>
        <w:rPr>
          <w:b w:val="false"/>
          <w:bCs w:val="false"/>
          <w:i w:val="false"/>
          <w:iCs w:val="false"/>
          <w:strike w:val="false"/>
        </w:rPr>
        <w:t xml:space="preserve">interventions des services du siège (juridique, immobilier, fonctions support) au profit des associations qui n’ont pas ces expertises ;  </w:t>
      </w:r>
    </w:p>
    <w:p>
      <w:pPr>
        <w:pStyle w:val="ListParagraph"/>
        <w:numPr>
          <w:ilvl w:val="1"/>
          <w:numId w:val="1"/>
        </w:numPr>
        <w:ind w:left="360" w:hanging="360"/>
      </w:pPr>
      <w:r>
        <w:rPr>
          <w:b w:val="false"/>
          <w:bCs w:val="false"/>
          <w:i w:val="false"/>
          <w:iCs w:val="false"/>
          <w:strike w:val="false"/>
        </w:rPr>
        <w:t xml:space="preserve">concentration des mandats : le Directeur général est aussi gérant de toutes les SCI, administrateur du fonds de dotation et président du directoire de toutes les associations du réseau ; certains membres du bureau sont présidents d’associations partenaires et de conseils de surveillance.</w:t>
      </w:r>
    </w:p>
    <w:p>
      <w:pPr>
        <w:spacing w:before="240" w:after="240"/>
      </w:pPr>
      <w:r>
        <w:rPr>
          <w:b w:val="false"/>
          <w:bCs w:val="false"/>
          <w:i w:val="false"/>
          <w:iCs w:val="false"/>
          <w:strike w:val="false"/>
        </w:rPr>
        <w:t xml:space="preserve">Dans ce contexte, le sujet principal pour le bureau n’est pas de rediscuter l’applicabilité de l’article 17 (traitée dans la vidéo), mais de décider :  </w:t>
      </w:r>
    </w:p>
    <w:p>
      <w:pPr>
        <w:spacing w:before="240" w:after="240"/>
      </w:pPr>
      <w:r>
        <w:rPr>
          <w:b w:val="false"/>
          <w:bCs w:val="false"/>
          <w:i/>
          <w:iCs/>
          <w:color w:val="666666"/>
          <w:strike w:val="false"/>
        </w:rPr>
        <w:t xml:space="preserve">Quel niveau d’exigence voulons‑nous en matière de probité, de gestion des conflits d’intérêts et de sécurisation des flux internes, compte tenu de cette configuration ?  </w:t>
      </w:r>
    </w:p>
    <w:p>
      <w:pPr>
        <w:pBdr>
          <w:bottom w:val="single" w:color="auto" w:sz="2" w:space="0"/>
        </w:pBdr>
        <w:spacing w:before="0" w:after="0"/>
      </w:pPr>
    </w:p>
    <w:p>
      <w:pPr>
        <w:pStyle w:val="Heading2"/>
        <w:spacing w:before="240" w:after="240"/>
      </w:pPr>
      <w:r>
        <w:rPr>
          <w:b w:val="false"/>
          <w:bCs w:val="false"/>
          <w:i w:val="false"/>
          <w:iCs w:val="false"/>
          <w:strike w:val="false"/>
        </w:rPr>
        <w:t xml:space="preserve">2. Orientation stratégique : une démarche volontaire “inspirée Sapin 2”</w:t>
      </w:r>
    </w:p>
    <w:p>
      <w:pPr>
        <w:spacing w:before="240" w:after="240"/>
      </w:pPr>
      <w:r>
        <w:rPr>
          <w:b w:val="false"/>
          <w:bCs w:val="false"/>
          <w:i w:val="false"/>
          <w:iCs w:val="false"/>
          <w:strike w:val="false"/>
        </w:rPr>
        <w:t xml:space="preserve">L’idée est d’adopter, par choix, une démarche structurée de probité, inspirée des standards Sapin 2 mais adaptée à un groupe fondation / associations / SCI / fonds de dotation. Elle repose sur quatre chantiers :  </w:t>
      </w:r>
    </w:p>
    <w:p>
      <w:pPr>
        <w:pStyle w:val="ListParagraph"/>
        <w:numPr>
          <w:ilvl w:val="1"/>
          <w:numId w:val="1"/>
        </w:numPr>
        <w:ind w:left="360" w:hanging="360"/>
      </w:pPr>
      <w:r>
        <w:rPr>
          <w:b/>
          <w:bCs/>
          <w:i w:val="false"/>
          <w:iCs w:val="false"/>
          <w:strike w:val="false"/>
        </w:rPr>
        <w:t xml:space="preserve">Cartographier les risques là où ils se situent vraiment</w:t>
      </w:r>
      <w:r>
        <w:rPr>
          <w:b w:val="false"/>
          <w:bCs w:val="false"/>
          <w:i w:val="false"/>
          <w:iCs w:val="false"/>
          <w:strike w:val="false"/>
        </w:rPr>
        <w:t xml:space="preserve">  </w:t>
      </w:r>
    </w:p>
    <w:p>
      <w:pPr>
        <w:pStyle w:val="ListParagraph"/>
        <w:numPr>
          <w:ilvl w:val="2"/>
          <w:numId w:val="1"/>
        </w:numPr>
        <w:ind w:left="720" w:hanging="360"/>
      </w:pPr>
      <w:r>
        <w:rPr>
          <w:b w:val="false"/>
          <w:bCs w:val="false"/>
          <w:i w:val="false"/>
          <w:iCs w:val="false"/>
          <w:strike w:val="false"/>
        </w:rPr>
        <w:t xml:space="preserve">flux financiers intra‑groupe (prêts, avances, prestations, mises à disposition) ;  </w:t>
      </w:r>
    </w:p>
    <w:p>
      <w:pPr>
        <w:pStyle w:val="ListParagraph"/>
        <w:numPr>
          <w:ilvl w:val="2"/>
          <w:numId w:val="1"/>
        </w:numPr>
        <w:ind w:left="720" w:hanging="360"/>
      </w:pPr>
      <w:r>
        <w:rPr>
          <w:b w:val="false"/>
          <w:bCs w:val="false"/>
          <w:i w:val="false"/>
          <w:iCs w:val="false"/>
          <w:strike w:val="false"/>
        </w:rPr>
        <w:t xml:space="preserve">opérations immobilières et décisions impliquant les SCI ;  </w:t>
      </w:r>
    </w:p>
    <w:p>
      <w:pPr>
        <w:pStyle w:val="ListParagraph"/>
        <w:numPr>
          <w:ilvl w:val="2"/>
          <w:numId w:val="1"/>
        </w:numPr>
        <w:ind w:left="720" w:hanging="360"/>
      </w:pPr>
      <w:r>
        <w:rPr>
          <w:b w:val="false"/>
          <w:bCs w:val="false"/>
          <w:i w:val="false"/>
          <w:iCs w:val="false"/>
          <w:strike w:val="false"/>
        </w:rPr>
        <w:t xml:space="preserve">achats et marchés sensibles ;  </w:t>
      </w:r>
    </w:p>
    <w:p>
      <w:pPr>
        <w:pStyle w:val="ListParagraph"/>
        <w:numPr>
          <w:ilvl w:val="2"/>
          <w:numId w:val="1"/>
        </w:numPr>
        <w:ind w:left="720" w:hanging="360"/>
      </w:pPr>
      <w:r>
        <w:rPr>
          <w:b w:val="false"/>
          <w:bCs w:val="false"/>
          <w:i w:val="false"/>
          <w:iCs w:val="false"/>
          <w:strike w:val="false"/>
        </w:rPr>
        <w:t xml:space="preserve">décisions de gouvernance où les mêmes personnes interviennent “des deux côtés” (directoires, conseils de surveillance, bureau).</w:t>
      </w:r>
    </w:p>
    <w:p>
      <w:pPr>
        <w:pStyle w:val="ListParagraph"/>
        <w:numPr>
          <w:ilvl w:val="1"/>
          <w:numId w:val="1"/>
        </w:numPr>
        <w:ind w:left="360" w:hanging="360"/>
      </w:pPr>
      <w:r>
        <w:rPr>
          <w:b/>
          <w:bCs/>
          <w:i w:val="false"/>
          <w:iCs w:val="false"/>
          <w:strike w:val="false"/>
        </w:rPr>
        <w:t xml:space="preserve">Adopter un code commun “probité et conflits d’intérêts” pour tout le réseau</w:t>
      </w:r>
      <w:r>
        <w:rPr>
          <w:b w:val="false"/>
          <w:bCs w:val="false"/>
          <w:i w:val="false"/>
          <w:iCs w:val="false"/>
          <w:strike w:val="false"/>
        </w:rPr>
        <w:t xml:space="preserve">  </w:t>
      </w:r>
    </w:p>
    <w:p>
      <w:pPr>
        <w:pStyle w:val="ListParagraph"/>
        <w:numPr>
          <w:ilvl w:val="2"/>
          <w:numId w:val="1"/>
        </w:numPr>
        <w:ind w:left="720" w:hanging="360"/>
      </w:pPr>
      <w:r>
        <w:rPr>
          <w:b w:val="false"/>
          <w:bCs w:val="false"/>
          <w:i w:val="false"/>
          <w:iCs w:val="false"/>
          <w:strike w:val="false"/>
        </w:rPr>
        <w:t xml:space="preserve">règles de déclaration des intérêts et de gestion des conflits (abstention, traçabilité des décisions) ;  </w:t>
      </w:r>
    </w:p>
    <w:p>
      <w:pPr>
        <w:pStyle w:val="ListParagraph"/>
        <w:numPr>
          <w:ilvl w:val="2"/>
          <w:numId w:val="1"/>
        </w:numPr>
        <w:ind w:left="720" w:hanging="360"/>
      </w:pPr>
      <w:r>
        <w:rPr>
          <w:b w:val="false"/>
          <w:bCs w:val="false"/>
          <w:i w:val="false"/>
          <w:iCs w:val="false"/>
          <w:strike w:val="false"/>
        </w:rPr>
        <w:t xml:space="preserve">principes communs pour les flux internes (conditions financières, transparence, validation par un organe non intéressé) ;  </w:t>
      </w:r>
    </w:p>
    <w:p>
      <w:pPr>
        <w:pStyle w:val="ListParagraph"/>
        <w:numPr>
          <w:ilvl w:val="2"/>
          <w:numId w:val="1"/>
        </w:numPr>
        <w:ind w:left="720" w:hanging="360"/>
      </w:pPr>
      <w:r>
        <w:rPr>
          <w:b w:val="false"/>
          <w:bCs w:val="false"/>
          <w:i w:val="false"/>
          <w:iCs w:val="false"/>
          <w:strike w:val="false"/>
        </w:rPr>
        <w:t xml:space="preserve">exigence de comportement partagée entre les dirigeants de la Fondation, d’IMOVE, des SCI et des associations.</w:t>
      </w:r>
    </w:p>
    <w:p>
      <w:pPr>
        <w:pStyle w:val="ListParagraph"/>
        <w:numPr>
          <w:ilvl w:val="1"/>
          <w:numId w:val="1"/>
        </w:numPr>
        <w:ind w:left="360" w:hanging="360"/>
      </w:pPr>
      <w:r>
        <w:rPr>
          <w:b/>
          <w:bCs/>
          <w:i w:val="false"/>
          <w:iCs w:val="false"/>
          <w:strike w:val="false"/>
        </w:rPr>
        <w:t xml:space="preserve">Mettre de l’ordre juridique dans les flux entre entités</w:t>
      </w:r>
      <w:r>
        <w:rPr>
          <w:b w:val="false"/>
          <w:bCs w:val="false"/>
          <w:i w:val="false"/>
          <w:iCs w:val="false"/>
          <w:strike w:val="false"/>
        </w:rPr>
        <w:t xml:space="preserve">  </w:t>
      </w:r>
    </w:p>
    <w:p>
      <w:pPr>
        <w:pStyle w:val="ListParagraph"/>
        <w:numPr>
          <w:ilvl w:val="2"/>
          <w:numId w:val="1"/>
        </w:numPr>
        <w:ind w:left="720" w:hanging="360"/>
      </w:pPr>
      <w:r>
        <w:rPr>
          <w:b w:val="false"/>
          <w:bCs w:val="false"/>
          <w:i w:val="false"/>
          <w:iCs w:val="false"/>
          <w:strike w:val="false"/>
        </w:rPr>
        <w:t xml:space="preserve">recensement complet des flux financiers et prestations ;  </w:t>
      </w:r>
    </w:p>
    <w:p>
      <w:pPr>
        <w:pStyle w:val="ListParagraph"/>
        <w:numPr>
          <w:ilvl w:val="2"/>
          <w:numId w:val="1"/>
        </w:numPr>
        <w:ind w:left="720" w:hanging="360"/>
      </w:pPr>
      <w:r>
        <w:rPr>
          <w:b w:val="false"/>
          <w:bCs w:val="false"/>
          <w:i w:val="false"/>
          <w:iCs w:val="false"/>
          <w:strike w:val="false"/>
        </w:rPr>
        <w:t xml:space="preserve">conventions écrites systématiques précisant objet, conditions financières, responsabilités ;  </w:t>
      </w:r>
    </w:p>
    <w:p>
      <w:pPr>
        <w:pStyle w:val="ListParagraph"/>
        <w:numPr>
          <w:ilvl w:val="2"/>
          <w:numId w:val="1"/>
        </w:numPr>
        <w:ind w:left="720" w:hanging="360"/>
      </w:pPr>
      <w:r>
        <w:rPr>
          <w:b w:val="false"/>
          <w:bCs w:val="false"/>
          <w:i w:val="false"/>
          <w:iCs w:val="false"/>
          <w:strike w:val="false"/>
        </w:rPr>
        <w:t xml:space="preserve">procédures de validation excluant du vote les personnes directement intéressées, avec mention explicite des abstentions.</w:t>
      </w:r>
    </w:p>
    <w:p>
      <w:pPr>
        <w:pStyle w:val="ListParagraph"/>
        <w:numPr>
          <w:ilvl w:val="1"/>
          <w:numId w:val="1"/>
        </w:numPr>
        <w:ind w:left="360" w:hanging="360"/>
      </w:pPr>
      <w:r>
        <w:rPr>
          <w:b/>
          <w:bCs/>
          <w:i w:val="false"/>
          <w:iCs w:val="false"/>
          <w:strike w:val="false"/>
        </w:rPr>
        <w:t xml:space="preserve">Créer une gouvernance de la probité à l’échelle de l’écosystème</w:t>
      </w:r>
      <w:r>
        <w:rPr>
          <w:b w:val="false"/>
          <w:bCs w:val="false"/>
          <w:i w:val="false"/>
          <w:iCs w:val="false"/>
          <w:strike w:val="false"/>
        </w:rPr>
        <w:t xml:space="preserve">  </w:t>
      </w:r>
    </w:p>
    <w:p>
      <w:pPr>
        <w:pStyle w:val="ListParagraph"/>
        <w:numPr>
          <w:ilvl w:val="2"/>
          <w:numId w:val="1"/>
        </w:numPr>
        <w:ind w:left="720" w:hanging="360"/>
      </w:pPr>
      <w:r>
        <w:rPr>
          <w:b w:val="false"/>
          <w:bCs w:val="false"/>
          <w:i w:val="false"/>
          <w:iCs w:val="false"/>
          <w:strike w:val="false"/>
        </w:rPr>
        <w:t xml:space="preserve">désignation d’un référent probité / compliance rattaché à la direction générale (cartographie, modèles de conventions, animation du dispositif d’alerte, reporting au bureau) ;  </w:t>
      </w:r>
    </w:p>
    <w:p>
      <w:pPr>
        <w:pStyle w:val="ListParagraph"/>
        <w:numPr>
          <w:ilvl w:val="2"/>
          <w:numId w:val="1"/>
        </w:numPr>
        <w:ind w:left="720" w:hanging="360"/>
      </w:pPr>
      <w:r>
        <w:rPr>
          <w:b w:val="false"/>
          <w:bCs w:val="false"/>
          <w:i w:val="false"/>
          <w:iCs w:val="false"/>
          <w:strike w:val="false"/>
        </w:rPr>
        <w:t xml:space="preserve">mise en place d’un registre des mandats et fonctions (Fondation, IMOVE, SCI, associations du réseau) pour objectiver les cumuls ;  </w:t>
      </w:r>
    </w:p>
    <w:p>
      <w:pPr>
        <w:pStyle w:val="ListParagraph"/>
        <w:numPr>
          <w:ilvl w:val="2"/>
          <w:numId w:val="1"/>
        </w:numPr>
        <w:ind w:left="720" w:hanging="360"/>
      </w:pPr>
      <w:r>
        <w:rPr>
          <w:b w:val="false"/>
          <w:bCs w:val="false"/>
          <w:i w:val="false"/>
          <w:iCs w:val="false"/>
          <w:strike w:val="false"/>
        </w:rPr>
        <w:t xml:space="preserve">déclinaison de ce cadre par chartes et conventions dans l’ensemble des entités du réseau.</w:t>
      </w:r>
    </w:p>
    <w:p>
      <w:pPr>
        <w:pBdr>
          <w:bottom w:val="single" w:color="auto" w:sz="2" w:space="0"/>
        </w:pBdr>
        <w:spacing w:before="0" w:after="0"/>
      </w:pPr>
    </w:p>
    <w:p>
      <w:pPr>
        <w:pStyle w:val="Heading2"/>
        <w:spacing w:before="240" w:after="240"/>
      </w:pPr>
      <w:r>
        <w:rPr>
          <w:b w:val="false"/>
          <w:bCs w:val="false"/>
          <w:i w:val="false"/>
          <w:iCs w:val="false"/>
          <w:strike w:val="false"/>
        </w:rPr>
        <w:t xml:space="preserve">Conclusion</w:t>
      </w:r>
    </w:p>
    <w:p>
      <w:pPr>
        <w:spacing w:before="240" w:after="240"/>
      </w:pPr>
      <w:r>
        <w:rPr>
          <w:b w:val="false"/>
          <w:bCs w:val="false"/>
          <w:i w:val="false"/>
          <w:iCs w:val="false"/>
          <w:strike w:val="false"/>
        </w:rPr>
        <w:t xml:space="preserve">Les éléments de gouvernance, de flux financiers intra‑groupe et de cumuls de fonctions identifiés justifient pleinement que la Fondation OVE adopte une démarche volontaire, structurée et graduée de prévention des atteintes à la probité, inspirée de la logique de la loi Sapin 2 mais adaptée à son statut de fondation reconnue d’utilité publique et à la réalité de son écosystème (fonds de dotation, SCI, associations partenaires).  </w:t>
      </w:r>
    </w:p>
    <w:p>
      <w:pPr>
        <w:spacing w:before="240" w:after="240"/>
      </w:pPr>
      <w:r>
        <w:rPr>
          <w:b w:val="false"/>
          <w:bCs w:val="false"/>
          <w:i w:val="false"/>
          <w:iCs w:val="false"/>
          <w:strike w:val="false"/>
        </w:rPr>
        <w:t xml:space="preserve">Les orientations proposées au bureau – sécurisation juridique des flux, encadrement des conflits d’intérêts, mise en place d’un référent probité/compliance, élaboration de conventions et chartes communes au niveau de l’écosystème – constituent un cadre de décision politique et stratégique.  </w:t>
      </w:r>
    </w:p>
    <w:p>
      <w:pPr>
        <w:spacing w:before="240" w:after="240"/>
      </w:pPr>
      <w:r>
        <w:rPr>
          <w:b w:val="false"/>
          <w:bCs w:val="false"/>
          <w:i w:val="false"/>
          <w:iCs w:val="false"/>
          <w:strike w:val="false"/>
        </w:rPr>
        <w:t xml:space="preserve">Ces orientations permettront ensuite de décliner, de façon opérationnelle, un plan de mise en œuvre gradué (calendrier, priorités, moyens) qui sera présenté en fin d’année au bureau puis soumis, pour validation, au bureau et au conseil d’administration, afin d’inscrire durablement la Fondation OVE dans une démarche de probité et de conformité à la hauteur de ses enjeux et de sa responsabilité.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rPr>
      <w:color w:val="2E74B5"/>
      <w:sz w:val="36"/>
      <w:szCs w:val="3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8"/>
      <w:szCs w:val="28"/>
    </w:rPr>
  </w:style>
  <w:style w:type="paragraph" w:styleId="heading3">
    <w:name w:val="Heading 3"/>
    <w:basedOn w:val="Normal"/>
    <w:next w:val="Normal"/>
    <w:qFormat/>
    <w:rPr>
      <w:color w:val="2E74B5"/>
      <w:sz w:val="26"/>
      <w:szCs w:val="26"/>
    </w:rPr>
  </w:style>
  <w:style w:type="paragraph" w:styleId="heading4">
    <w:name w:val="Heading 4"/>
    <w:basedOn w:val="Normal"/>
    <w:next w:val="Normal"/>
    <w:qFormat/>
    <w:rPr>
      <w:color w:val="2E74B5"/>
      <w:sz w:val="24"/>
      <w:szCs w:val="24"/>
    </w:rPr>
  </w:style>
  <w:style w:type="paragraph" w:styleId="heading5">
    <w:name w:val="Heading 5"/>
    <w:basedOn w:val="Normal"/>
    <w:next w:val="Normal"/>
    <w:qFormat/>
    <w:rPr>
      <w:color w:val="2E74B5"/>
      <w:sz w:val="22"/>
      <w:szCs w:val="22"/>
    </w:rPr>
  </w:style>
  <w:style w:type="paragraph" w:styleId="heading6">
    <w:name w:val="Heading 6"/>
    <w:basedOn w:val="Normal"/>
    <w:next w:val="Normal"/>
    <w:qFormat/>
    <w:rPr>
      <w:color w:val="2E74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2026-10-04T18:31:49.740Z</dcterms:created>
  <dcterms:modified xsi:type="dcterms:W3CDTF">2026-10-04T18:31:49.740Z</dcterms:modified>
</cp:coreProperties>
</file>

<file path=docProps/custom.xml><?xml version="1.0" encoding="utf-8"?>
<Properties xmlns="http://schemas.openxmlformats.org/officeDocument/2006/custom-properties" xmlns:vt="http://schemas.openxmlformats.org/officeDocument/2006/docPropsVTypes"/>
</file>