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D1EB9A" w14:textId="77777777" w:rsidR="00E96FA3" w:rsidRPr="00DC4E78" w:rsidRDefault="00E96FA3"/>
    <w:p w14:paraId="5E484092" w14:textId="77777777" w:rsidR="00E96FA3" w:rsidRPr="00DC4E78" w:rsidRDefault="00E96FA3"/>
    <w:p w14:paraId="14E201C6" w14:textId="77777777" w:rsidR="00E96FA3" w:rsidRPr="00DC4E78" w:rsidRDefault="00E96FA3"/>
    <w:p w14:paraId="3D6ACF83" w14:textId="77777777" w:rsidR="00E96FA3" w:rsidRPr="00DC4E78" w:rsidRDefault="00E96FA3"/>
    <w:p w14:paraId="45A7B27A" w14:textId="77777777" w:rsidR="00E96FA3" w:rsidRPr="00DC4E78" w:rsidRDefault="00000000">
      <w:pPr>
        <w:jc w:val="center"/>
      </w:pPr>
      <w:r w:rsidRPr="00DC4E78">
        <w:rPr>
          <w:rFonts w:eastAsia="Times New Roman"/>
          <w:b/>
        </w:rPr>
        <w:t>Deployment Strategy Report for Email Triage AI Model</w:t>
      </w:r>
    </w:p>
    <w:p w14:paraId="4D76BCA6" w14:textId="77777777" w:rsidR="00E96FA3" w:rsidRPr="00DC4E78" w:rsidRDefault="00000000">
      <w:pPr>
        <w:jc w:val="center"/>
      </w:pPr>
      <w:r w:rsidRPr="00DC4E78">
        <w:rPr>
          <w:rFonts w:eastAsia="Times New Roman"/>
        </w:rPr>
        <w:t>Keith G. Broussard</w:t>
      </w:r>
    </w:p>
    <w:p w14:paraId="5F300D56" w14:textId="77777777" w:rsidR="00E96FA3" w:rsidRPr="00DC4E78" w:rsidRDefault="00000000">
      <w:pPr>
        <w:jc w:val="center"/>
      </w:pPr>
      <w:r w:rsidRPr="00DC4E78">
        <w:rPr>
          <w:rFonts w:eastAsia="Times New Roman"/>
        </w:rPr>
        <w:t>University of the Cumberlands</w:t>
      </w:r>
    </w:p>
    <w:p w14:paraId="517C7EB2" w14:textId="77777777" w:rsidR="00E96FA3" w:rsidRPr="00DC4E78" w:rsidRDefault="00000000">
      <w:pPr>
        <w:jc w:val="center"/>
      </w:pPr>
      <w:r w:rsidRPr="00DC4E78">
        <w:rPr>
          <w:rFonts w:eastAsia="Times New Roman"/>
        </w:rPr>
        <w:t>MSAI-699-B01: Capstone</w:t>
      </w:r>
    </w:p>
    <w:p w14:paraId="3015666E" w14:textId="77777777" w:rsidR="00E96FA3" w:rsidRPr="00DC4E78" w:rsidRDefault="00000000">
      <w:pPr>
        <w:jc w:val="center"/>
      </w:pPr>
      <w:r w:rsidRPr="00DC4E78">
        <w:rPr>
          <w:rFonts w:eastAsia="Times New Roman"/>
        </w:rPr>
        <w:t>Dr. Gamini Bulumulle</w:t>
      </w:r>
    </w:p>
    <w:p w14:paraId="400755CA" w14:textId="77777777" w:rsidR="00E96FA3" w:rsidRPr="00DC4E78" w:rsidRDefault="00000000">
      <w:pPr>
        <w:jc w:val="center"/>
      </w:pPr>
      <w:r w:rsidRPr="00DC4E78">
        <w:rPr>
          <w:rFonts w:eastAsia="Times New Roman"/>
        </w:rPr>
        <w:t>August 2, 2026</w:t>
      </w:r>
    </w:p>
    <w:p w14:paraId="7472F953" w14:textId="77777777" w:rsidR="00E96FA3" w:rsidRPr="00DC4E78" w:rsidRDefault="00000000">
      <w:pPr>
        <w:pStyle w:val="Heading1"/>
        <w:pageBreakBefore/>
        <w:spacing w:before="0"/>
        <w:jc w:val="center"/>
      </w:pPr>
      <w:r w:rsidRPr="00DC4E78">
        <w:rPr>
          <w:rFonts w:ascii="Times New Roman" w:eastAsia="Times New Roman" w:hAnsi="Times New Roman"/>
        </w:rPr>
        <w:lastRenderedPageBreak/>
        <w:t>Deployment Strategy Report for Email Triage AI Model</w:t>
      </w:r>
    </w:p>
    <w:p w14:paraId="79D3E846" w14:textId="77777777" w:rsidR="00E96FA3" w:rsidRPr="00DC4E78" w:rsidRDefault="00000000">
      <w:pPr>
        <w:pStyle w:val="Heading1"/>
        <w:spacing w:before="0"/>
        <w:jc w:val="center"/>
      </w:pPr>
      <w:r w:rsidRPr="00DC4E78">
        <w:rPr>
          <w:rFonts w:ascii="Times New Roman" w:eastAsia="Times New Roman" w:hAnsi="Times New Roman"/>
        </w:rPr>
        <w:t>Current Architecture and Deployment Recommendation</w:t>
      </w:r>
    </w:p>
    <w:p w14:paraId="5182C0B0" w14:textId="77777777" w:rsidR="00E96FA3" w:rsidRPr="00DC4E78" w:rsidRDefault="00000000">
      <w:pPr>
        <w:ind w:firstLine="720"/>
      </w:pPr>
      <w:r w:rsidRPr="00DC4E78">
        <w:rPr>
          <w:rFonts w:eastAsia="Times New Roman"/>
        </w:rPr>
        <w:t>The project is a scikit-learn binary urgency classifier that combines email subject and body text, creates sparse TF-IDF features, and applies class-balanced logistic regression. The retained Week 4 candidate uses C = 0.1, unigrams, min_df = 2, and sublinear term frequency, producing 2,895 features. It was developed from 199 reviewed Enron messages, only 30 of which were urgent. Mean five-fold cross-validation urgent F1 was 11.4%, while the preliminary holdout retained four urgent false negatives. These results support refinement, not automated email handling (Broussard, 2026). The repository also lacks a serialized serving artifact, API, and deployment benchmarks.</w:t>
      </w:r>
    </w:p>
    <w:p w14:paraId="2026F223" w14:textId="77777777" w:rsidR="00E96FA3" w:rsidRPr="00DC4E78" w:rsidRDefault="00000000">
      <w:pPr>
        <w:ind w:firstLine="720"/>
      </w:pPr>
      <w:r w:rsidRPr="00DC4E78">
        <w:rPr>
          <w:rFonts w:eastAsia="Times New Roman"/>
        </w:rPr>
        <w:t>Cloud deployment would centralize versions, monitoring, and elastic scaling, but it would transmit sensitive email content and require provider, identity, cost, and compliance controls. Edge deployment would run on a trusted workstation or managed internal host near the email source. It limits data movement and suits sparse linear inference, although updates, capacity, and monitoring become local responsibilities. Course materials emphasize defining performance, compute, data, and serving constraints before testing assumptions in real use (Huyen, n.d.; G. Bulumulle, personal communication, July 31, 2026).</w:t>
      </w:r>
    </w:p>
    <w:p w14:paraId="1123E629" w14:textId="7338B8CE" w:rsidR="00E96FA3" w:rsidRPr="00DC4E78" w:rsidRDefault="00000000">
      <w:pPr>
        <w:ind w:firstLine="720"/>
      </w:pPr>
      <w:r w:rsidRPr="00DC4E78">
        <w:rPr>
          <w:rFonts w:eastAsia="Times New Roman"/>
        </w:rPr>
        <w:t xml:space="preserve">I recommend an edge-first, CPU-based shadow pilot. This is a proposal, not a verified deployment. The vectorizer-classifier pipeline should be persisted from a trusted build, packaged with pinned dependencies, and loaded on a controlled host. The architecture does not justify a GPU. Predictions would appear only in </w:t>
      </w:r>
      <w:r w:rsidR="00263341">
        <w:rPr>
          <w:rFonts w:eastAsia="Times New Roman"/>
        </w:rPr>
        <w:t>the</w:t>
      </w:r>
      <w:r w:rsidRPr="00DC4E78">
        <w:rPr>
          <w:rFonts w:eastAsia="Times New Roman"/>
        </w:rPr>
        <w:t xml:space="preserve"> review queue; the service would not move, delete, flag, or </w:t>
      </w:r>
      <w:r w:rsidR="00263341">
        <w:rPr>
          <w:rFonts w:eastAsia="Times New Roman"/>
        </w:rPr>
        <w:t>respond to</w:t>
      </w:r>
      <w:r w:rsidRPr="00DC4E78">
        <w:rPr>
          <w:rFonts w:eastAsia="Times New Roman"/>
        </w:rPr>
        <w:t xml:space="preserve"> email</w:t>
      </w:r>
      <w:r w:rsidR="00DC4E78">
        <w:rPr>
          <w:rFonts w:eastAsia="Times New Roman"/>
        </w:rPr>
        <w:t>s</w:t>
      </w:r>
      <w:r w:rsidRPr="00DC4E78">
        <w:rPr>
          <w:rFonts w:eastAsia="Times New Roman"/>
        </w:rPr>
        <w:t>. The assigned video also recommends stable endpoints, monitoring, and shadow evaluation before users depend on a model (Dutrée, 2023).</w:t>
      </w:r>
    </w:p>
    <w:p w14:paraId="29416446" w14:textId="77777777" w:rsidR="00E96FA3" w:rsidRPr="00DC4E78" w:rsidRDefault="00000000">
      <w:pPr>
        <w:pStyle w:val="Heading1"/>
        <w:pageBreakBefore/>
        <w:spacing w:before="0"/>
        <w:jc w:val="center"/>
      </w:pPr>
      <w:r w:rsidRPr="00DC4E78">
        <w:rPr>
          <w:rFonts w:ascii="Times New Roman" w:eastAsia="Times New Roman" w:hAnsi="Times New Roman"/>
        </w:rPr>
        <w:t>FastAPI Integration, Scalability, and Efficiency</w:t>
      </w:r>
    </w:p>
    <w:p w14:paraId="4CB09FCE" w14:textId="02F98BE5" w:rsidR="00E96FA3" w:rsidRPr="00DC4E78" w:rsidRDefault="00000000">
      <w:pPr>
        <w:ind w:firstLine="720"/>
      </w:pPr>
      <w:r w:rsidRPr="00DC4E78">
        <w:rPr>
          <w:rFonts w:eastAsia="Times New Roman"/>
        </w:rPr>
        <w:t xml:space="preserve">External FastAPI documentation supports this choice: FastAPI fits the Python project, validates typed request bodies, and generates an OpenAPI contract (FastAPI, n.d.). A versioned POST /v1/triage endpoint would accept subject and body strings with length limits. It would return the predicted label, </w:t>
      </w:r>
      <w:r w:rsidR="00DC4E78">
        <w:rPr>
          <w:rFonts w:eastAsia="Times New Roman"/>
        </w:rPr>
        <w:t xml:space="preserve">the </w:t>
      </w:r>
      <w:r w:rsidRPr="00DC4E78">
        <w:rPr>
          <w:rFonts w:eastAsia="Times New Roman"/>
        </w:rPr>
        <w:t xml:space="preserve">urgent probability, a needs_human_review flag, </w:t>
      </w:r>
      <w:r w:rsidR="00DC4E78">
        <w:rPr>
          <w:rFonts w:eastAsia="Times New Roman"/>
        </w:rPr>
        <w:t xml:space="preserve">the </w:t>
      </w:r>
      <w:r w:rsidRPr="00DC4E78">
        <w:rPr>
          <w:rFonts w:eastAsia="Times New Roman"/>
        </w:rPr>
        <w:t xml:space="preserve">model version, and </w:t>
      </w:r>
      <w:r w:rsidR="00DC4E78">
        <w:rPr>
          <w:rFonts w:eastAsia="Times New Roman"/>
        </w:rPr>
        <w:t xml:space="preserve">the </w:t>
      </w:r>
      <w:r w:rsidRPr="00DC4E78">
        <w:rPr>
          <w:rFonts w:eastAsia="Times New Roman"/>
        </w:rPr>
        <w:t>contributing terms. A GET /health endpoint would report readiness without exposing message data. The fitted pipeline would load once at startup. An authorized email client would call the internal endpoint, and its response would go only to a human review interface.</w:t>
      </w:r>
    </w:p>
    <w:p w14:paraId="2EEF7B87" w14:textId="53FE1347" w:rsidR="00E96FA3" w:rsidRPr="00DC4E78" w:rsidRDefault="00000000">
      <w:pPr>
        <w:ind w:firstLine="720"/>
      </w:pPr>
      <w:r w:rsidRPr="00DC4E78">
        <w:rPr>
          <w:rFonts w:eastAsia="Times New Roman"/>
        </w:rPr>
        <w:t>Model persistence is a deployment gate. External scikit-learn documentation warns that pickle-based formats can execute untrusted code and cross-version loading is unsupported. The artifact, training recipe, dependency versions, and data snapshot</w:t>
      </w:r>
      <w:r w:rsidR="00DC4E78">
        <w:rPr>
          <w:rFonts w:eastAsia="Times New Roman"/>
        </w:rPr>
        <w:t>,</w:t>
      </w:r>
      <w:r w:rsidRPr="00DC4E78">
        <w:rPr>
          <w:rFonts w:eastAsia="Times New Roman"/>
        </w:rPr>
        <w:t xml:space="preserve"> therefore</w:t>
      </w:r>
      <w:r w:rsidR="00DC4E78">
        <w:rPr>
          <w:rFonts w:eastAsia="Times New Roman"/>
        </w:rPr>
        <w:t>,</w:t>
      </w:r>
      <w:r w:rsidRPr="00DC4E78">
        <w:rPr>
          <w:rFonts w:eastAsia="Times New Roman"/>
        </w:rPr>
        <w:t xml:space="preserve"> need recorded provenance (Scikit-learn developers, n.d.). A format such as skops.io can be evaluated, but it must be tested with this pipeline. Routine logs should exclude subjects and bodies while retaining request identifiers, model version, response time, status, and aggregate outcomes.</w:t>
      </w:r>
    </w:p>
    <w:p w14:paraId="3462ADC7" w14:textId="77777777" w:rsidR="00E96FA3" w:rsidRPr="00DC4E78" w:rsidRDefault="00000000">
      <w:pPr>
        <w:ind w:firstLine="720"/>
      </w:pPr>
      <w:r w:rsidRPr="00DC4E78">
        <w:rPr>
          <w:rFonts w:eastAsia="Times New Roman"/>
        </w:rPr>
        <w:t>The 2,895-feature space suggests efficient CPU inference, but Week 4 timing was not a serving benchmark. The pilot should measure artifact size, startup time, memory per worker, p50 and p95 latency, concurrent throughput, and errors. Begin with one worker and a queue limit, then scale only after measured demand. Rate limits, timeouts, payload limits, and backpressure protect availability. If broader access is later justified, the same container and stable contract could move to a private cloud. This follows the course-provided API reading on triggers, connectors, monitoring messages, and centralized control (Bricks Tech, 2025).</w:t>
      </w:r>
    </w:p>
    <w:p w14:paraId="48B18CED" w14:textId="77777777" w:rsidR="00E96FA3" w:rsidRPr="00DC4E78" w:rsidRDefault="00000000">
      <w:pPr>
        <w:pStyle w:val="Heading1"/>
        <w:pageBreakBefore/>
        <w:spacing w:before="0"/>
        <w:jc w:val="center"/>
      </w:pPr>
      <w:r w:rsidRPr="00DC4E78">
        <w:rPr>
          <w:rFonts w:ascii="Times New Roman" w:eastAsia="Times New Roman" w:hAnsi="Times New Roman"/>
        </w:rPr>
        <w:t>Ethics, Security, and Deployment Gates</w:t>
      </w:r>
    </w:p>
    <w:p w14:paraId="5E782D92" w14:textId="0E87B3B9" w:rsidR="00E96FA3" w:rsidRPr="00DC4E78" w:rsidRDefault="00000000">
      <w:pPr>
        <w:ind w:firstLine="720"/>
      </w:pPr>
      <w:r w:rsidRPr="00DC4E78">
        <w:rPr>
          <w:rFonts w:eastAsia="Times New Roman"/>
        </w:rPr>
        <w:t>The Enron sample is small, urgency-enriched, and organization-specific. It has no reliabl</w:t>
      </w:r>
      <w:r w:rsidR="00DC4E78">
        <w:rPr>
          <w:rFonts w:eastAsia="Times New Roman"/>
        </w:rPr>
        <w:t>y</w:t>
      </w:r>
      <w:r w:rsidRPr="00DC4E78">
        <w:rPr>
          <w:rFonts w:eastAsia="Times New Roman"/>
        </w:rPr>
        <w:t xml:space="preserve"> protected demographic attributes, so demographic fairness cannot be claimed. </w:t>
      </w:r>
      <w:r w:rsidR="00DC4E78">
        <w:rPr>
          <w:rFonts w:eastAsia="Times New Roman"/>
        </w:rPr>
        <w:t>The r</w:t>
      </w:r>
      <w:r w:rsidRPr="00DC4E78">
        <w:rPr>
          <w:rFonts w:eastAsia="Times New Roman"/>
        </w:rPr>
        <w:t xml:space="preserve">eview should instead compare false negatives, false positives, overrides, and confidence across </w:t>
      </w:r>
      <w:r w:rsidR="00DC4E78">
        <w:rPr>
          <w:rFonts w:eastAsia="Times New Roman"/>
        </w:rPr>
        <w:t xml:space="preserve">the </w:t>
      </w:r>
      <w:r w:rsidRPr="00DC4E78">
        <w:rPr>
          <w:rFonts w:eastAsia="Times New Roman"/>
        </w:rPr>
        <w:t>available message characteristics. The central harm is a missed urgent message: the preliminary holdout missed four of six. The threshold should not change until new validation data support the tradeoff. Top linear feature contributions can assist review, while SHAP remains an offline audit tool; neither proves why a message is urgent.</w:t>
      </w:r>
    </w:p>
    <w:p w14:paraId="43793333" w14:textId="3F243064" w:rsidR="00E96FA3" w:rsidRPr="00DC4E78" w:rsidRDefault="00000000">
      <w:pPr>
        <w:ind w:firstLine="720"/>
      </w:pPr>
      <w:r w:rsidRPr="00DC4E78">
        <w:rPr>
          <w:rFonts w:eastAsia="Times New Roman"/>
        </w:rPr>
        <w:t>Email requires least-privilege authentication</w:t>
      </w:r>
      <w:r w:rsidR="00DC4E78">
        <w:rPr>
          <w:rFonts w:eastAsia="Times New Roman"/>
        </w:rPr>
        <w:t xml:space="preserve"> and</w:t>
      </w:r>
      <w:r w:rsidRPr="00DC4E78">
        <w:rPr>
          <w:rFonts w:eastAsia="Times New Roman"/>
        </w:rPr>
        <w:t xml:space="preserve"> authorization, encrypted transport, secrets outside </w:t>
      </w:r>
      <w:r w:rsidR="00DC4E78">
        <w:rPr>
          <w:rFonts w:eastAsia="Times New Roman"/>
        </w:rPr>
        <w:t xml:space="preserve">the </w:t>
      </w:r>
      <w:r w:rsidRPr="00DC4E78">
        <w:rPr>
          <w:rFonts w:eastAsia="Times New Roman"/>
        </w:rPr>
        <w:t xml:space="preserve">source code, minimal retention, and restricted administrative endpoints. Validation must reject oversized or malformed requests. External OWASP guidance </w:t>
      </w:r>
      <w:r w:rsidR="0033638F">
        <w:rPr>
          <w:rFonts w:eastAsia="Times New Roman"/>
        </w:rPr>
        <w:t>recommend</w:t>
      </w:r>
      <w:r w:rsidRPr="00DC4E78">
        <w:rPr>
          <w:rFonts w:eastAsia="Times New Roman"/>
        </w:rPr>
        <w:t xml:space="preserve">s rate limits, timeouts, bounded concurrency, and resource alerts because unrestricted API consumption can </w:t>
      </w:r>
      <w:r w:rsidR="0033638F">
        <w:rPr>
          <w:rFonts w:eastAsia="Times New Roman"/>
        </w:rPr>
        <w:t>lead to</w:t>
      </w:r>
      <w:r w:rsidRPr="00DC4E78">
        <w:rPr>
          <w:rFonts w:eastAsia="Times New Roman"/>
        </w:rPr>
        <w:t xml:space="preserve"> denial</w:t>
      </w:r>
      <w:r w:rsidR="00DC4E78">
        <w:rPr>
          <w:rFonts w:eastAsia="Times New Roman"/>
        </w:rPr>
        <w:t>-of-service</w:t>
      </w:r>
      <w:r w:rsidRPr="00DC4E78">
        <w:rPr>
          <w:rFonts w:eastAsia="Times New Roman"/>
        </w:rPr>
        <w:t xml:space="preserve"> </w:t>
      </w:r>
      <w:r w:rsidR="00DC4E78">
        <w:rPr>
          <w:rFonts w:eastAsia="Times New Roman"/>
        </w:rPr>
        <w:t>attacks</w:t>
      </w:r>
      <w:r w:rsidRPr="00DC4E78">
        <w:rPr>
          <w:rFonts w:eastAsia="Times New Roman"/>
        </w:rPr>
        <w:t xml:space="preserve"> and unexpected cost</w:t>
      </w:r>
      <w:r w:rsidR="00DC4E78">
        <w:rPr>
          <w:rFonts w:eastAsia="Times New Roman"/>
        </w:rPr>
        <w:t>s</w:t>
      </w:r>
      <w:r w:rsidRPr="00DC4E78">
        <w:rPr>
          <w:rFonts w:eastAsia="Times New Roman"/>
        </w:rPr>
        <w:t xml:space="preserve"> (OWASP Foundation, 2023). Logs and explanations should exclude full text, addresses, and unnecessary identifiers. The service should load only trusted, checksummed model artifacts.</w:t>
      </w:r>
    </w:p>
    <w:p w14:paraId="1BADFA5B" w14:textId="77777777" w:rsidR="00E96FA3" w:rsidRPr="00DC4E78" w:rsidRDefault="00000000">
      <w:pPr>
        <w:ind w:firstLine="720"/>
      </w:pPr>
      <w:r w:rsidRPr="00DC4E78">
        <w:rPr>
          <w:rFonts w:eastAsia="Times New Roman"/>
        </w:rPr>
        <w:t>Deployment should pass four gates: reproduce the pipeline; validate new held-out data; run a human-reviewed shadow pilot; and review urgent recall, privacy, security, latency, and capacity. Monitor performance, reviewer disagreement, drift, errors, and versions. The external NIST AI Risk Management Framework treats validity, security, privacy, transparency, and harmful bias as continuing responsibilities (Tabassi, 2023). An edge-first shadow service is feasible under these controls; automation or cloud expansion remains conditional on stronger evidence and verified requirements. The Appendix summarizes the proposed workflow.</w:t>
      </w:r>
    </w:p>
    <w:p w14:paraId="7C6A2BD4" w14:textId="77777777" w:rsidR="00E96FA3" w:rsidRPr="00DC4E78" w:rsidRDefault="00000000">
      <w:pPr>
        <w:pStyle w:val="Heading1"/>
        <w:pageBreakBefore/>
        <w:spacing w:before="0"/>
        <w:jc w:val="center"/>
      </w:pPr>
      <w:r w:rsidRPr="00DC4E78">
        <w:rPr>
          <w:rFonts w:ascii="Times New Roman" w:eastAsia="Times New Roman" w:hAnsi="Times New Roman"/>
        </w:rPr>
        <w:t>References</w:t>
      </w:r>
    </w:p>
    <w:p w14:paraId="10205BC1" w14:textId="68D8A7CB" w:rsidR="00E96FA3" w:rsidRPr="00DC4E78" w:rsidRDefault="00000000">
      <w:pPr>
        <w:pStyle w:val="References"/>
        <w:spacing w:after="0" w:line="480" w:lineRule="auto"/>
        <w:ind w:left="720" w:hanging="720"/>
      </w:pPr>
      <w:r w:rsidRPr="00DC4E78">
        <w:rPr>
          <w:rFonts w:eastAsia="Times New Roman"/>
        </w:rPr>
        <w:t xml:space="preserve">Bricks Tech. (2025, August 18). </w:t>
      </w:r>
      <w:r w:rsidRPr="00DC4E78">
        <w:rPr>
          <w:rFonts w:eastAsia="Times New Roman"/>
          <w:i/>
        </w:rPr>
        <w:t>A comprehensive guide to API integration in 2025</w:t>
      </w:r>
      <w:r w:rsidRPr="00DC4E78">
        <w:rPr>
          <w:rFonts w:eastAsia="Times New Roman"/>
        </w:rPr>
        <w:t xml:space="preserve">. </w:t>
      </w:r>
      <w:hyperlink r:id="rId8" w:history="1">
        <w:r w:rsidR="00200995" w:rsidRPr="005F7E5F">
          <w:rPr>
            <w:rStyle w:val="Hyperlink"/>
            <w:rFonts w:eastAsia="Times New Roman"/>
          </w:rPr>
          <w:t>https://www.brickstech.io/blogs/a-comprehensive-guide-to-api-integration-in-2025</w:t>
        </w:r>
      </w:hyperlink>
      <w:r w:rsidR="00200995">
        <w:rPr>
          <w:rFonts w:eastAsia="Times New Roman"/>
        </w:rPr>
        <w:t xml:space="preserve"> </w:t>
      </w:r>
    </w:p>
    <w:p w14:paraId="446CB8A1" w14:textId="395644D0" w:rsidR="00E96FA3" w:rsidRPr="00DC4E78" w:rsidRDefault="00000000">
      <w:pPr>
        <w:pStyle w:val="References"/>
        <w:spacing w:after="0" w:line="480" w:lineRule="auto"/>
        <w:ind w:left="720" w:hanging="720"/>
      </w:pPr>
      <w:r w:rsidRPr="00DC4E78">
        <w:rPr>
          <w:rFonts w:eastAsia="Times New Roman"/>
        </w:rPr>
        <w:t xml:space="preserve">Broussard, K. G. (2026). </w:t>
      </w:r>
      <w:r w:rsidRPr="00DC4E78">
        <w:rPr>
          <w:rFonts w:eastAsia="Times New Roman"/>
          <w:i/>
        </w:rPr>
        <w:t>Week 4 model optimization report</w:t>
      </w:r>
      <w:r w:rsidRPr="00DC4E78">
        <w:rPr>
          <w:rFonts w:eastAsia="Times New Roman"/>
        </w:rPr>
        <w:t xml:space="preserve"> [Unpublished manuscript]</w:t>
      </w:r>
      <w:r w:rsidR="00DC4E78">
        <w:rPr>
          <w:rFonts w:eastAsia="Times New Roman"/>
        </w:rPr>
        <w:t>—</w:t>
      </w:r>
      <w:r w:rsidRPr="00DC4E78">
        <w:rPr>
          <w:rFonts w:eastAsia="Times New Roman"/>
        </w:rPr>
        <w:t>University of the Cumberlands.</w:t>
      </w:r>
    </w:p>
    <w:p w14:paraId="19F3D733" w14:textId="0785A25C" w:rsidR="00E96FA3" w:rsidRPr="00DC4E78" w:rsidRDefault="00000000">
      <w:pPr>
        <w:pStyle w:val="References"/>
        <w:spacing w:after="0" w:line="480" w:lineRule="auto"/>
        <w:ind w:left="720" w:hanging="720"/>
      </w:pPr>
      <w:r w:rsidRPr="00DC4E78">
        <w:rPr>
          <w:rFonts w:eastAsia="Times New Roman"/>
        </w:rPr>
        <w:t xml:space="preserve">Dutrée, A. (2023, November 10). </w:t>
      </w:r>
      <w:r w:rsidRPr="00DC4E78">
        <w:rPr>
          <w:rFonts w:eastAsia="Times New Roman"/>
          <w:i/>
        </w:rPr>
        <w:t>Deploying generative AI models: Best practices and an interactive example</w:t>
      </w:r>
      <w:r w:rsidRPr="00DC4E78">
        <w:rPr>
          <w:rFonts w:eastAsia="Times New Roman"/>
        </w:rPr>
        <w:t xml:space="preserve"> [Video]. Toronto Machine Learning Society. YouTube. </w:t>
      </w:r>
      <w:hyperlink r:id="rId9" w:history="1">
        <w:r w:rsidR="00200995" w:rsidRPr="005F7E5F">
          <w:rPr>
            <w:rStyle w:val="Hyperlink"/>
            <w:rFonts w:eastAsia="Times New Roman"/>
          </w:rPr>
          <w:t>https://www.youtube.com/watch?v=BvA9b39a_ag</w:t>
        </w:r>
      </w:hyperlink>
      <w:r w:rsidR="00200995">
        <w:rPr>
          <w:rFonts w:eastAsia="Times New Roman"/>
        </w:rPr>
        <w:t xml:space="preserve"> </w:t>
      </w:r>
    </w:p>
    <w:p w14:paraId="3A9389C8" w14:textId="313B532B" w:rsidR="00E96FA3" w:rsidRPr="00DC4E78" w:rsidRDefault="00000000">
      <w:pPr>
        <w:pStyle w:val="References"/>
        <w:spacing w:after="0" w:line="480" w:lineRule="auto"/>
        <w:ind w:left="720" w:hanging="720"/>
      </w:pPr>
      <w:r w:rsidRPr="00DC4E78">
        <w:rPr>
          <w:rFonts w:eastAsia="Times New Roman"/>
        </w:rPr>
        <w:t xml:space="preserve">FastAPI. (n.d.). </w:t>
      </w:r>
      <w:r w:rsidRPr="00DC4E78">
        <w:rPr>
          <w:rFonts w:eastAsia="Times New Roman"/>
          <w:i/>
        </w:rPr>
        <w:t>Request body</w:t>
      </w:r>
      <w:r w:rsidRPr="00DC4E78">
        <w:rPr>
          <w:rFonts w:eastAsia="Times New Roman"/>
        </w:rPr>
        <w:t xml:space="preserve">. Retrieved July 31, 2026, from </w:t>
      </w:r>
      <w:hyperlink r:id="rId10" w:history="1">
        <w:r w:rsidR="00200995" w:rsidRPr="005F7E5F">
          <w:rPr>
            <w:rStyle w:val="Hyperlink"/>
            <w:rFonts w:eastAsia="Times New Roman"/>
          </w:rPr>
          <w:t>https://fastapi.tiangolo.com/tutorial/body/</w:t>
        </w:r>
      </w:hyperlink>
      <w:r w:rsidR="00200995">
        <w:rPr>
          <w:rFonts w:eastAsia="Times New Roman"/>
        </w:rPr>
        <w:t xml:space="preserve"> </w:t>
      </w:r>
    </w:p>
    <w:p w14:paraId="491997B8" w14:textId="3A3DA169" w:rsidR="00E96FA3" w:rsidRPr="00DC4E78" w:rsidRDefault="00000000">
      <w:pPr>
        <w:pStyle w:val="References"/>
        <w:spacing w:after="0" w:line="480" w:lineRule="auto"/>
        <w:ind w:left="720" w:hanging="720"/>
      </w:pPr>
      <w:r w:rsidRPr="00DC4E78">
        <w:rPr>
          <w:rFonts w:eastAsia="Times New Roman"/>
        </w:rPr>
        <w:t xml:space="preserve">Huyen, C. (n.d.). </w:t>
      </w:r>
      <w:r w:rsidRPr="00DC4E78">
        <w:rPr>
          <w:rFonts w:eastAsia="Times New Roman"/>
          <w:i/>
        </w:rPr>
        <w:t>Machine learning systems design</w:t>
      </w:r>
      <w:r w:rsidRPr="00DC4E78">
        <w:rPr>
          <w:rFonts w:eastAsia="Times New Roman"/>
        </w:rPr>
        <w:t xml:space="preserve">. </w:t>
      </w:r>
      <w:hyperlink r:id="rId11" w:history="1">
        <w:r w:rsidR="00200995" w:rsidRPr="005F7E5F">
          <w:rPr>
            <w:rStyle w:val="Hyperlink"/>
            <w:rFonts w:eastAsia="Times New Roman"/>
          </w:rPr>
          <w:t>https://huyenchip.com/machine-learning-systems-design/toc.html</w:t>
        </w:r>
      </w:hyperlink>
      <w:r w:rsidR="00200995">
        <w:rPr>
          <w:rFonts w:eastAsia="Times New Roman"/>
        </w:rPr>
        <w:t xml:space="preserve"> </w:t>
      </w:r>
    </w:p>
    <w:p w14:paraId="75DE546B" w14:textId="0B41C70B" w:rsidR="00E96FA3" w:rsidRPr="00DC4E78" w:rsidRDefault="00000000">
      <w:pPr>
        <w:pStyle w:val="References"/>
        <w:spacing w:after="0" w:line="480" w:lineRule="auto"/>
        <w:ind w:left="720" w:hanging="720"/>
      </w:pPr>
      <w:r w:rsidRPr="00DC4E78">
        <w:rPr>
          <w:rFonts w:eastAsia="Times New Roman"/>
        </w:rPr>
        <w:t xml:space="preserve">OWASP Foundation. (2023). </w:t>
      </w:r>
      <w:r w:rsidRPr="00DC4E78">
        <w:rPr>
          <w:rFonts w:eastAsia="Times New Roman"/>
          <w:i/>
        </w:rPr>
        <w:t>OWASP API Security Top 10 - 2023</w:t>
      </w:r>
      <w:r w:rsidRPr="00DC4E78">
        <w:rPr>
          <w:rFonts w:eastAsia="Times New Roman"/>
        </w:rPr>
        <w:t xml:space="preserve">. </w:t>
      </w:r>
      <w:hyperlink r:id="rId12" w:history="1">
        <w:r w:rsidR="00200995" w:rsidRPr="005F7E5F">
          <w:rPr>
            <w:rStyle w:val="Hyperlink"/>
            <w:rFonts w:eastAsia="Times New Roman"/>
          </w:rPr>
          <w:t>https://owasp.org/API-Security/editions/2023/en/0x11-t10/</w:t>
        </w:r>
      </w:hyperlink>
      <w:r w:rsidR="00200995">
        <w:rPr>
          <w:rFonts w:eastAsia="Times New Roman"/>
        </w:rPr>
        <w:t xml:space="preserve"> </w:t>
      </w:r>
    </w:p>
    <w:p w14:paraId="6D598042" w14:textId="739C6B55" w:rsidR="00E96FA3" w:rsidRPr="00DC4E78" w:rsidRDefault="00000000">
      <w:pPr>
        <w:pStyle w:val="References"/>
        <w:spacing w:after="0" w:line="480" w:lineRule="auto"/>
        <w:ind w:left="720" w:hanging="720"/>
      </w:pPr>
      <w:r w:rsidRPr="00DC4E78">
        <w:rPr>
          <w:rFonts w:eastAsia="Times New Roman"/>
        </w:rPr>
        <w:t xml:space="preserve">Scikit-learn developers. (n.d.). </w:t>
      </w:r>
      <w:r w:rsidRPr="00DC4E78">
        <w:rPr>
          <w:rFonts w:eastAsia="Times New Roman"/>
          <w:i/>
        </w:rPr>
        <w:t>Model persistence</w:t>
      </w:r>
      <w:r w:rsidRPr="00DC4E78">
        <w:rPr>
          <w:rFonts w:eastAsia="Times New Roman"/>
        </w:rPr>
        <w:t xml:space="preserve">. Retrieved July 31, 2026, from </w:t>
      </w:r>
      <w:hyperlink r:id="rId13" w:history="1">
        <w:r w:rsidR="00200995" w:rsidRPr="005F7E5F">
          <w:rPr>
            <w:rStyle w:val="Hyperlink"/>
            <w:rFonts w:eastAsia="Times New Roman"/>
          </w:rPr>
          <w:t>https://scikit-learn.org/stable/model_persistence.html</w:t>
        </w:r>
      </w:hyperlink>
      <w:r w:rsidR="00200995">
        <w:rPr>
          <w:rFonts w:eastAsia="Times New Roman"/>
        </w:rPr>
        <w:t xml:space="preserve"> </w:t>
      </w:r>
    </w:p>
    <w:p w14:paraId="1D9A59B1" w14:textId="7A5AE93B" w:rsidR="00E96FA3" w:rsidRPr="00DC4E78" w:rsidRDefault="00000000">
      <w:pPr>
        <w:pStyle w:val="References"/>
        <w:spacing w:after="0" w:line="480" w:lineRule="auto"/>
        <w:ind w:left="720" w:hanging="720"/>
      </w:pPr>
      <w:r w:rsidRPr="00DC4E78">
        <w:rPr>
          <w:rFonts w:eastAsia="Times New Roman"/>
        </w:rPr>
        <w:t xml:space="preserve">Tabassi, E. (2023). </w:t>
      </w:r>
      <w:r w:rsidRPr="00DC4E78">
        <w:rPr>
          <w:rFonts w:eastAsia="Times New Roman"/>
          <w:i/>
        </w:rPr>
        <w:t>Artificial intelligence risk management framework (AI RMF 1.0)</w:t>
      </w:r>
      <w:r w:rsidRPr="00DC4E78">
        <w:rPr>
          <w:rFonts w:eastAsia="Times New Roman"/>
        </w:rPr>
        <w:t xml:space="preserve"> (NIST AI 100-1). National Institute of Standards and Technology. </w:t>
      </w:r>
      <w:hyperlink r:id="rId14" w:history="1">
        <w:r w:rsidR="00200995" w:rsidRPr="005F7E5F">
          <w:rPr>
            <w:rStyle w:val="Hyperlink"/>
            <w:rFonts w:eastAsia="Times New Roman"/>
          </w:rPr>
          <w:t>https://doi.org/10.6028/NIST.AI.100-1</w:t>
        </w:r>
      </w:hyperlink>
      <w:r w:rsidR="00200995">
        <w:rPr>
          <w:rFonts w:eastAsia="Times New Roman"/>
        </w:rPr>
        <w:t xml:space="preserve"> </w:t>
      </w:r>
    </w:p>
    <w:p w14:paraId="456F9C90" w14:textId="77777777" w:rsidR="00E96FA3" w:rsidRPr="00DC4E78" w:rsidRDefault="00000000">
      <w:pPr>
        <w:pStyle w:val="Heading1"/>
        <w:pageBreakBefore/>
        <w:spacing w:before="0"/>
        <w:jc w:val="center"/>
      </w:pPr>
      <w:r w:rsidRPr="00DC4E78">
        <w:rPr>
          <w:rFonts w:ascii="Times New Roman" w:eastAsia="Times New Roman" w:hAnsi="Times New Roman"/>
        </w:rPr>
        <w:t>Appendix</w:t>
      </w:r>
    </w:p>
    <w:p w14:paraId="65D6222B" w14:textId="77777777" w:rsidR="00E96FA3" w:rsidRPr="00DC4E78" w:rsidRDefault="00000000">
      <w:pPr>
        <w:pStyle w:val="Heading1"/>
        <w:spacing w:before="0"/>
        <w:jc w:val="center"/>
      </w:pPr>
      <w:r w:rsidRPr="00DC4E78">
        <w:rPr>
          <w:rFonts w:ascii="Times New Roman" w:eastAsia="Times New Roman" w:hAnsi="Times New Roman"/>
        </w:rPr>
        <w:t>Proposed Edge-First Deployment and Human-Review Workflow</w:t>
      </w:r>
    </w:p>
    <w:p w14:paraId="62E9AE00" w14:textId="77777777" w:rsidR="00E96FA3" w:rsidRPr="00DC4E78" w:rsidRDefault="00000000">
      <w:pPr>
        <w:keepNext/>
      </w:pPr>
      <w:r w:rsidRPr="00DC4E78">
        <w:rPr>
          <w:rFonts w:eastAsia="Times New Roman"/>
          <w:b/>
        </w:rPr>
        <w:t>Figure A1</w:t>
      </w:r>
    </w:p>
    <w:p w14:paraId="39C522CC" w14:textId="77777777" w:rsidR="00E96FA3" w:rsidRPr="00DC4E78" w:rsidRDefault="00000000">
      <w:pPr>
        <w:keepNext/>
      </w:pPr>
      <w:r w:rsidRPr="00DC4E78">
        <w:rPr>
          <w:rFonts w:eastAsia="Times New Roman"/>
          <w:i/>
        </w:rPr>
        <w:t>Explainable Edge Deployment and Human-Review Workflow</w:t>
      </w:r>
    </w:p>
    <w:p w14:paraId="5AD4BC0E" w14:textId="77777777" w:rsidR="00E96FA3" w:rsidRPr="00DC4E78" w:rsidRDefault="00000000">
      <w:pPr>
        <w:keepNext/>
        <w:spacing w:after="80"/>
        <w:jc w:val="center"/>
      </w:pPr>
      <w:r w:rsidRPr="00DC4E78">
        <w:rPr>
          <w:noProof/>
        </w:rPr>
        <w:drawing>
          <wp:inline distT="0" distB="0" distL="0" distR="0" wp14:anchorId="2EEA9695" wp14:editId="789FA260">
            <wp:extent cx="5715000" cy="3333750"/>
            <wp:effectExtent l="0" t="0" r="0" b="0"/>
            <wp:docPr id="1" name="Picture 1" descr="Proposed email-triage workflow showing input validation, TF-IDF, logistic regression, FastAPI output, contributing-term explanations, human review, security and monitoring controls, a current shadow pilot, and conditional future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_deployment_workflow.png"/>
                    <pic:cNvPicPr/>
                  </pic:nvPicPr>
                  <pic:blipFill>
                    <a:blip r:embed="rId15"/>
                    <a:stretch>
                      <a:fillRect/>
                    </a:stretch>
                  </pic:blipFill>
                  <pic:spPr>
                    <a:xfrm>
                      <a:off x="0" y="0"/>
                      <a:ext cx="5715000" cy="3333750"/>
                    </a:xfrm>
                    <a:prstGeom prst="rect">
                      <a:avLst/>
                    </a:prstGeom>
                  </pic:spPr>
                </pic:pic>
              </a:graphicData>
            </a:graphic>
          </wp:inline>
        </w:drawing>
      </w:r>
    </w:p>
    <w:p w14:paraId="2E3F5E06" w14:textId="77777777" w:rsidR="00E96FA3" w:rsidRPr="00DC4E78" w:rsidRDefault="00000000">
      <w:pPr>
        <w:shd w:val="clear" w:color="auto" w:fill="F2F4F7"/>
        <w:spacing w:before="80" w:after="80" w:line="276" w:lineRule="auto"/>
        <w:ind w:left="173" w:right="173"/>
      </w:pPr>
      <w:r w:rsidRPr="00DC4E78">
        <w:rPr>
          <w:rFonts w:eastAsia="Times New Roman"/>
          <w:b/>
        </w:rPr>
        <w:t xml:space="preserve">Current evidence. </w:t>
      </w:r>
      <w:r w:rsidRPr="00DC4E78">
        <w:rPr>
          <w:rFonts w:eastAsia="Times New Roman"/>
        </w:rPr>
        <w:t>The reviewed data contain 199 messages, including 30 urgent messages. The retained pipeline uses 2,895 TF-IDF features, achieved 11.4% mean cross-validation urgent F1, and retained four urgent false negatives in the preliminary holdout (Broussard, 2026).</w:t>
      </w:r>
    </w:p>
    <w:p w14:paraId="5006C619" w14:textId="02A1D249" w:rsidR="00E96FA3" w:rsidRPr="00DC4E78" w:rsidRDefault="00000000">
      <w:pPr>
        <w:spacing w:line="276" w:lineRule="auto"/>
      </w:pPr>
      <w:r w:rsidRPr="00DC4E78">
        <w:rPr>
          <w:rFonts w:eastAsia="Times New Roman"/>
          <w:i/>
        </w:rPr>
        <w:t xml:space="preserve">Note. </w:t>
      </w:r>
      <w:r w:rsidRPr="00DC4E78">
        <w:rPr>
          <w:rFonts w:eastAsia="Times New Roman"/>
        </w:rPr>
        <w:t xml:space="preserve">This author-created figure presents a proposed architecture, not an implemented or benchmarked system. Human review remains required because the current model has </w:t>
      </w:r>
      <w:r w:rsidR="00263341">
        <w:rPr>
          <w:rFonts w:eastAsia="Times New Roman"/>
        </w:rPr>
        <w:t xml:space="preserve">a </w:t>
      </w:r>
      <w:r w:rsidRPr="00DC4E78">
        <w:rPr>
          <w:rFonts w:eastAsia="Times New Roman"/>
        </w:rPr>
        <w:t xml:space="preserve">substantial </w:t>
      </w:r>
      <w:r w:rsidR="00263341">
        <w:rPr>
          <w:rFonts w:eastAsia="Times New Roman"/>
        </w:rPr>
        <w:t>risk of</w:t>
      </w:r>
      <w:r w:rsidRPr="00DC4E78">
        <w:rPr>
          <w:rFonts w:eastAsia="Times New Roman"/>
        </w:rPr>
        <w:t xml:space="preserve"> false </w:t>
      </w:r>
      <w:r w:rsidR="00263341">
        <w:rPr>
          <w:rFonts w:eastAsia="Times New Roman"/>
        </w:rPr>
        <w:t>negatives for urgent messages</w:t>
      </w:r>
      <w:r w:rsidRPr="00DC4E78">
        <w:rPr>
          <w:rFonts w:eastAsia="Times New Roman"/>
        </w:rPr>
        <w:t>. Automation or private</w:t>
      </w:r>
      <w:r w:rsidR="00263341">
        <w:rPr>
          <w:rFonts w:eastAsia="Times New Roman"/>
        </w:rPr>
        <w:t xml:space="preserve"> </w:t>
      </w:r>
      <w:r w:rsidRPr="00DC4E78">
        <w:rPr>
          <w:rFonts w:eastAsia="Times New Roman"/>
        </w:rPr>
        <w:t>cloud expansion remains con</w:t>
      </w:r>
      <w:r w:rsidR="00263341">
        <w:rPr>
          <w:rFonts w:eastAsia="Times New Roman"/>
        </w:rPr>
        <w:t>tingent</w:t>
      </w:r>
      <w:r w:rsidRPr="00DC4E78">
        <w:rPr>
          <w:rFonts w:eastAsia="Times New Roman"/>
        </w:rPr>
        <w:t xml:space="preserve"> on stronger validation and verified operational requirements.</w:t>
      </w:r>
    </w:p>
    <w:sectPr w:rsidR="00E96FA3" w:rsidRPr="00DC4E78" w:rsidSect="0003461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BBE66F" w14:textId="77777777" w:rsidR="0075047D" w:rsidRDefault="0075047D">
      <w:pPr>
        <w:spacing w:line="240" w:lineRule="auto"/>
      </w:pPr>
      <w:r>
        <w:separator/>
      </w:r>
    </w:p>
  </w:endnote>
  <w:endnote w:type="continuationSeparator" w:id="0">
    <w:p w14:paraId="67D07694" w14:textId="77777777" w:rsidR="0075047D" w:rsidRDefault="00750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07B9AF" w14:textId="77777777" w:rsidR="0075047D" w:rsidRDefault="0075047D">
      <w:pPr>
        <w:spacing w:line="240" w:lineRule="auto"/>
      </w:pPr>
      <w:r>
        <w:separator/>
      </w:r>
    </w:p>
  </w:footnote>
  <w:footnote w:type="continuationSeparator" w:id="0">
    <w:p w14:paraId="77EDC36C" w14:textId="77777777" w:rsidR="0075047D" w:rsidRDefault="00750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D0AF9" w14:textId="77777777" w:rsidR="00E96FA3" w:rsidRDefault="00000000">
    <w:pPr>
      <w:pStyle w:val="Header"/>
      <w:jc w:val="right"/>
    </w:pPr>
    <w:r>
      <w:rPr>
        <w:rFonts w:eastAsia="Times New Roman"/>
      </w:rPr>
      <w:fldChar w:fldCharType="begin"/>
    </w:r>
    <w:r>
      <w:rPr>
        <w:rFonts w:eastAsia="Times New Roman"/>
      </w:rPr>
      <w:instrText xml:space="preserve"> PAGE </w:instrText>
    </w:r>
    <w:r>
      <w:rPr>
        <w:rFonts w:eastAsia="Times New Roman"/>
      </w:rPr>
      <w:fldChar w:fldCharType="separate"/>
    </w:r>
    <w:r w:rsidR="00DC4E78">
      <w:rPr>
        <w:rFonts w:eastAsia="Times New Roman"/>
        <w:noProof/>
      </w:rPr>
      <w:t>1</w:t>
    </w:r>
    <w:r>
      <w:rPr>
        <w:rFonts w:eastAsia="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915233">
    <w:abstractNumId w:val="8"/>
  </w:num>
  <w:num w:numId="2" w16cid:durableId="1922326185">
    <w:abstractNumId w:val="6"/>
  </w:num>
  <w:num w:numId="3" w16cid:durableId="1656491904">
    <w:abstractNumId w:val="5"/>
  </w:num>
  <w:num w:numId="4" w16cid:durableId="855190369">
    <w:abstractNumId w:val="4"/>
  </w:num>
  <w:num w:numId="5" w16cid:durableId="1009259582">
    <w:abstractNumId w:val="7"/>
  </w:num>
  <w:num w:numId="6" w16cid:durableId="2018379969">
    <w:abstractNumId w:val="3"/>
  </w:num>
  <w:num w:numId="7" w16cid:durableId="602500256">
    <w:abstractNumId w:val="2"/>
  </w:num>
  <w:num w:numId="8" w16cid:durableId="893351653">
    <w:abstractNumId w:val="1"/>
  </w:num>
  <w:num w:numId="9" w16cid:durableId="11839792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995"/>
    <w:rsid w:val="00263341"/>
    <w:rsid w:val="0029639D"/>
    <w:rsid w:val="00326F90"/>
    <w:rsid w:val="0033638F"/>
    <w:rsid w:val="0075047D"/>
    <w:rsid w:val="00AA1D8D"/>
    <w:rsid w:val="00B12743"/>
    <w:rsid w:val="00B24A58"/>
    <w:rsid w:val="00B47730"/>
    <w:rsid w:val="00BE2083"/>
    <w:rsid w:val="00CB0664"/>
    <w:rsid w:val="00DC4E78"/>
    <w:rsid w:val="00E96FA3"/>
    <w:rsid w:val="00F074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BE536"/>
  <w14:defaultImageDpi w14:val="300"/>
  <w15:docId w15:val="{A8A832BE-25F2-1E4D-81E8-E68F877A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rPr>
      <w:rFonts w:ascii="Times New Roman" w:hAnsi="Times New Roman"/>
      <w:sz w:val="24"/>
    </w:rPr>
  </w:style>
  <w:style w:type="character" w:styleId="Hyperlink">
    <w:name w:val="Hyperlink"/>
    <w:basedOn w:val="DefaultParagraphFont"/>
    <w:uiPriority w:val="99"/>
    <w:unhideWhenUsed/>
    <w:rsid w:val="00200995"/>
    <w:rPr>
      <w:color w:val="0000FF" w:themeColor="hyperlink"/>
      <w:u w:val="single"/>
    </w:rPr>
  </w:style>
  <w:style w:type="character" w:styleId="UnresolvedMention">
    <w:name w:val="Unresolved Mention"/>
    <w:basedOn w:val="DefaultParagraphFont"/>
    <w:uiPriority w:val="99"/>
    <w:semiHidden/>
    <w:unhideWhenUsed/>
    <w:rsid w:val="002009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ckstech.io/blogs/a-comprehensive-guide-to-api-integration-in-2025" TargetMode="External"/><Relationship Id="rId13" Type="http://schemas.openxmlformats.org/officeDocument/2006/relationships/hyperlink" Target="https://scikit-learn.org/stable/model_persistence.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wasp.org/API-Security/editions/2023/en/0x11-t1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yenchip.com/machine-learning-systems-design/toc.html"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fastapi.tiangolo.com/tutorial/body/" TargetMode="External"/><Relationship Id="rId4" Type="http://schemas.openxmlformats.org/officeDocument/2006/relationships/settings" Target="settings.xml"/><Relationship Id="rId9" Type="http://schemas.openxmlformats.org/officeDocument/2006/relationships/hyperlink" Target="https://www.youtube.com/watch?v=BvA9b39a_ag" TargetMode="External"/><Relationship Id="rId14" Type="http://schemas.openxmlformats.org/officeDocument/2006/relationships/hyperlink" Target="https://doi.org/10.6028/NIST.AI.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1080</Words>
  <Characters>7173</Characters>
  <Application>Microsoft Office Word</Application>
  <DocSecurity>0</DocSecurity>
  <Lines>115</Lines>
  <Paragraphs>41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Deployment Strategy Report for Email Triage AI Model</vt:lpstr>
      <vt:lpstr>Deployment Strategy Report for Email Triage AI Model</vt:lpstr>
      <vt:lpstr>Current Architecture and Deployment Recommendation</vt:lpstr>
      <vt:lpstr>FastAPI Integration, Scalability, and Efficiency</vt:lpstr>
      <vt:lpstr>Ethics, Security, and Deployment Gates</vt:lpstr>
      <vt:lpstr>References</vt:lpstr>
      <vt:lpstr>Appendix</vt:lpstr>
      <vt:lpstr>Proposed Edge-First Deployment and Human-Review Workflow</vt:lpstr>
    </vt:vector>
  </TitlesOfParts>
  <Manager/>
  <Company/>
  <LinksUpToDate>false</LinksUpToDate>
  <CharactersWithSpaces>8212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Strategy Report for Email Triage AI Model</dc:title>
  <dc:subject>MSAI-699-B01 Capstone Week 5</dc:subject>
  <dc:creator>Keith G. Broussard</dc:creator>
  <cp:keywords>email triage, deployment strategy, FastAPI, edge deployment, ethics</cp:keywords>
  <dc:description>APA 7 student technical report</dc:description>
  <cp:lastModifiedBy>Keith G. Broussard</cp:lastModifiedBy>
  <cp:revision>2</cp:revision>
  <cp:lastPrinted>2026-08-03T02:21:00Z</cp:lastPrinted>
  <dcterms:created xsi:type="dcterms:W3CDTF">2026-08-03T02:22:00Z</dcterms:created>
  <dcterms:modified xsi:type="dcterms:W3CDTF">2026-08-03T02:22:00Z</dcterms:modified>
  <cp:category/>
</cp:coreProperties>
</file>