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Calibri" w:cs="Calibri" w:eastAsia="Calibri" w:hAnsi="Calibri"/>
          <w:color w:val="5A6360"/>
          <w:spacing w:val="40"/>
          <w:sz w:val="20"/>
          <w:szCs w:val="20"/>
        </w:rPr>
        <w:t xml:space="preserve">SMART INDIA HACKATHON 2026 · PS SIH26014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E6B54"/>
          <w:sz w:val="72"/>
          <w:szCs w:val="72"/>
        </w:rPr>
        <w:t xml:space="preserve">Land Stack</w:t>
      </w:r>
    </w:p>
    <w:p>
      <w:pPr>
        <w:spacing w:after="120"/>
      </w:pPr>
      <w:r>
        <w:rPr>
          <w:rFonts w:ascii="Calibri" w:cs="Calibri" w:eastAsia="Calibri" w:hAnsi="Calibri"/>
          <w:sz w:val="36"/>
          <w:szCs w:val="36"/>
        </w:rPr>
        <w:t xml:space="preserve">Standard Technical Document and Build Plan</w:t>
      </w:r>
    </w:p>
    <w:p>
      <w:pPr>
        <w:spacing w:after="600"/>
      </w:pPr>
      <w:r>
        <w:rPr>
          <w:rFonts w:ascii="Calibri" w:cs="Calibri" w:eastAsia="Calibri" w:hAnsi="Calibri"/>
          <w:i/>
          <w:iCs/>
          <w:color w:val="5A6360"/>
          <w:sz w:val="24"/>
          <w:szCs w:val="24"/>
        </w:rPr>
        <w:t xml:space="preserve">An Integrated GIS-based Digital Public Infrastructure for Land Governance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Organisation  </w:t>
      </w:r>
      <w:r>
        <w:rPr>
          <w:rFonts w:ascii="Calibri" w:cs="Calibri" w:eastAsia="Calibri" w:hAnsi="Calibri"/>
          <w:sz w:val="22"/>
          <w:szCs w:val="22"/>
        </w:rPr>
        <w:t xml:space="preserve">Ministry of Rural Development, Department of Land Resources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Category / Theme  </w:t>
      </w:r>
      <w:r>
        <w:rPr>
          <w:rFonts w:ascii="Calibri" w:cs="Calibri" w:eastAsia="Calibri" w:hAnsi="Calibri"/>
          <w:sz w:val="22"/>
          <w:szCs w:val="22"/>
        </w:rPr>
        <w:t xml:space="preserve">Software · Agriculture, FoodTech &amp; Rural Development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 version  </w:t>
      </w:r>
      <w:r>
        <w:rPr>
          <w:rFonts w:ascii="Calibri" w:cs="Calibri" w:eastAsia="Calibri" w:hAnsi="Calibri"/>
          <w:sz w:val="22"/>
          <w:szCs w:val="22"/>
        </w:rPr>
        <w:t xml:space="preserve">1.0 · 13 September 2026 · prototype plan for a 7-day build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  </w:t>
      </w:r>
      <w:r>
        <w:rPr>
          <w:rFonts w:ascii="Calibri" w:cs="Calibri" w:eastAsia="Calibri" w:hAnsi="Calibri"/>
          <w:sz w:val="22"/>
          <w:szCs w:val="22"/>
        </w:rPr>
        <w:t xml:space="preserve">Team Land Stack (Rishith Vulli and team)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Land Stack is a parcel-centric platform in which every land parcel carries a unique geospatial identifier (ULPIN-style) and every government dataset about that parcel — record of rights, registration and encumbrance, master-plan zoning and building permissions, property tax and valuation, disputes, and utilities — is reached through that one key. A citizen or officer clicks a parcel on a GIS map and receives a single, provenance-tagged profile assembled live from six independent department services.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prototype is scoped for a seven-day build by a six-person team. It delivers the six outcomes the problem statement names: three-tier GIS layers; integration of sample datasets across land records, registration, dispute, planning and fiscal systems; role-based dashboards; citizen services (search, ownership verification, status tracking, service requests); open APIs with authentication, RBAC and audit; and this Standard Technical Document.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Differentiation. The Department of Land Resources launched the real Land Stack pilot in Chandigarh and Tamil Nadu on 31 December 2025. Our contribution is the open interoperability layer such a platform needs to scale nationally: OGC-aligned APIs, a state-configurable adapter model that maps each state's vocabulary (khata, patta, khasra, survey number) into a common data model, an event contract for cross-department sync, consent-aware citizen access, and an explainable satellite change-detection feature that generates field-review work for officers.</w:t>
      </w:r>
    </w:p>
    <w:p>
      <w:pPr>
        <w:pBdr>
          <w:left w:val="single" w:color="0E6B54" w:sz="12" w:space="8"/>
        </w:pBdr>
        <w:spacing w:after="160" w:before="80"/>
        <w:ind w:left="240"/>
      </w:pPr>
      <w:r>
        <w:rPr>
          <w:rFonts w:ascii="Calibri" w:cs="Calibri" w:eastAsia="Calibri" w:hAnsi="Calibri"/>
          <w:i/>
          <w:iCs/>
          <w:color w:val="2E3A35"/>
          <w:sz w:val="21"/>
          <w:szCs w:val="21"/>
        </w:rPr>
        <w:t xml:space="preserve">Everything in this document uses synthetic parcels seeded inside a real Indian village boundary. The problem statement explicitly permits mock or sample datasets; there is no open parcel-level cadastral dataset in India.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Problem statement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problem statement asks for a functional prototype and a technical document. We decompose it into six gradable requirements and map each to a deliverable.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Requirement (from PS text)</w:t>
            </w:r>
          </w:p>
        </w:tc>
        <w:tc>
          <w:tcPr>
            <w:tcW w:type="dxa" w:w="45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GIS parcel visualisation with base, essential and use-case layer tiers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Explorer with a three-tier layer tree; every layer is a PostGIS table served as vector tiles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Mock/sample datasets and interoperable workflows across land records, registration, dispute, planning and fiscal systems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Six department services with independent OpenAPI docs; a gateway that aggregates them; a live event-driven sync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administrative dashboards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 Console with KPIs, filters and a departmental work queue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services: parcel search, ownership verification, status tracking, service requests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 with those four functions and a QR-verifiable Land Information Report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APIs, standardised metadata, secure auth, RBAC, audit trails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OGC API Features-shaped endpoints, JWT with role claims, append-only audit log shown in the UI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Technical Document (API, interoperability, schemas, architecture, GIS, security, UI/UX, colour, deployment)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This document, sections 3 to 11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1.1 Existing systems and what we learn from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ULPIN / Bhu-Aadhaar. </w:t>
      </w:r>
      <w:r>
        <w:rPr>
          <w:rFonts w:ascii="Calibri" w:cs="Calibri" w:eastAsia="Calibri" w:hAnsi="Calibri"/>
          <w:sz w:val="22"/>
          <w:szCs w:val="22"/>
        </w:rPr>
        <w:t xml:space="preserve">14-character identifier derived from parcel vertex coordinates; rolled out in 29 states. Our ID is a deterministic function of geometry, labelled ULPIN-style because the official derivation is not public.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Bhu-Naksha (NIC). </w:t>
      </w:r>
      <w:r>
        <w:rPr>
          <w:rFonts w:ascii="Calibri" w:cs="Calibri" w:eastAsia="Calibri" w:hAnsi="Calibri"/>
          <w:sz w:val="22"/>
          <w:szCs w:val="22"/>
        </w:rPr>
        <w:t xml:space="preserve">PostgreSQL/PostGIS + MapServer + OpenLayers. Confirms our data-layer choice; we modernise the tile path with vector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NGDRS. </w:t>
      </w:r>
      <w:r>
        <w:rPr>
          <w:rFonts w:ascii="Calibri" w:cs="Calibri" w:eastAsia="Calibri" w:hAnsi="Calibri"/>
          <w:sz w:val="22"/>
          <w:szCs w:val="22"/>
        </w:rPr>
        <w:t xml:space="preserve">Registration system used by 18 states; 13 others push data into it through UI/API. This is the real-world precedent for our registration adapter and event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Kaveri 2.0 → Bhoomi (Karnataka). </w:t>
      </w:r>
      <w:r>
        <w:rPr>
          <w:rFonts w:ascii="Calibri" w:cs="Calibri" w:eastAsia="Calibri" w:hAnsi="Calibri"/>
          <w:sz w:val="22"/>
          <w:szCs w:val="22"/>
        </w:rPr>
        <w:t xml:space="preserve">Registration emits a J-slip that auto-triggers mutation in the land-records system, and fails silently on name or survey-number mismatch. Our demo reproduces this hand-off with an explicit mismatch alert instead of a silent 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Bhu Bharati (Telangana), Mahabhulekh (Maharashtra), Meebhoomi (AP). </w:t>
      </w:r>
      <w:r>
        <w:rPr>
          <w:rFonts w:ascii="Calibri" w:cs="Calibri" w:eastAsia="Calibri" w:hAnsi="Calibri"/>
          <w:sz w:val="22"/>
          <w:szCs w:val="22"/>
        </w:rPr>
        <w:t xml:space="preserve">Single-state portals with different vocabularies and units; motivates the adapter and unit-conversion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Chandigarh Landstack (NIC, 2025). </w:t>
      </w:r>
      <w:r>
        <w:rPr>
          <w:rFonts w:ascii="Calibri" w:cs="Calibri" w:eastAsia="Calibri" w:hAnsi="Calibri"/>
          <w:sz w:val="22"/>
          <w:szCs w:val="22"/>
        </w:rPr>
        <w:t xml:space="preserve">The live pilot. It exposes a portal but not open APIs or a consent model; both are our focus.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Scope for the seven-day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900"/>
        <w:gridCol w:w="3160"/>
      </w:tblGrid>
      <w:tr>
        <w:trPr>
          <w:tblHeader/>
        </w:trPr>
        <w:tc>
          <w:tcPr>
            <w:tcW w:type="dxa" w:w="4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19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31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Explorer, 3-tier layers, hover/click, search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R1; the centrepiece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Unified Parcel Profile aggregated from six departments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R2; the core idea made visible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 mock APIs (Revenue, Registration, Planning, Fiscal, Legal, Utilities)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R2; ~80 lines each over seeded tables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sync: deed registered → event → profile updates → mutation queued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Interoperability demonstrated in 20 seconds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Portal: search, verify, track, request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R4 verbatim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 Information Report (PDF, QR, signed verify URL)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Tangible artefact judges can scan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 Console with work queue and approvals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/ Integration Console (connectors, mappings, consistency)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DPI narrative; cheap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Cross-department consistency checker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query; addresses 'inconsistent records'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Satellite land-use change detection (Sentinel-2 NDVI/NDBI)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single AI feature; deterministic, offline-capable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OCR of scanned RoR to structured JSON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Stub; build if Day 5 is green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after change detection is stable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Bhuvan LULC WMS overlay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Stub (flag)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on the demo path; uptime risk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Multi-state adapters with real formats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Deferred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interface + two config files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app, valuation ML, 3D cadastre, Keycloak, Temporal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doing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grading upside; each adds failure modes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System architecture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system has three planes. The client is a single-page React application. The gateway is one FastAPI process that owns identity, aggregation, workflow, audit, reporting and the AI endpoints. Department services are six FastAPI sub-applications mounted in the same process, each with its own OpenAPI document and its own PostgreSQL schema, enforced by per-schema database roles. They communicate with the gateway only over HTTP and never share tables, so in production each can be replaced by an adapter to a real state system without changing the gateway.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60"/>
      </w:tblGrid>
      <w:tr>
        <w:trPr>
          <w:tblHeader/>
        </w:trPr>
        <w:tc>
          <w:tcPr>
            <w:tcW w:type="dxa" w:w="1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Plane</w:t>
            </w:r>
          </w:p>
        </w:tc>
        <w:tc>
          <w:tcPr>
            <w:tcW w:type="dxa" w:w="2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54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Explorer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MapLibre GL map; three-tier layer tree; hover/click; search; colour-by modes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Profile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Renders the common data model with per-section source badges and timestamps; consent masking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Search, ownership verification, application tracking, service requests, report download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 Console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KPIs, filters, departmental work queue, approve/return/reject with remarks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&amp; Integration Console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Connector health, adapter field mappings, consistency findings, simulate upstream change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issuance and verification; roles citizen, officer:&lt;department&gt;, admin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Aggregator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Parallel fan-out to department adapters with per-source timeout; merge; provenance; masking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Adapter registry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DepartmentAdapter implementations plus YAML field mappings to the common data model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enum per application type and a transitions table; validates every move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log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Append-only record of every write and every full-detail read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Consistency checker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Cross-department comparison of area and owner; emits alerts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WeasyPrint PDF with static map and QR; HMAC-signed verification endpoint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Sentinel-2 change detection; optional document extraction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Gateway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Inbound webhook from departments; cache invalidation; alert and application creation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Revenue, Registration, Planning, Fiscal, Legal, Utilities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 legacy services with their own vocabulary, each exposing GET endpoints and, where the workflow needs it, POST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Tiles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Martin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Publishes every PostGIS geometry table as Mapbox Vector Tiles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17 + PostGIS 3.5</w:t>
            </w:r>
          </w:p>
        </w:tc>
        <w:tc>
          <w:tcPr>
            <w:tcW w:type="dxa" w:w="5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Schemas landstack, dept_*, gis; Redis optional for cache and jobs; volume for PDFs and COGs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3.2 Request flow: one parcel click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Client requests GET /landstack/parcels/{ulpin} with the user's JWT.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reads the base parcel row from PostGIS (always available).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Gateway fans out in parallel to the six department adapters with a 300 ms budget; each adapter converts its source response into a common-data-model fragment.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Fragments are merged; each carries a provenance block (ok, latency, as_of, or error and cached_as_of).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consistency checker compares area and owner across sources and sets flags.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caller is a citizen without a consent token for this parcel, personal fields are masked.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client renders every section independently, so a failed source shows as 'source unavailable, showing cached value' rather than failing the page.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3.3 Event flow: cross-department synchronisation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When the Registration service registers a deed it writes an outbox row and posts registration.deed_registered to POST /landstack/events. The gateway invalidates the cached profile, appends an audit entry, compares the deed claimant to the current RoR owner and, on mismatch, raises a pending_mutation alert and opens a system-initiated mutation application in the revenue officer's queue. This mirrors the Kaveri-to-Bhoomi hand-off in Karnataka while replacing its silent failure with a visible task.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3.4 Production topology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 a state deployment the same code runs as separate containers: the gateway behind a load balancer with horizontal autoscaling; PostGIS with one primary and read replicas; Martin behind a CDN, switching to nightly PMTiles above roughly five lakh parcels; Redis for cache and job queue; object storage for documents and imagery; and one adapter deployment per upstream state system. A national deployment federates state gateways behind a discovery service keyed by the state prefix of the ULPIN.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Technology stack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Choices are made for a one-week build by a mixed Python and JavaScript team, and each remains defensible at state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300"/>
        <w:gridCol w:w="3060"/>
      </w:tblGrid>
      <w:tr>
        <w:trPr>
          <w:tblHeader/>
        </w:trPr>
        <w:tc>
          <w:tcPr>
            <w:tcW w:type="dxa" w:w="1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2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Rejected alternatives</w:t>
            </w:r>
          </w:p>
        </w:tc>
        <w:tc>
          <w:tcPr>
            <w:tcW w:type="dxa" w:w="30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library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MapLibre GL JS 6 + react-map-gl 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Leaflet, OpenLayers, deck.gl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Native vector tiles, WebGL for 50k+ polygons, feature-state hover/select, mature React binding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Streets basemap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OpenFreeMap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OSM raster tiles, MapTiler, Stadia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key, no card, no cap; OSMF policy forbids app use of tile.openstreetmap.org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Imagery basemap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Esri World Imagery (free Location Platform key)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Bhuvan alone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Reliable; Bhuvan WMS kept as optional overlay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Parcel tiles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Martin 1.8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pg_tileserv, tippecanoe/PMTiles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Zero-config PostGIS → MVT; scales with a GiST index; live edits visible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 ≥0.141, SQLAlchemy 2 async, GeoAlchemy2, Pydantic v2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Django/GeoDjango + DRF, NestJS + Prisma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 OpenAPI per sub-app, async fan-out, Python for AI path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postgis/postgis:17-3.5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kartoza/postgis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Official, smaller image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/ jobs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7 (optional) with arq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Celery + RabbitMQ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for profile cache and the AI job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PyJWT + passlib, roles in claims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Keycloak, FastAPI-Users, Auth0/Clerk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Hours not days; works offline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enum + transitions table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Temporal, python-statemachine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trail and timeline UI for free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Sentinel-2 L2A via Planetary Computer STAC; NDVI/NDBI Δ; pystac-client, odc-stac, rasterstats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Copernicus Data Space, Google Earth Engine, pretrained models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Anonymous access, pure Python, explainable, offline fallback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Flash free tier → Pydantic JSON; Tesseract 5 offline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Surya, PaddleOCR, EasyOCR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a vision LLM does Indic OCR and field extraction in one call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 7, React 19, TypeScript, TanStack Router/Query, Zustand, Tailwind v4 + shadcn/ui, ECharts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16, Recharts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SSR fights MapLibre; SPA deploys as static files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/ QR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WeasyPrint 70 + segno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ReportLab, browser print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HTML template as web; server-side artefact can be signed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(API), Vercel (web), Neon (PostGIS)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Railway, Fly.io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free tiers; primary demo remains local docker-compose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Data schemas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5.1 Identifier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prototype generates a deterministic 14-character ULPIN-style identifier from parcel geometry: a 7-character geohash of the centroid concatenated with the first 7 characters of a BLAKE2b hash of the WKB geometry, upper-cased. It has the property that matters for interoperability — it is a function of where the land is, not of any department's register — and it is labelled ULPIN-style throughout because the official ECCMA-based derivation is not public.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5.2 Common data model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aggregator returns one JSON document per parcel. Its groups follow ISO 19152 LADM: identifiers and spatial (Spatial Unit), party (Party), rights and restrictions (RRR), plus planning, fiscal, utilities, alerts, provenance and consistency.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{ "ulpin": "TDR1K3M9A2F7C1",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"identifiers": { "state","district","taluk","village","survey_no","khata_no"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"spatial":     { "area_sqm", "centroid": [lon,lat], "crs": "EPSG:4326", "geometry_ref"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"party":       { "owners": [{ "name","share","type" }], "masked": bool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"rights":      { "registration": { "status","doc_no","registered_on" }, "ror": { "khata_no","classification","extent_sqm" }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"restrictions":{ "encumbrances": [], "disputes": [], "restriction_zones": []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"planning":    { "zone","land_use", "building_permission": { "status","permit_no" }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"fiscal":      { "tax": { "annual_demand","arrears","paid_till" }, "guideline_value_per_sqm"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"utilities":   { "water","electricity","sewer","road_access_m"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"alerts":      [ { "kind","severity","detail" } ],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"provenance":  { "&lt;source&gt;": { "ok","ms","as_of" | "error","cached_as_of" } },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"consistency": { "area_match","owner_match" } 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5.3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560"/>
      </w:tblGrid>
      <w:tr>
        <w:trPr>
          <w:tblHeader/>
        </w:trPr>
        <w:tc>
          <w:tcPr>
            <w:tcW w:type="dxa" w:w="25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Schema.table</w:t>
            </w:r>
          </w:p>
        </w:tc>
        <w:tc>
          <w:tcPr>
            <w:tcW w:type="dxa" w:w="4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5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landstack.parcels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ulpin PK, state, district, taluk, village, survey_no, sub_division, geom MultiPolygon 4326, area_sqm, land_use, zone, status_flags jsonb, updated_at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 layer; GiST on geom; trigram on survey_no; published by Martin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landstack.users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email, password_hash, role, department, name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Seeded accounts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landstack.applications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ulpin, type, applicant_id, status, payload jsonb, assigned_department, created_at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Mutation, building_permission, ownership_verification, field_review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landstack.transitions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type, from_status, to_status, allowed_role, action_label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Seeded rules; engine refuses anything else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landstack.audit_log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ts, actor_id, actor_role, action, entity_type, entity_id, ulpin, before jsonb, after jsonb, source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INSERT-only role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landstack.alerts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ulpin, kind, severity, detail jsonb, status, created_at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change_detected, inconsistency, pending_mutation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landstack.reports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ulpin, issued_to, issued_at, sha256, signature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by /verify/{id}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dept_revenue.ror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khata_no, survey_no, ulpin, owner_name, father_name, ownership_type, extent_sqm, classification, mutation_history jsonb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vocabulary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dept_registration.deeds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doc_no, ulpin, deed_type, executant, claimant, consideration, registered_on, sro_code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deed drives registration status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dept_registration.encumbrances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ulpin, kind, holder, amount, from_date, to_date, active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Encumbrance certificate source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dept_planning.zones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zone_code, name, geom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Master-plan polygons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dept_planning.building_permissions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permit_no, ulpin, status, floors, built_up_sqm, approved_on, conditions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dept_fiscal.property_tax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assessment_no, ulpin, annual_demand, paid_till, arrears, last_paid_on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dept_fiscal.valuation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ulpin, guideline_value_per_sqm, effective_from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rate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dept_legal.disputes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case_no, ulpin, court, nature, filed_on, status, next_hearing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dept_utilities.connections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ulpin, water, electricity, sewer, road_access_m, nearest_road_class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gis.roads / gis.water_lines / gis.restriction_zones / gis.projects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geometry plus class or kind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Use-case layers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5.4 Sample data generation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single idempotent script (tools/seed.py, GeoPandas + Shapely + Faker) takes one village polygon from the DataMeet Indian Village Boundaries dataset, splits it into blocks along OpenStreetMap roads, subdivides blocks into 400 to 800 parcels in a projected CRS (EPSG:32644 for Andhra Pradesh and Telangana), assigns Indian-style survey numbers and sub-divisions, populates every department table from the same frame, and deliberately plants 5 to 8 percent anomalies: disputes, mortgages, tax arrears, cross-department area mismatches, owner-name drift and pending mutations. Field names follow the DoLR Glossary of Revenue Terms.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API standards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services publish OpenAPI 3.1 automatically. The gateway follows OGC API Features conventions for spatial collections and plain REST for services. JSON only; UTF-8; ISO 8601 timestamps in UTC; GeoJSON per RFC 7946 in EPSG:4326. Errors use one envelope: { error: { code, message, details } }. POST endpoints accept an Idempotency-Key header. Versioning is by path prefix /v1 (omitted below for brevity).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6.1 Gateway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3360"/>
      </w:tblGrid>
      <w:tr>
        <w:trPr>
          <w:tblHeader/>
        </w:trPr>
        <w:tc>
          <w:tcPr>
            <w:tcW w:type="dxa" w:w="4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Method and path</w:t>
            </w:r>
          </w:p>
        </w:tc>
        <w:tc>
          <w:tcPr>
            <w:tcW w:type="dxa" w:w="17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3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with sub, role, department, exp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/landstack/collections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OGC collections: parcels, zones, restriction_zones, roads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/landstack/collections/parcels/items?bbox&amp;limit&amp;land_use&amp;status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GeoJSON FeatureCollection (base attributes)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/landstack/collections/parcels/items/{ulpin}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GeoJSON Feature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/landstack/search?q=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Matches on ULPIN, survey no., khata; owner for officer+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/landstack/parcels/{ulpin}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any; masked for citizen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Aggregated common-data-model document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/landstack/parcels/{ulpin}/timeline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officer, admin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entries for the parcel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/landstack/verify-ownership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 / no-match with fields compared; never the full name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/landstack/applications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an application; returns id and status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/landstack/applications/{id}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 or officer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Status, timeline, allowed next actions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/landstack/applications/{id}/transition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Validated against transitions; writes audit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/landstack/queue?department=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Applications awaiting the department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/landstack/stats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officer, admin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KPIs and breakdowns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/landstack/consistency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Cross-department mismatches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 /landstack/connectors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Health, latency, last sync per source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/landstack/events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token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Inbound webhook; invalidates cache; raises alerts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/landstack/reports/{ulpin}; GET /reports/{id}.pdf; GET /verify/{id}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/ public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and verify a signed Land Information Report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/landstack/ai/change-detection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officer, admin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Δ metrics, label, confidence, imagery URLs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 /landstack/ai/extract-document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Structured RoR JSON with per-field confidence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6.2 Department endpoints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GET  /revenue/ror?ulpin=                  GET  /revenue/ror/{khata_no}        POST /revenue/mutations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GET  /registration/deeds?ulpin=           GET  /registration/encumbrances?ulpin=&amp;from=&amp;to=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POST /registration/deeds  (emits registration.deed_registered)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GET  /planning/zone?ulpin=                GET  /planning/permissions?ulpin=   POST /planning/permissions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GET  /fiscal/tax?ulpin=                   GET  /fiscal/valuation?ulpin=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GET  /legal/disputes?ulpin=               GET  /utilities/connections?ulpin=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Every department response carries an X-Source-System header and an as_of field, copied by the aggregator into provenance. In development mode department endpoints accept ?delay_ms= and ?fail=1 so degraded states can be rehearsed.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6.3 Event contract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POST /landstack/events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{ "event": "registration.deed_registered", "ulpin": "…", "source": "registration",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"occurred_at": "2026-09-13T10:41:00Z", "payload": { "doc_no": "…", "claimant": "…" } }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Events: registration.deed_registered · revenue.ror_updated · planning.permission_issued · legal.dispute_filed · fiscal.payment_received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Interoperability standards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Interoperability rests on three small contracts: an adapter interface, a declarative field mapping per source, and the event contract above.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class DepartmentAdapter(Protocol):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name: str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async def fetch(self, ulpin: str) -&gt; CDMFragment: ...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async def health(self) -&gt; Health: ...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def mapping(self) -&gt; dict[str, str]: ...   # source_field -&gt; cdm_field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adapters/revenue_tn.yaml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source: TN Patta Chitta (mock)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id_field: patta_no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map: { pattadar_name: party.owners[0].name, extent_hectares: rights.ror.extent_sqm }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units: { extent: hectare }      # converted to sqm on ingest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Admin console renders these mappings as tables, which is exactly what an integration officer configures when onboarding a state. Alignment with national frameworks: MeitY Metadata and Data Standards codes for state, district and village; API Setu conventions for publishing government APIs; the DEPA consent-artefact pattern for citizen access to personal fields; NGDRS as the precedent for push-based registration data; and the DoLR Glossary of Revenue Terms for field naming.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GIS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Exchange format. </w:t>
      </w:r>
      <w:r>
        <w:rPr>
          <w:rFonts w:ascii="Calibri" w:cs="Calibri" w:eastAsia="Calibri" w:hAnsi="Calibri"/>
          <w:sz w:val="22"/>
          <w:szCs w:val="22"/>
        </w:rPr>
        <w:t xml:space="preserve">GeoJSON (RFC 7946), which mandates WGS 84 (EPSG:4326).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Computation CRS. </w:t>
      </w:r>
      <w:r>
        <w:rPr>
          <w:rFonts w:ascii="Calibri" w:cs="Calibri" w:eastAsia="Calibri" w:hAnsi="Calibri"/>
          <w:sz w:val="22"/>
          <w:szCs w:val="22"/>
        </w:rPr>
        <w:t xml:space="preserve">Area, length and buffers in the local UTM zone (EPSG:32643 for 72–78°E, EPSG:32644 for 78–84°E) or PostGIS geography. Production adapters must reproject from state-specific Lambert Conformal Conic / Everest-datum cadastral sheets on ingest.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Tiles. </w:t>
      </w:r>
      <w:r>
        <w:rPr>
          <w:rFonts w:ascii="Calibri" w:cs="Calibri" w:eastAsia="Calibri" w:hAnsi="Calibri"/>
          <w:sz w:val="22"/>
          <w:szCs w:val="22"/>
        </w:rPr>
        <w:t xml:space="preserve">Mapbox Vector Tile specification via Martin; ST_Simplify below zoom 14; labels above zoom 16; feature id promoted from ulpin.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OGC services. </w:t>
      </w:r>
      <w:r>
        <w:rPr>
          <w:rFonts w:ascii="Calibri" w:cs="Calibri" w:eastAsia="Calibri" w:hAnsi="Calibri"/>
          <w:sz w:val="22"/>
          <w:szCs w:val="22"/>
        </w:rPr>
        <w:t xml:space="preserve">OGC API Features for our own collections; WMS 1.3 consumption for Bhuvan LULC; WFS 2.0 noted for future ingestion.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Topology rules. </w:t>
      </w:r>
      <w:r>
        <w:rPr>
          <w:rFonts w:ascii="Calibri" w:cs="Calibri" w:eastAsia="Calibri" w:hAnsi="Calibri"/>
          <w:sz w:val="22"/>
          <w:szCs w:val="22"/>
        </w:rPr>
        <w:t xml:space="preserve">Parcels within a village must not overlap and must not leave gaps; validated with ST_IsValid and a coverage check at seed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metadata. </w:t>
      </w:r>
      <w:r>
        <w:rPr>
          <w:rFonts w:ascii="Calibri" w:cs="Calibri" w:eastAsia="Calibri" w:hAnsi="Calibri"/>
          <w:sz w:val="22"/>
          <w:szCs w:val="22"/>
        </w:rPr>
        <w:t xml:space="preserve">Each layer carries source, capture date, positional accuracy and licence; exposed on GET /landstack/collections.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8.1 Layer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Tier</w:t>
            </w:r>
          </w:p>
        </w:tc>
        <w:tc>
          <w:tcPr>
            <w:tcW w:type="dxa" w:w="73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Layers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Cadastral parcels; survey-number labels; village and ward boundaries; ULPIN grid reference; basemap switch (streets / imagery)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Essential governance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Ownership type; registration status; encumbrance and mortgage; disputes; land use; master-plan zoning; building permissions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Use-case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Property-tax status; guideline-value heatmap; utilities lines; roads by class; restriction zones (flood, eco-sensitive, heritage); proposed infrastructure; satellite change alerts; Bhuvan LULC (optional)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Security framework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Authentication uses short-lived access tokens (15 minutes) and refresh tokens (7 days), HS256 in the prototype and RS256 with key rotation in production. Authorisation is a single dependency require(role, department) applied per route. Personal fields are masked for citizens unless a consent token scoped to the ULPIN and an expiry has been granted by the owner. Every write and every full-detail read appends to an audit table whose database role has INSERT only. Reports are hashed and HMAC-signed; the public verify endpoint returns issuance metadata and a validity verdict without personal data. Transport is HTTPS; CORS is restricted to the web origin; login and ownership-verification endpoints are rate limited. OWASP ASVS Level 1 is the baseline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100"/>
        <w:gridCol w:w="1300"/>
        <w:gridCol w:w="1400"/>
        <w:gridCol w:w="1300"/>
        <w:gridCol w:w="1100"/>
      </w:tblGrid>
      <w:tr>
        <w:trPr>
          <w:tblHeader/>
        </w:trPr>
        <w:tc>
          <w:tcPr>
            <w:tcW w:type="dxa" w:w="31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11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citizen</w:t>
            </w:r>
          </w:p>
        </w:tc>
        <w:tc>
          <w:tcPr>
            <w:tcW w:type="dxa" w:w="1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officer:revenue</w:t>
            </w:r>
          </w:p>
        </w:tc>
        <w:tc>
          <w:tcPr>
            <w:tcW w:type="dxa" w:w="14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officer:registration</w:t>
            </w:r>
          </w:p>
        </w:tc>
        <w:tc>
          <w:tcPr>
            <w:tcW w:type="dxa" w:w="1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officer:planning</w:t>
            </w:r>
          </w:p>
        </w:tc>
        <w:tc>
          <w:tcPr>
            <w:tcW w:type="dxa" w:w="11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map and base attributes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full owner name / document numbers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masked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ownership (yes/no)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application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Transition mutation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Transition building permission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deed (mock upstream)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change detection / assign field review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Connectors, mappings, consistency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audit timeline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UI/UX guidelines and colour schema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10.1 UI/UX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Role-first navigation: sign-in decides the landing surface; the map is a shared canvas reachable from every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Provenance is always visible: every data block shows its source system and as-of time; degraded sources say so instead of hiding.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Plain-language status names (Submitted, Under document check, Field verification, Approved) rather than internal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Bilingual labels (English plus the state language) as a design rule; the prototype ships English and Telugu strings for the citizen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WCAG 2.2 AA contrast; keyboard-reachable map controls; status never encoded by colour alone (icon or hatch added).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Empty, loading, partial and error states designed for every section before visual polish.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10.2 Colour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30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Colour</w:t>
            </w:r>
          </w:p>
        </w:tc>
        <w:tc>
          <w:tcPr>
            <w:tcW w:type="dxa" w:w="27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Hex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/ verified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 green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#0E6B54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/ attention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Amber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#9A6B12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Disputed / critical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Brick red with hatch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#A63A2B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Mortgaged / encumbered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Violet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#6B4E9A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Government land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Slate blue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#2F5D9E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 use: residential / commercial / agricultural / industrial / public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Muted sand / terracotta / leaf / graphite / blue-grey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#D9C39A / #C97B5B / #7FB069 / #6E6E6E / #8FA3B8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severity low / medium / high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Grey / amber / red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#77817B / #9A6B12 / #A63A2B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Neutral ground (light / dark)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Warm off-white / near-black green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#F6F5F0 / #14181A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All pairings pass a colour-blind simulation (deuteranopia and protanopia); disputed parcels additionally use a diagonal hatch and mortgaged parcels a dotted outline.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11. Deployment and scalability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11.1 Development and demo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db:     postgis/postgis:17-3.5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martin: ghcr.io/maplibre/martin:v1.8   (PostGIS -&gt; MVT)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redis:  redis:7-alpine                  (optional)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api:    ./apps/api  (FastAPI gateway + six department sub-apps)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web:    ./apps/web  (Vite build served by nginx)</w:t>
      </w:r>
    </w:p>
    <w:p>
      <w:pPr>
        <w:shd w:fill="F3F4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make up · make seed · make s2 · make demo-reset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public copy runs on Render (API), Vercel (web) and Neon (PostGIS) for judges to open on their own devices; the judged demo runs locally so it does not depend on venue connectivity. Sentinel-2 imagery and OCR results are pre-fetched so the AI features work offline.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11.2 Scaling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Scale</w:t>
            </w:r>
          </w:p>
        </w:tc>
        <w:tc>
          <w:tcPr>
            <w:tcW w:type="dxa" w:w="52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Changes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Prototype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village, 400–800 parcels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docker-compose on one machine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District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 lakh parcels, hundreds of officers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Managed PostGIS; gateway on 2+ replicas; Redis; object storage; real adapters for revenue and registration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5–50 lakh parcels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replicas; Martin behind CDN with nightly PMTiles; async job workers for AI; per-department adapter deployments; SSO with the state identity provider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National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states and UTs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Federated state gateways behind a discovery service keyed by ULPIN state prefix; common data model as the national schema; central audit and analytics lake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12. AI component: satellite land-use change detection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Sentinel-2 Level-2A scenes are located through the Microsoft Planetary Computer STAC API for two dry-season windows (for example January–March 2019 and January–March 2025) with cloud cover under ten percent. Bands B04, B08 and B11 are loaded with odc-stac, NDVI and NDBI are computed for each date, and zonal means are taken per parcel. Thresholds classify the change: ΔNDVI below −0.20 with ΔNDBI above +0.10 indicates vegetation to built-up; ΔNDVI below −0.20 alone indicates vegetation loss; ΔNDBI above +0.15 alone indicates new construction. Confidence is the clipped, normalised magnitude of the combined change, always shown with its thresholds. A parcel classified as built-up whose record of rights says agricultural and which has no building permission becomes a high-severity alert with a one-click field-review task.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method is deliberately index-based rather than a neural network: it runs on a laptop, it is explainable to a revenue officer in one sentence, and it can be made fully offline by caching two clipped Cloud-Optimised GeoTIFFs. An optional second feature extracts structured fields from scanned records of rights using a hosted vision model with schema-validated output and an offline Tesseract path.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13. Seven-day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Lane</w:t>
            </w:r>
          </w:p>
        </w:tc>
        <w:tc>
          <w:tcPr>
            <w:tcW w:type="dxa" w:w="1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skill</w:t>
            </w:r>
          </w:p>
        </w:tc>
        <w:tc>
          <w:tcPr>
            <w:tcW w:type="dxa" w:w="61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L1 Map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MapLibre, layer tree, hover/click, search, satellite panel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L2 Portals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portal, officer console, admin console, charts, forms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L3 Gateway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Auth, aggregator, adapters, workflow, audit, events, reports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L4 Data &amp; GIS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PostGIS schemas, seed script, Martin, department APIs, consistency checker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L5 AI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Sentinel-2 pipeline, offline imagery, alerts; OCR if time allows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L6 Docs &amp; QA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Either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Technical document, deck, demo script, deployment, rehearsals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60"/>
      </w:tblGrid>
      <w:tr>
        <w:trPr>
          <w:tblHeader/>
        </w:trPr>
        <w:tc>
          <w:tcPr>
            <w:tcW w:type="dxa" w:w="7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Day</w:t>
            </w:r>
          </w:p>
        </w:tc>
        <w:tc>
          <w:tcPr>
            <w:tcW w:type="dxa" w:w="43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Focus</w:t>
            </w:r>
          </w:p>
        </w:tc>
        <w:tc>
          <w:tcPr>
            <w:tcW w:type="dxa" w:w="43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Gate (must be true before the next day starts)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Repo, compose, auth, empty map, schemas, STAC smoke test, CDM frozen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works; imagery renders; schemas exist; STAC returns scenes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complete; department APIs; aggregator; parcels as tiles; profile drawer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 any parcel → full aggregated profile in under 500 ms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Three-tier layers; workflow engine; citizen forms; change-detection endpoint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Citizen mutation → officer queue → approval → RoR changes → timeline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Officer and admin consoles; events webhook; second adapter; satellite panel; deploy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sync demo works end to end from a clean reset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report and verify; error/partial states; OCR (optional); feature freeze 21:00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new features after freeze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Three timed rehearsals; chaos pass (kill a service, cut Wi-Fi); OpenAPI export; backup video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 passes 3 of 3 rehearsals from cold start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Buffer; README; second village if green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 v1.0; freeze the stage branch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13.1 Demo script (six minutes)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Problem: admin console shows six disconnected systems. 'Today Ravi visits six offices to learn one thing about one plot.'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Map: open the village on imagery; toggle base, essential and use-case tiers; colour by status.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One click: parcel 123/4; walk each department block and its source badge; open the timeline.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Interoperability, live: register a sale deed to Lakshmi Devi in the Registration mock; the parcel turns amber, the profile shows a mismatch banner, the revenue queue gains a mutation.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Citizen: as Lakshmi, verify ownership (masked), track the mutation, download the signed report and scan its QR.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Officer: approve the mutation with a remark; RoR updates; map returns to green; audit shows machine and human steps.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AI: satellite panel on parcel 124; 2019 vs 2025; NDVI −0.31, NDBI +0.18; vegetation to built-up at 91 percent; record says agricultural with no permission; send for field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Resilience: fail the fiscal service; profile degrades gracefully. Close on the technical document and OpenAPI pages: six systems, one key, open standards.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</w:rPr>
        <w:t xml:space="preserve">13.2 Risks and fallbacks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760"/>
            <w:shd w:fill="EEF3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Fallback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 script slips and blocks the team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Ship a 50-parcel hand-made GeoJSON on Day 1 evening; swap later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or poor venue internet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Everything local; basemap tiles cached in rehearsal; local Sentinel-2 rasters replace Esri imagery; OCR results pre-cached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Planetary Computer slow or changed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COGs are primary from Day 3; Copernicus Data Space account as second source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Bhuvan WMS down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flagged overlay; never on the demo path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Aggregator latency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Parallel fan-out with per-source timeout; 60 s cache; partial responses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OCR consumes Day 4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Gated behind the Day 4 interoperability gate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Questions about real ULPIN or data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plainly: ULPIN-style deterministic ID; synthetic cadastre in a real village; adapters are the integration path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Demo machine failure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 laptop with the same image; public URL; recorded video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Problem statement SIH26014 mirrors: sih2026.vuce.in/ps/SIH26014; zaidsayyed.in/tools/sih-problem-statements/sih26014; official portal sih.gov.in/sih2026PS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Land Stack pilot launch, PIB, 31 December 2025: pib.gov.in/PressReleasePage.aspx?PRID=2210204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ULPIN: dolr.gov.in/en/ulpin · NGDRS: dolr.gov.in/en/national-generic-document-registration-system · Glossary of Revenue Terms: dolr.gov.in/en/gort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Bhu-Naksha: nic.gov.in/project/bhunaksha · Bhuvan WMS: bhuvan.nrsc.gov.in/wiki/index.php/How_to_use_WMS_services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DataMeet Indian Village Boundaries: projects.datameet.org/indian_village_boundaries · Survey of India free maps: onlinemaps.surveyofindia.gov.in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Planetary Computer STAC and SAS signing: planetarycomputer.microsoft.com/docs · odc-stac: odc-stac.readthedocs.io · Copernicus Data Space FAQ: documentation.dataspace.copernicus.eu/FAQ.html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MapLibre GL JS: maplibre.org · react-map-gl: visgl.github.io/react-map-gl · Martin: maplibre.org/martin · OpenFreeMap: openfreemap.org · OSMF tile usage policy: operations.osmfoundation.org/policies/tiles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PostGIS Docker: github.com/postgis/docker-postgis · WeasyPrint: github.com/Kozea/WeasyPrint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Standards: OGC API Features (docs.ogc.org/is/17-069r4) · GeoJSON RFC 7946 · Mapbox Vector Tile spec · EPSG:32643/32644 · ISO 19152 LADM · MeitY MDDS (docs.apisetu.gov.in) · DEPA (indiastack.org/data.html)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3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360"/>
        <w:sz w:val="16"/>
        <w:szCs w:val="16"/>
      </w:rPr>
      <w:t xml:space="preserve">Land Stack · Standard Technical Document · SIH26014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E6B5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D23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A54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 Stack — Standard Technical Document and Build Plan</dc:title>
  <dc:creator>Team Land Stack</dc:creator>
  <cp:lastModifiedBy>Un-named</cp:lastModifiedBy>
  <cp:revision>1</cp:revision>
  <dcterms:created xsi:type="dcterms:W3CDTF">2026-09-12T20:15:58.643Z</dcterms:created>
  <dcterms:modified xsi:type="dcterms:W3CDTF">2026-09-12T20:15:58.643Z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