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B2A4A"/>
          <w:sz w:val="52"/>
          <w:szCs w:val="52"/>
        </w:rPr>
        <w:t xml:space="preserve">WBB Player Role Taxonomy</w:t>
      </w:r>
    </w:p>
    <w:p>
      <w:pPr>
        <w:spacing w:after="60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k = 6 Gaussian Mixture Model  ·  Locked Taxonomy v1.0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Player Role + Functional Archetypes Project</w:t>
      </w:r>
    </w:p>
    <w:p>
      <w:pPr>
        <w:spacing w:after="60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393 players  ·  2025–26 season  ·  March 2026</w:t>
      </w:r>
    </w:p>
    <w:p>
      <w:pPr>
        <w:pBdr>
          <w:bottom w:val="single" w:color="E88D67" w:sz="8" w:space="1"/>
        </w:pBdr>
        <w:spacing w:after="20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1.  Purpose &amp; Methodology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the locked, coaching-relevant role taxonomy for the WBB Player Intel dashboard. The k=6 clusters were fit using a Gaussian Mixture Model (GMM) on per-40-minute and efficiency metrics drawn from 393 Division I players who appear in Top-50 team rosters (2025–26 regular season).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taxonomy is intentionally stable — labels are derived from statistical centroids but interpreted through a coaching lens. Cluster IDs (C0–C5) are permanent identifiers. Labels may be refined in future seasons but the underlying GMM architecture (k=6) will not change without a formal re-training decision.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Metrics used in the GMM feature space: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USG% — Usage rate (possession share)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eFG% — Effective field goal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TOV% — Turnover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Points per 40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Rebounds per 40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Assists per 40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Stocks per 40 minutes (steals + blocks)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3PA share — three-point attempt share of total FGA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Filters applied before modeling: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did_not_play == False AND minutes &gt; 0 (active-game filter; ESPN active flag excluded as unreliable)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Regular season only (season_type =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8 qualified game appearances per player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2.  Cluster Summary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provides a one-row overview of each cluster. Detailed role profiles follow in Part 3.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480"/>
        <w:gridCol w:w="760"/>
        <w:gridCol w:w="760"/>
        <w:gridCol w:w="760"/>
        <w:gridCol w:w="760"/>
        <w:gridCol w:w="760"/>
        <w:gridCol w:w="66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Label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USG%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eFG%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TOV%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Stk/40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Pts/40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3PA%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9AF1"/>
                <w:sz w:val="18"/>
                <w:szCs w:val="18"/>
              </w:rPr>
              <w:t xml:space="preserve">C0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Stretch Defender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0.508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3.03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14.8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0"/>
                <w:sz w:val="18"/>
                <w:szCs w:val="18"/>
              </w:rPr>
              <w:t xml:space="preserve">C1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Complete Performer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8"/>
                <w:szCs w:val="18"/>
              </w:rPr>
              <w:t xml:space="preserve">0 †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8C9A8"/>
                <w:sz w:val="18"/>
                <w:szCs w:val="18"/>
              </w:rPr>
              <w:t xml:space="preserve">C2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Perimeter Contributor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15.4%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0.496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17.7%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2.15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Creator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21.7%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0.499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16.1%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2.53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17.5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C7A"/>
                <w:sz w:val="18"/>
                <w:szCs w:val="18"/>
              </w:rPr>
              <w:t xml:space="preserve">C4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Two-Way Elite Wing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25.9%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0.519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14.6%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4.75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21.5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Interior Anchor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20.0%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0.537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17.8%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3.35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17.3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B6B8A"/>
          <w:sz w:val="20"/>
          <w:szCs w:val="20"/>
        </w:rPr>
        <w:t xml:space="preserve">† C1 has zero players assigned in the current 393-player dataset. The archetype is theoretically defined and retained in k=6 for future-season readiness.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3.  Individual Role Profiles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profile below is locked. Field definitions are standardized across all six roles.</w:t>
      </w:r>
    </w:p>
    <w:p>
      <w:pPr>
        <w:spacing w:after="1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4E9AF1"/>
          <w:sz w:val="26"/>
          <w:szCs w:val="26"/>
        </w:rPr>
        <w:t xml:space="preserve">C0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Stretch Defender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19)</w:t>
      </w:r>
    </w:p>
    <w:p>
      <w:pPr>
        <w:pBdr>
          <w:bottom w:val="single" w:color="4E9AF1" w:sz="8" w:space="1"/>
        </w:pBdr>
        <w:spacing w:after="200" w:before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6B6B8A"/>
          <w:sz w:val="18"/>
          <w:szCs w:val="18"/>
        </w:rPr>
        <w:t xml:space="preserve">Centroid Stats:  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USG 17.6%  ·  eFG 0.508  ·  TOV 13%  ·  Stk/40 3.03  ·  Pts/40 14.8  ·  Reb/40 6.5  ·  Ast/40 2.88  ·  3PA% 60%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Floor-spacing perimeter player who guards across positions and lives behind the arc.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Three-point volume + defensive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Low–moderate (15–20%). Uses possessions efficiently via spot-up 3s; rarely the primary creator.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 (eFG ~.508). Conversion rate reflects decent 3P% on high volume; not elite finishers.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Low–moderate. Role clarity reduces game-to-game swings; can disappear vs. elite perimeter 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14–21%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.470–.545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10–16%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Very high 3PA share (~60%). Catch-and-shoot dominant; limited mid-range or rim attempts. Low FTA (rare contact).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3PA share &gt; 45% AND USG &lt; 22% AND stocks/40 &gt; 2.0. Medium: meets 2 of 3. Low: only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Hybrid with C3 if assists rise (assist-facilitating stretch). Hybrid with C2 if volume is very low. Watch for "mirage" eFG on small 3P sample (&lt;30 attempts).</w:t>
            </w:r>
          </w:p>
        </w:tc>
      </w:tr>
    </w:tbl>
    <w:p>
      <w:pPr>
        <w:spacing w:after="2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C0C0C0"/>
          <w:sz w:val="26"/>
          <w:szCs w:val="26"/>
        </w:rPr>
        <w:t xml:space="preserve">C1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Complete Performer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0)</w:t>
      </w:r>
    </w:p>
    <w:p>
      <w:pPr>
        <w:pBdr>
          <w:bottom w:val="single" w:color="C0C0C0" w:sz="8" w:space="1"/>
        </w:pBdr>
        <w:spacing w:after="200" w:before="4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B6B8A"/>
          <w:sz w:val="20"/>
          <w:szCs w:val="20"/>
        </w:rPr>
        <w:t xml:space="preserve">No centroid statistics available — C1 has zero players assigned in current dataset.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Transcendent, all-around elite — dominant scorer, playmaker, and defender simultaneously. No current players assigned.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Full statistical dominance across all five dimensions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Very high (26%+). The offense runs through this player; commands possessions at every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Elite (eFG &gt; .520 at high volume). Maintains efficiency despite defender attention and high usage.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Low-to-moderate. Consistent elite output; slight game-to-game variance from defensive scheming.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26%+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.510+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12–17%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Balanced. Creates own shot at all three levels (rim, mid, 3). High FTA from elite shot-creation. No positional restriction.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USG &gt; 25% AND eFG &gt; .510 AND AST/40 &gt; 4.0 AND stocks/40 &gt; 3.5. By definition, this player appears in all top-10 leaderboards simultaneously. n=0 in current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C1 is the theoretical apex — if a player approaches but does not meet all thresholds, they are more accurately C3 (shot creator) or C4 (two-way wing). Do not assign C1 generously; it should be rare.</w:t>
            </w:r>
          </w:p>
        </w:tc>
      </w:tr>
    </w:tbl>
    <w:p>
      <w:pPr>
        <w:spacing w:after="2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68C9A8"/>
          <w:sz w:val="26"/>
          <w:szCs w:val="26"/>
        </w:rPr>
        <w:t xml:space="preserve">C2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Perimeter Contributor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112)</w:t>
      </w:r>
    </w:p>
    <w:p>
      <w:pPr>
        <w:pBdr>
          <w:bottom w:val="single" w:color="68C9A8" w:sz="8" w:space="1"/>
        </w:pBdr>
        <w:spacing w:after="200" w:before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6B6B8A"/>
          <w:sz w:val="18"/>
          <w:szCs w:val="18"/>
        </w:rPr>
        <w:t xml:space="preserve">Centroid Stats:  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USG 15.4%  ·  eFG 0.496  ·  TOV 17.7%  ·  Stk/40 2.15  ·  Pts/40 13.1  ·  Reb/40 5.6  ·  Ast/40 2.8  ·  3PA% 49%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Low-usage support player who spaces the floor and keeps the engine running without demanding possessions.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Off-ball spacing + availability (high minutes / low foul 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 (13–17%). Lowest usage of any cluster; offense does not run through this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 (eFG ~.496). Slightly below league average; shooting range is adequate but not a weapon.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Low. Defined by consistency and role clarity; limited ceiling game-to-game.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13–18%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.455–.530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14–21%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 3PA share (~49%). Mix of catch-and-shoot 3s and interior finishes. Not a high-FTA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USG &lt; 18% AND fewest points/40 of starting options AND role is off-ball. Medium: USG 18–21% with low AST/40 and low stocks. Low: USG &gt; 21% (likely misassigned; check C3 or C5).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Hybrid with C0 if 3PA share is high (perimeter contributor who shoots a lot of 3s). Hybrid with C5 if rebounds are high (interior contributor). Lowest-minutes players cluster here; verify DNP filtering.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88D67"/>
          <w:sz w:val="26"/>
          <w:szCs w:val="26"/>
        </w:rPr>
        <w:t xml:space="preserve">C3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Shot Creator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136)</w:t>
      </w:r>
    </w:p>
    <w:p>
      <w:pPr>
        <w:pBdr>
          <w:bottom w:val="single" w:color="E88D67" w:sz="8" w:space="1"/>
        </w:pBdr>
        <w:spacing w:after="200" w:before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6B6B8A"/>
          <w:sz w:val="18"/>
          <w:szCs w:val="18"/>
        </w:rPr>
        <w:t xml:space="preserve">Centroid Stats:  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USG 21.7%  ·  eFG 0.499  ·  TOV 16.1%  ·  Stk/40 2.53  ·  Pts/40 17.5  ·  Reb/40 5.7  ·  Ast/40 4.17  ·  3PA% 36%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Primary offensive engine — gets their own shot off the dribble, draws fouls, and initiates for others.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Self-creation + playmaking (drive-and-kick, pick-and-roll)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Moderate–high (19–26%). Takes meaningful possession share; team runs plays for this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 (eFG ~.499). Efficiency dip from degree-of-difficulty; tough pull-ups and midrange create.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High. Creates variance from contested looks; will have cold shooting nights. Floor higher than eFG suggests due to FTA.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19–26%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.460–.540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13–20%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Mid-range and rim heavy (~36% 3PA). Off-the-dribble. Highest FTA of any cluster (fouls drawn = creation). Mix of pull-up 3s and drives.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USG &gt; 20% AND AST/40 &gt; 3.5 AND FTA/40 &gt; 3.0. Medium: meets 2 of 3. Low: USG elevated but low AST/FTA (might be high-volume C5 or C4).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Hybrid with C4 if stocks are also very high (two-way creator — extremely rare). Hybrid with C5 if rebounds dominate (power creator). Hybrid with C0 if 3PA share is very high and AST is low (spot-up creator, not initiator).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05C7A"/>
          <w:sz w:val="26"/>
          <w:szCs w:val="26"/>
        </w:rPr>
        <w:t xml:space="preserve">C4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Two-Way Elite Wing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8)</w:t>
      </w:r>
    </w:p>
    <w:p>
      <w:pPr>
        <w:pBdr>
          <w:bottom w:val="single" w:color="E05C7A" w:sz="8" w:space="1"/>
        </w:pBdr>
        <w:spacing w:after="200" w:before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6B6B8A"/>
          <w:sz w:val="18"/>
          <w:szCs w:val="18"/>
        </w:rPr>
        <w:t xml:space="preserve">Centroid Stats:  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USG 25.9%  ·  eFG 0.519  ·  TOV 14.6%  ·  Stk/40 4.75  ·  Pts/40 21.5  ·  Reb/40 8.4  ·  Ast/40 3.82  ·  3PA% 34%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The rarest archetype — a high-usage offensive weapon who also leads in defensive disruption.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Defensive disruption (stocks) + offensive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 (22–30%). Commands the most possession of any cluster; attack-mode offense.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Good (eFG ~.519). Maintains solid efficiency at very high usage; above-average shot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Moderate–high. Game-to-game swings driven by defensive gameplanning and foul trouble.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22–30%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.485–.555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12–18%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Mix (~34% 3PA). Versatile shot diet — rim, 3, and some mid. High FTA from aggressive drives. Defensive: steals + blocks at elite rates.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USG &gt; 23% AND stocks/40 &gt; 3.5 AND points/40 &gt; 18. This is the most restrictive threshold; n=8 reflects genuine rarity. Medium: meets 2 of 3. Low: high stocks but low USG (likely C0 or C2 defensive specialist; not C4).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Most likely to be mislabeled if defensive counting stats (stocks) inflate in small-sample games. Verify over a 10+ game window. Hybrid with C3 if stocks drop; hybrid with C0 if USG drops sharply.</w:t>
            </w:r>
          </w:p>
        </w:tc>
      </w:tr>
    </w:tbl>
    <w:p>
      <w:pPr>
        <w:spacing w:after="2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AA96DA"/>
          <w:sz w:val="26"/>
          <w:szCs w:val="26"/>
        </w:rPr>
        <w:t xml:space="preserve">C5</w:t>
      </w:r>
      <w:r>
        <w:rPr>
          <w:rFonts w:ascii="Arial" w:cs="Arial" w:eastAsia="Arial" w:hAnsi="Arial"/>
          <w:sz w:val="26"/>
          <w:szCs w:val="26"/>
        </w:rPr>
        <w:t xml:space="preserve">  </w:t>
      </w: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Interior Anchor</w:t>
      </w:r>
      <w:r>
        <w:rPr>
          <w:rFonts w:ascii="Arial" w:cs="Arial" w:eastAsia="Arial" w:hAnsi="Arial"/>
          <w:color w:val="6B6B8A"/>
          <w:sz w:val="20"/>
          <w:szCs w:val="20"/>
        </w:rPr>
        <w:t xml:space="preserve">  (n = 118)</w:t>
      </w:r>
    </w:p>
    <w:p>
      <w:pPr>
        <w:pBdr>
          <w:bottom w:val="single" w:color="AA96DA" w:sz="8" w:space="1"/>
        </w:pBdr>
        <w:spacing w:after="200" w:before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6B6B8A"/>
          <w:sz w:val="18"/>
          <w:szCs w:val="18"/>
        </w:rPr>
        <w:t xml:space="preserve">Centroid Stats:  </w:t>
      </w:r>
      <w:r>
        <w:rPr>
          <w:rFonts w:ascii="Arial" w:cs="Arial" w:eastAsia="Arial" w:hAnsi="Arial"/>
          <w:color w:val="6B6B8A"/>
          <w:sz w:val="18"/>
          <w:szCs w:val="18"/>
        </w:rPr>
        <w:t xml:space="preserve">USG 20%  ·  eFG 0.537  ·  TOV 17.8%  ·  Stk/40 3.35  ·  Pts/40 17.3  ·  Reb/40 10.6  ·  Ast/40 2.14  ·  3PA% 8%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One-Liner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Post-up and roll scoring with elite rebounding dominance; operates inside the arc.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Primary Value 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Interior scoring + rebounding + paint presence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Usage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Moderate–high (17–24%). Efficient possession usage via post, cuts, and short-roll.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Efficiency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Highest of all clusters (eFG ~.537). Interior shots and close-range finishes drive high conversion.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Variability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Low–moderate. Consistent post/roll production; variance comes from foul trouble and matchup.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USG%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17–24%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eFG%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.500–.575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Typical TOV%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14–22%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Shot Profile / Tendency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Near-zero 3PA share (~8%). Post, roll-to-rim, and catch-in-paint. Highest free-throw draw after C3. Rarely attempts shots beyond 12 feet.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Role Confidence Def.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High: 3PA share &lt; 15% AND reb/40 &gt; 8.0 AND eFG &gt; .510. Medium: meets 2 of 3. Low: moderate rebounding AND low 3PA (could be a forward clogging paint without interior dominance).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A4A"/>
                <w:sz w:val="18"/>
                <w:szCs w:val="18"/>
              </w:rPr>
              <w:t xml:space="preserve">Edge Case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9"/>
                <w:szCs w:val="19"/>
              </w:rPr>
              <w:t xml:space="preserve">Hybrid with C3 if assists rise (passing big). Hybrid with C5/C4 borderline if USG spikes AND stocks rise. "Stretch big" who occasionally shoots 3s may show moderate 3PA despite interior orientation; use shot chart context.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4.  Role Confidence Framework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GMM assigns each player a role_confidence (rc) value between 0 and 1, representing the posterior probability of their primary cluster assignment. A confidence of 1.0 means the GMM is certain; values below 0.70 indicate meaningful overlap with adjacent clusters.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 Range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 &amp; 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≥ 0.85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Player fits their role cleanly. Use label as-is in scouting reports, lineup analysis, and comp matching. High-confidence players define the cluster's archetype.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62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0.70 – 0.84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Player fits their role but shows some attributes of a neighboring cluster. Appropriate to label normally but add a note (e.g., "C3 with C5 tendencies"). Monitor for role evolution.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&lt; 0.70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Hybrid player — attributes span two clusters. Apply the primary label with explicit "hybrid" notation. See Part 5 for all 18 Low-confidence players identified in the current dataset.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5.  Hybrid &amp; Edge-Case Players (rc &lt; 0.70)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18 players in the current 393-player dataset have a role confidence below 0.70. These are not errors — they represent genuinely versatile players whose statistical profile straddles two archetypes. They should be labeled with their primary cluster but flagged in analytics outputs.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80"/>
        <w:gridCol w:w="88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Hybrid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Jalynn Bristow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C7A"/>
                <w:sz w:val="18"/>
                <w:szCs w:val="18"/>
              </w:rPr>
              <w:t xml:space="preserve">C4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C4/C3 — two-way wing with shot-creator tendencies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Cearah Parchment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C3/C4 — creator with elevated defensive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Anaëlle Dutat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0.519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C5/C3 — interior anchor showing perimeter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Kennedy Townsend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0.531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C3/C5 — shot creator with strong interior presence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 Crooks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0.542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C5/C3 — dominant interior player with creation tendencies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Amaya Hamilton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0.558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C3/C5 — versatile scorer blending creation and post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Indya Nivar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8C9A8"/>
                <w:sz w:val="18"/>
                <w:szCs w:val="18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0.561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C2/C0 — contributor with stretch defender attributes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Aicha Coulibaly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0.563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C5/C4 — interior anchor with two-way disruption potential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Essence Cody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9AF1"/>
                <w:sz w:val="18"/>
                <w:szCs w:val="18"/>
              </w:rPr>
              <w:t xml:space="preserve">C0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0.574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C0/C2 — stretch defender on contributor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Jayla Hemingway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0.581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C3/C0 — creator with high 3PA share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Brynn Farris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8C9A8"/>
                <w:sz w:val="18"/>
                <w:szCs w:val="18"/>
              </w:rPr>
              <w:t xml:space="preserve">C2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0.591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C2/C3 — contributor trending toward creator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Elise Swinson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0.598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C5/C2 — interior presence with contributor-level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Sarah Shematsi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9AF1"/>
                <w:sz w:val="18"/>
                <w:szCs w:val="18"/>
              </w:rPr>
              <w:t xml:space="preserve">C0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C0/C3 — stretch defender who creates off the dribble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Sade Obaifa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0.623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C3/C2 — creator trending lower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Chanler Cooks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96DA"/>
                <w:sz w:val="18"/>
                <w:szCs w:val="18"/>
              </w:rPr>
              <w:t xml:space="preserve">C5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0.634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C5/C3 — post player showing face-up tendencies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Deja Kelly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0.641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C3/C4 — shot creator approaching two-way elite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MiLaysia Fulwiley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8D67"/>
                <w:sz w:val="18"/>
                <w:szCs w:val="18"/>
              </w:rPr>
              <w:t xml:space="preserve">C3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0.652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C3/C4 — high-energy creator with defensive upside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Carrie Ann Lewis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9AF1"/>
                <w:sz w:val="18"/>
                <w:szCs w:val="18"/>
              </w:rPr>
              <w:t xml:space="preserve">C0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0.668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C0/C3 — stretch/creator hybrid on moderate minutes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6.  Master Taxonomy Reference Table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row per role. All 13 fields specified in the taxonomy schema. C1 cells marked — where no data exists.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 Stretch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 Complete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 Perimeter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 Shot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 Two-Way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C5 Interior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cluster_id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role_label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Stretch Defender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Perimeter Contributor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Shot Creator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Two-Way Elite Wing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Interior Anchor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role_one_liner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Floor-spacing perimeter player who guards across position...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Low-usage support player who spaces the floor and keeps t...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Primary offensive engine — gets their own shot off the dr...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The rarest archetype — a high-usage offensive weapon who 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Post-up and roll scoring with elite rebounding dominance;...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primary_value_driver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Three-point volume + defensive range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Off-ball spacing + availability (high minutes / low foul rate)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Self-creation + playmaking (drive-and-kick, pick-and-roll)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Defensive disruption (stocks) + offensive volume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Interior scoring + rebounding + paint presence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usage_profile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Low–moderate (15–20%)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 (13–17%)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Moderate–high (19–26%)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High (22–30%)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Moderate–high (17–24%)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efficiency_profile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 (eFG ~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 (eFG ~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 (eFG ~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Good (eFG ~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Highest of all clusters (eFG ~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variability_profile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Low–moderate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Moderate–high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Low–moderate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typical_usg_range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14–21%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13–18%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19–26%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22–30%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17–24%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typical_efg_range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.470–.545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.455–.530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.460–.540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.485–.555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.500–.575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typical_tov_range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10–16%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14–21%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13–20%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12–18%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14–22%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shot_profile_tendency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Very high 3PA share (~60%)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Moderate 3PA share (~49%)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Mid-range and rim heavy (~36% 3PA)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Mix (~34% 3PA)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Near-zero 3PA share (~8%)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role_confidence_def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2A4A"/>
                <w:sz w:val="16"/>
                <w:szCs w:val="16"/>
              </w:rPr>
              <w:t xml:space="preserve">edge_case_notes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B8A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See Part 3 / Part 5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7.  Taxonomy Constraints &amp; Governance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6B8A"/>
          <w:sz w:val="22"/>
          <w:szCs w:val="22"/>
        </w:rPr>
        <w:t xml:space="preserve">Immutable constraints (do not change without re-training)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 = 6 is fixed. Adding or removing clusters invalidates historical comparisons and the existing GMM weights.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Cluster IDs (C0–C5) are permanent identifiers. Labels may evolve; IDs must not.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C1 is retained with n=0. It represents a theoretical ceiling and must remain available for future-season assignment.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Feature set (8 metrics) is locked for this version. Changing features requires a full re-training and re-labeling cycle.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6B8A"/>
          <w:sz w:val="22"/>
          <w:szCs w:val="22"/>
        </w:rPr>
        <w:t xml:space="preserve">Allowed updates (no re-training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Role one-liners and edge case notes may be refined as coaching context evolves.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Typical range tables may be updated each season as centroid stats are recalculated.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Confidence thresholds (High/Medium/Low) may be adjusted based on empirical review of hybrid player accuracy.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6B8A"/>
          <w:sz w:val="22"/>
          <w:szCs w:val="22"/>
        </w:rPr>
        <w:t xml:space="preserve">Re-training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C1 remains empty for two consecutive full seasons (suggests the theoretical ceiling archetype is unreachable in the current game).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Hybrid player rate (rc &lt; 0.70) exceeds 15% of total dataset in a single season.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meaningful rule change (e.g., 4-point line, expanded shot clock) substantially shifts league-wide shot profile distributions.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2A4A"/>
          <w:sz w:val="26"/>
          <w:szCs w:val="26"/>
        </w:rPr>
        <w:t xml:space="preserve">8. 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March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Initial locked taxonomy. 393 players, 2025–26 regular season. GMM fit confirmed. C1 documented as n=0 theoretical archetype. 18 hybrid players identified (rc &lt; 0.70).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8"/>
                <w:szCs w:val="18"/>
              </w:rPr>
              <w:t xml:space="preserve">v1.1+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8"/>
                <w:szCs w:val="18"/>
              </w:rPr>
              <w:t xml:space="preserve">TBD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8"/>
                <w:szCs w:val="18"/>
              </w:rPr>
              <w:t xml:space="preserve">Reserved for range table updates after full-season data is available.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8A"/>
        <w:sz w:val="16"/>
        <w:szCs w:val="16"/>
      </w:rPr>
      <w:t xml:space="preserve">Page </w:t>
    </w:r>
    <w:r>
      <w:rPr>
        <w:rFonts w:ascii="Arial" w:cs="Arial" w:eastAsia="Arial" w:hAnsi="Arial"/>
        <w:color w:val="6B6B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D67" w:sz="4" w:space="1"/>
      </w:pBdr>
      <w:jc w:val="right"/>
    </w:pPr>
    <w:r>
      <w:rPr>
        <w:rFonts w:ascii="Arial" w:cs="Arial" w:eastAsia="Arial" w:hAnsi="Arial"/>
        <w:color w:val="6B6B8A"/>
        <w:sz w:val="16"/>
        <w:szCs w:val="16"/>
      </w:rPr>
      <w:t xml:space="preserve">WBB Player Role Taxonomy  |  k=6 GMM  |  v1.0 — 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2026-03-25T10:50:39.591Z</dcterms:created>
  <dcterms:modified xsi:type="dcterms:W3CDTF">2026-03-25T10:50:39.596Z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