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RAPPORT D'ADÉQUATION</w:t>
      </w:r>
    </w:p>
    <w:p>
      <w:pPr>
        <w:pStyle w:val="Heading1"/>
      </w:pPr>
      <w:r>
        <w:t>INFORMATIONS CLIENT</w:t>
      </w:r>
    </w:p>
    <w:p>
      <w:r>
        <w:rPr>
          <w:b/>
        </w:rPr>
        <w:t xml:space="preserve">Nom: </w:t>
      </w:r>
      <w:r>
        <w:t>Test Prénop TEST NOM</w:t>
        <w:br/>
      </w:r>
      <w:r>
        <w:rPr>
          <w:b/>
        </w:rPr>
        <w:t xml:space="preserve">Email: </w:t>
      </w:r>
      <w:r>
        <w:t>test@email.com</w:t>
        <w:br/>
      </w:r>
    </w:p>
    <w:p>
      <w:pPr>
        <w:pStyle w:val="Heading1"/>
      </w:pPr>
      <w:r>
        <w:t>SITUATION FINANCIÈRE</w:t>
      </w:r>
    </w:p>
    <w:p/>
    <w:p>
      <w:pPr>
        <w:pStyle w:val="Heading1"/>
      </w:pPr>
      <w:r>
        <w:t>PROFIL INVESTISSEUR</w:t>
      </w:r>
    </w:p>
    <w:p>
      <w:r>
        <w:rPr>
          <w:b/>
        </w:rPr>
        <w:t xml:space="preserve">Tolérance au risque: </w:t>
      </w:r>
      <w:r>
        <w:t>Moyenne</w:t>
        <w:br/>
      </w:r>
      <w:r>
        <w:rPr>
          <w:b/>
        </w:rPr>
        <w:t xml:space="preserve">Horizon d'investissement: </w:t>
      </w:r>
      <w:r>
        <w:t>Moyen terme (2-5 ans)</w:t>
        <w:br/>
      </w:r>
      <w:r>
        <w:rPr>
          <w:b/>
        </w:rPr>
        <w:t xml:space="preserve">Expérience financière: </w:t>
      </w:r>
      <w:r>
        <w:t>intermediaire</w:t>
        <w:br/>
      </w:r>
      <w:r>
        <w:rPr>
          <w:b/>
        </w:rPr>
        <w:t xml:space="preserve">Score de profil: </w:t>
      </w:r>
      <w:r>
        <w:t>3/5</w:t>
        <w:br/>
      </w:r>
    </w:p>
    <w:p>
      <w:pPr>
        <w:pStyle w:val="Heading1"/>
      </w:pPr>
      <w:r>
        <w:t>RECOMMANDATIONS</w:t>
      </w:r>
    </w:p>
    <w:p>
      <w:pPr>
        <w:pStyle w:val="ListBullet"/>
      </w:pPr>
      <w:r>
        <w:t>Équilibrer entre sécurité (60%) et croissance (40%)</w:t>
      </w:r>
    </w:p>
    <w:p>
      <w:pPr>
        <w:pStyle w:val="ListBullet"/>
      </w:pPr>
      <w:r>
        <w:t>Investir en unités de compte diversifiées</w:t>
      </w:r>
    </w:p>
    <w:p>
      <w:pPr>
        <w:pStyle w:val="ListBullet"/>
      </w:pPr>
      <w:r>
        <w:t>Privilégier les fonds mixtes équilibrés</w:t>
      </w:r>
    </w:p>
    <w:p>
      <w:pPr>
        <w:pStyle w:val="ListBullet"/>
      </w:pPr>
      <w:r>
        <w:t>Envisager l'immobilier locatif ou les SCPI</w:t>
      </w:r>
    </w:p>
    <w:p>
      <w:pPr>
        <w:pStyle w:val="ListBullet"/>
      </w:pPr>
      <w:r>
        <w:t>Équilibrer rendement et accessibilité des fonds</w:t>
      </w:r>
    </w:p>
    <w:p>
      <w:r>
        <w:br/>
        <w:br/>
      </w:r>
    </w:p>
    <w:p>
      <w:r>
        <w:t>Rapport généré le 02/09/2025 à 09:50</w:t>
        <w:br/>
      </w:r>
      <w:r>
        <w:t>Conseiller en Gestion de Patrimoine</w:t>
        <w:br/>
      </w:r>
      <w:r>
        <w:t>Signature: 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