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01D10016" w:rsidR="002735F5" w:rsidRPr="00A416A3"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1B81F77D" w14:textId="5A5BCD88"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bookmarkStart w:id="0" w:name="_GoBack"/>
      <w:bookmarkEnd w:id="0"/>
      <w:r w:rsidRPr="00A416A3">
        <w:rPr>
          <w:rFonts w:ascii="Times New Roman" w:hAnsi="Times New Roman" w:cs="Times New Roman"/>
          <w:sz w:val="24"/>
          <w:szCs w:val="24"/>
        </w:rPr>
        <w:t>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id w:val="1350366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D17825">
          <w:pPr>
            <w:pStyle w:val="TOC2"/>
            <w:tabs>
              <w:tab w:val="right" w:leader="dot" w:pos="9350"/>
            </w:tabs>
            <w:rPr>
              <w:rFonts w:ascii="Times New Roman" w:hAnsi="Times New Roman" w:cs="Times New Roman"/>
              <w:noProof/>
              <w:sz w:val="24"/>
              <w:szCs w:val="24"/>
            </w:rPr>
          </w:pPr>
          <w:hyperlink w:anchor="_Toc488915894" w:history="1">
            <w:r w:rsidRPr="00D17825">
              <w:rPr>
                <w:rStyle w:val="Hyperlink"/>
                <w:rFonts w:ascii="Times New Roman" w:hAnsi="Times New Roman" w:cs="Times New Roman"/>
                <w:noProof/>
                <w:color w:val="auto"/>
                <w:sz w:val="24"/>
                <w:szCs w:val="24"/>
              </w:rPr>
              <w:t>The Players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_Toc488915894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0D0E39D7" w14:textId="76E9664F" w:rsidR="00D17825" w:rsidRPr="00D17825" w:rsidRDefault="00D17825">
          <w:pPr>
            <w:pStyle w:val="TOC2"/>
            <w:tabs>
              <w:tab w:val="right" w:leader="dot" w:pos="9350"/>
            </w:tabs>
            <w:rPr>
              <w:rFonts w:ascii="Times New Roman" w:hAnsi="Times New Roman" w:cs="Times New Roman"/>
              <w:noProof/>
              <w:sz w:val="24"/>
              <w:szCs w:val="24"/>
            </w:rPr>
          </w:pPr>
          <w:hyperlink w:anchor="_Toc488915895" w:history="1">
            <w:r w:rsidRPr="00D17825">
              <w:rPr>
                <w:rStyle w:val="Hyperlink"/>
                <w:rFonts w:ascii="Times New Roman" w:hAnsi="Times New Roman" w:cs="Times New Roman"/>
                <w:noProof/>
                <w:color w:val="auto"/>
                <w:sz w:val="24"/>
                <w:szCs w:val="24"/>
              </w:rPr>
              <w:t>Details of the Dynamic Game</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_Toc488915895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6</w:t>
            </w:r>
            <w:r w:rsidRPr="00D17825">
              <w:rPr>
                <w:rFonts w:ascii="Times New Roman" w:hAnsi="Times New Roman" w:cs="Times New Roman"/>
                <w:noProof/>
                <w:webHidden/>
                <w:sz w:val="24"/>
                <w:szCs w:val="24"/>
              </w:rPr>
              <w:fldChar w:fldCharType="end"/>
            </w:r>
          </w:hyperlink>
        </w:p>
        <w:p w14:paraId="75CDABBE" w14:textId="3FC40176" w:rsidR="00D17825" w:rsidRPr="00D17825" w:rsidRDefault="00D17825">
          <w:pPr>
            <w:pStyle w:val="TOC1"/>
            <w:tabs>
              <w:tab w:val="right" w:leader="dot" w:pos="9350"/>
            </w:tabs>
            <w:rPr>
              <w:rFonts w:ascii="Times New Roman" w:hAnsi="Times New Roman" w:cs="Times New Roman"/>
              <w:noProof/>
              <w:sz w:val="24"/>
              <w:szCs w:val="24"/>
            </w:rPr>
          </w:pPr>
          <w:hyperlink w:anchor="_Toc488915896" w:history="1">
            <w:r w:rsidRPr="00D17825">
              <w:rPr>
                <w:rStyle w:val="Hyperlink"/>
                <w:rFonts w:ascii="Times New Roman" w:hAnsi="Times New Roman" w:cs="Times New Roman"/>
                <w:noProof/>
                <w:color w:val="auto"/>
                <w:sz w:val="24"/>
                <w:szCs w:val="24"/>
              </w:rPr>
              <w:t>Explaining the “Status Quo” Equilibrium</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_Toc488915896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7</w:t>
            </w:r>
            <w:r w:rsidRPr="00D17825">
              <w:rPr>
                <w:rFonts w:ascii="Times New Roman" w:hAnsi="Times New Roman" w:cs="Times New Roman"/>
                <w:noProof/>
                <w:webHidden/>
                <w:sz w:val="24"/>
                <w:szCs w:val="24"/>
              </w:rPr>
              <w:fldChar w:fldCharType="end"/>
            </w:r>
          </w:hyperlink>
        </w:p>
        <w:p w14:paraId="6E429287" w14:textId="5C0EA260" w:rsidR="00D17825" w:rsidRPr="00D17825" w:rsidRDefault="00D17825">
          <w:pPr>
            <w:pStyle w:val="TOC2"/>
            <w:tabs>
              <w:tab w:val="right" w:leader="dot" w:pos="9350"/>
            </w:tabs>
            <w:rPr>
              <w:rFonts w:ascii="Times New Roman" w:hAnsi="Times New Roman" w:cs="Times New Roman"/>
              <w:noProof/>
              <w:sz w:val="24"/>
              <w:szCs w:val="24"/>
            </w:rPr>
          </w:pPr>
          <w:hyperlink w:anchor="_Toc488915897" w:history="1">
            <w:r w:rsidRPr="00D17825">
              <w:rPr>
                <w:rStyle w:val="Hyperlink"/>
                <w:rFonts w:ascii="Times New Roman" w:hAnsi="Times New Roman" w:cs="Times New Roman"/>
                <w:noProof/>
                <w:color w:val="auto"/>
                <w:sz w:val="24"/>
                <w:szCs w:val="24"/>
              </w:rPr>
              <w:t>Discussion of the Status Quo Equilibrium</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_Toc488915897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9</w:t>
            </w:r>
            <w:r w:rsidRPr="00D17825">
              <w:rPr>
                <w:rFonts w:ascii="Times New Roman" w:hAnsi="Times New Roman" w:cs="Times New Roman"/>
                <w:noProof/>
                <w:webHidden/>
                <w:sz w:val="24"/>
                <w:szCs w:val="24"/>
              </w:rPr>
              <w:fldChar w:fldCharType="end"/>
            </w:r>
          </w:hyperlink>
        </w:p>
        <w:p w14:paraId="0AFC44A6" w14:textId="5D5594C3" w:rsidR="00D17825" w:rsidRPr="00D17825" w:rsidRDefault="00D17825">
          <w:pPr>
            <w:pStyle w:val="TOC2"/>
            <w:tabs>
              <w:tab w:val="right" w:leader="dot" w:pos="9350"/>
            </w:tabs>
            <w:rPr>
              <w:rFonts w:ascii="Times New Roman" w:hAnsi="Times New Roman" w:cs="Times New Roman"/>
              <w:noProof/>
              <w:sz w:val="24"/>
              <w:szCs w:val="24"/>
            </w:rPr>
          </w:pPr>
          <w:hyperlink w:anchor="_Toc488915898" w:history="1">
            <w:r w:rsidRPr="00D17825">
              <w:rPr>
                <w:rStyle w:val="Hyperlink"/>
                <w:rFonts w:ascii="Times New Roman" w:hAnsi="Times New Roman" w:cs="Times New Roman"/>
                <w:noProof/>
                <w:color w:val="auto"/>
                <w:sz w:val="24"/>
                <w:szCs w:val="24"/>
              </w:rPr>
              <w:t>Alternative Outcomes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_Toc488915898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10</w:t>
            </w:r>
            <w:r w:rsidRPr="00D17825">
              <w:rPr>
                <w:rFonts w:ascii="Times New Roman" w:hAnsi="Times New Roman" w:cs="Times New Roman"/>
                <w:noProof/>
                <w:webHidden/>
                <w:sz w:val="24"/>
                <w:szCs w:val="24"/>
              </w:rPr>
              <w:fldChar w:fldCharType="end"/>
            </w:r>
          </w:hyperlink>
        </w:p>
        <w:p w14:paraId="0AE254AC" w14:textId="1E1D437E" w:rsidR="00D17825" w:rsidRPr="00D17825" w:rsidRDefault="00D17825">
          <w:pPr>
            <w:pStyle w:val="TOC1"/>
            <w:tabs>
              <w:tab w:val="right" w:leader="dot" w:pos="9350"/>
            </w:tabs>
            <w:rPr>
              <w:rFonts w:ascii="Times New Roman" w:hAnsi="Times New Roman" w:cs="Times New Roman"/>
              <w:noProof/>
              <w:sz w:val="24"/>
              <w:szCs w:val="24"/>
            </w:rPr>
          </w:pPr>
          <w:hyperlink w:anchor="_Toc488915899" w:history="1">
            <w:r w:rsidRPr="00D17825">
              <w:rPr>
                <w:rStyle w:val="Hyperlink"/>
                <w:rFonts w:ascii="Times New Roman" w:hAnsi="Times New Roman" w:cs="Times New Roman"/>
                <w:noProof/>
                <w:color w:val="auto"/>
                <w:sz w:val="24"/>
                <w:szCs w:val="24"/>
              </w:rPr>
              <w:t>How Unrecognized Statehood Ends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_Toc488915899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10</w:t>
            </w:r>
            <w:r w:rsidRPr="00D17825">
              <w:rPr>
                <w:rFonts w:ascii="Times New Roman" w:hAnsi="Times New Roman" w:cs="Times New Roman"/>
                <w:noProof/>
                <w:webHidden/>
                <w:sz w:val="24"/>
                <w:szCs w:val="24"/>
              </w:rPr>
              <w:fldChar w:fldCharType="end"/>
            </w:r>
          </w:hyperlink>
        </w:p>
        <w:p w14:paraId="27D6FF16" w14:textId="2CA8E7F5" w:rsidR="00D17825" w:rsidRPr="00D17825" w:rsidRDefault="00D17825">
          <w:pPr>
            <w:pStyle w:val="TOC2"/>
            <w:tabs>
              <w:tab w:val="right" w:leader="dot" w:pos="9350"/>
            </w:tabs>
            <w:rPr>
              <w:rFonts w:ascii="Times New Roman" w:hAnsi="Times New Roman" w:cs="Times New Roman"/>
              <w:noProof/>
              <w:sz w:val="24"/>
              <w:szCs w:val="24"/>
            </w:rPr>
          </w:pPr>
          <w:hyperlink w:anchor="_Toc488915900" w:history="1">
            <w:r w:rsidRPr="00D17825">
              <w:rPr>
                <w:rStyle w:val="Hyperlink"/>
                <w:rFonts w:ascii="Times New Roman" w:hAnsi="Times New Roman" w:cs="Times New Roman"/>
                <w:noProof/>
                <w:color w:val="auto"/>
                <w:sz w:val="24"/>
                <w:szCs w:val="24"/>
              </w:rPr>
              <w:t>Reunification via Military Reconquest</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_Toc488915900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11</w:t>
            </w:r>
            <w:r w:rsidRPr="00D17825">
              <w:rPr>
                <w:rFonts w:ascii="Times New Roman" w:hAnsi="Times New Roman" w:cs="Times New Roman"/>
                <w:noProof/>
                <w:webHidden/>
                <w:sz w:val="24"/>
                <w:szCs w:val="24"/>
              </w:rPr>
              <w:fldChar w:fldCharType="end"/>
            </w:r>
          </w:hyperlink>
        </w:p>
        <w:p w14:paraId="7E04B618" w14:textId="4E851189" w:rsidR="00D17825" w:rsidRPr="00D17825" w:rsidRDefault="00D17825">
          <w:pPr>
            <w:pStyle w:val="TOC2"/>
            <w:tabs>
              <w:tab w:val="right" w:leader="dot" w:pos="9350"/>
            </w:tabs>
            <w:rPr>
              <w:rFonts w:ascii="Times New Roman" w:hAnsi="Times New Roman" w:cs="Times New Roman"/>
              <w:noProof/>
              <w:sz w:val="24"/>
              <w:szCs w:val="24"/>
            </w:rPr>
          </w:pPr>
          <w:hyperlink w:anchor="_Toc488915901" w:history="1">
            <w:r w:rsidRPr="00D17825">
              <w:rPr>
                <w:rStyle w:val="Hyperlink"/>
                <w:rFonts w:ascii="Times New Roman" w:hAnsi="Times New Roman" w:cs="Times New Roman"/>
                <w:noProof/>
                <w:color w:val="auto"/>
                <w:sz w:val="24"/>
                <w:szCs w:val="24"/>
              </w:rPr>
              <w:t>Negotiated Reunification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_Toc488915901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12</w:t>
            </w:r>
            <w:r w:rsidRPr="00D17825">
              <w:rPr>
                <w:rFonts w:ascii="Times New Roman" w:hAnsi="Times New Roman" w:cs="Times New Roman"/>
                <w:noProof/>
                <w:webHidden/>
                <w:sz w:val="24"/>
                <w:szCs w:val="24"/>
              </w:rPr>
              <w:fldChar w:fldCharType="end"/>
            </w:r>
          </w:hyperlink>
        </w:p>
        <w:p w14:paraId="15CAC563" w14:textId="463B1B60" w:rsidR="00D17825" w:rsidRPr="00D17825" w:rsidRDefault="00D17825">
          <w:pPr>
            <w:pStyle w:val="TOC2"/>
            <w:tabs>
              <w:tab w:val="right" w:leader="dot" w:pos="9350"/>
            </w:tabs>
            <w:rPr>
              <w:rFonts w:ascii="Times New Roman" w:hAnsi="Times New Roman" w:cs="Times New Roman"/>
              <w:noProof/>
              <w:sz w:val="24"/>
              <w:szCs w:val="24"/>
            </w:rPr>
          </w:pPr>
          <w:hyperlink w:anchor="_Toc488915902" w:history="1">
            <w:r w:rsidRPr="00D17825">
              <w:rPr>
                <w:rStyle w:val="Hyperlink"/>
                <w:rFonts w:ascii="Times New Roman" w:hAnsi="Times New Roman" w:cs="Times New Roman"/>
                <w:noProof/>
                <w:color w:val="auto"/>
                <w:sz w:val="24"/>
                <w:szCs w:val="24"/>
              </w:rPr>
              <w:t>Recognition via Secessionist Military Victory</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_Toc488915902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14</w:t>
            </w:r>
            <w:r w:rsidRPr="00D17825">
              <w:rPr>
                <w:rFonts w:ascii="Times New Roman" w:hAnsi="Times New Roman" w:cs="Times New Roman"/>
                <w:noProof/>
                <w:webHidden/>
                <w:sz w:val="24"/>
                <w:szCs w:val="24"/>
              </w:rPr>
              <w:fldChar w:fldCharType="end"/>
            </w:r>
          </w:hyperlink>
        </w:p>
        <w:p w14:paraId="1F031473" w14:textId="3DEC5EB5" w:rsidR="00D17825" w:rsidRPr="00D17825" w:rsidRDefault="00D17825">
          <w:pPr>
            <w:pStyle w:val="TOC2"/>
            <w:tabs>
              <w:tab w:val="right" w:leader="dot" w:pos="9350"/>
            </w:tabs>
            <w:rPr>
              <w:rFonts w:ascii="Times New Roman" w:hAnsi="Times New Roman" w:cs="Times New Roman"/>
              <w:noProof/>
              <w:sz w:val="24"/>
              <w:szCs w:val="24"/>
            </w:rPr>
          </w:pPr>
          <w:hyperlink w:anchor="_Toc488915903" w:history="1">
            <w:r w:rsidRPr="00D17825">
              <w:rPr>
                <w:rStyle w:val="Hyperlink"/>
                <w:rFonts w:ascii="Times New Roman" w:hAnsi="Times New Roman" w:cs="Times New Roman"/>
                <w:noProof/>
                <w:color w:val="auto"/>
                <w:sz w:val="24"/>
                <w:szCs w:val="24"/>
              </w:rPr>
              <w:t>Negotiated Recognition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15</w:t>
            </w:r>
            <w:r w:rsidRPr="00D17825">
              <w:rPr>
                <w:rFonts w:ascii="Times New Roman" w:hAnsi="Times New Roman" w:cs="Times New Roman"/>
                <w:noProof/>
                <w:webHidden/>
                <w:sz w:val="24"/>
                <w:szCs w:val="24"/>
              </w:rPr>
              <w:fldChar w:fldCharType="end"/>
            </w:r>
          </w:hyperlink>
        </w:p>
        <w:p w14:paraId="54343D11" w14:textId="43693197" w:rsidR="00D17825" w:rsidRPr="00D17825" w:rsidRDefault="00D17825">
          <w:pPr>
            <w:pStyle w:val="TOC1"/>
            <w:tabs>
              <w:tab w:val="right" w:leader="dot" w:pos="9350"/>
            </w:tabs>
            <w:rPr>
              <w:rFonts w:ascii="Times New Roman" w:hAnsi="Times New Roman" w:cs="Times New Roman"/>
              <w:noProof/>
              <w:sz w:val="24"/>
              <w:szCs w:val="24"/>
            </w:rPr>
          </w:pPr>
          <w:hyperlink w:anchor="_Toc488915904" w:history="1">
            <w:r w:rsidRPr="00D17825">
              <w:rPr>
                <w:rStyle w:val="Hyperlink"/>
                <w:rFonts w:ascii="Times New Roman" w:hAnsi="Times New Roman" w:cs="Times New Roman"/>
                <w:noProof/>
                <w:color w:val="auto"/>
                <w:sz w:val="24"/>
                <w:szCs w:val="24"/>
              </w:rPr>
              <w:t>Policy Implications: Options for The International Community</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_Toc488915904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15</w:t>
            </w:r>
            <w:r w:rsidRPr="00D17825">
              <w:rPr>
                <w:rFonts w:ascii="Times New Roman" w:hAnsi="Times New Roman" w:cs="Times New Roman"/>
                <w:noProof/>
                <w:webHidden/>
                <w:sz w:val="24"/>
                <w:szCs w:val="24"/>
              </w:rPr>
              <w:fldChar w:fldCharType="end"/>
            </w:r>
          </w:hyperlink>
        </w:p>
        <w:p w14:paraId="7317A557" w14:textId="55B36413" w:rsidR="00D17825" w:rsidRPr="00D17825" w:rsidRDefault="00D17825">
          <w:pPr>
            <w:pStyle w:val="TOC2"/>
            <w:tabs>
              <w:tab w:val="right" w:leader="dot" w:pos="9350"/>
            </w:tabs>
            <w:rPr>
              <w:rFonts w:ascii="Times New Roman" w:hAnsi="Times New Roman" w:cs="Times New Roman"/>
              <w:noProof/>
              <w:sz w:val="24"/>
              <w:szCs w:val="24"/>
            </w:rPr>
          </w:pPr>
          <w:hyperlink w:anchor="_Toc488915905" w:history="1">
            <w:r w:rsidRPr="00D17825">
              <w:rPr>
                <w:rStyle w:val="Hyperlink"/>
                <w:rFonts w:ascii="Times New Roman" w:hAnsi="Times New Roman" w:cs="Times New Roman"/>
                <w:noProof/>
                <w:color w:val="auto"/>
                <w:sz w:val="24"/>
                <w:szCs w:val="24"/>
              </w:rPr>
              <w:t>Sanctions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_Toc488915905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16</w:t>
            </w:r>
            <w:r w:rsidRPr="00D17825">
              <w:rPr>
                <w:rFonts w:ascii="Times New Roman" w:hAnsi="Times New Roman" w:cs="Times New Roman"/>
                <w:noProof/>
                <w:webHidden/>
                <w:sz w:val="24"/>
                <w:szCs w:val="24"/>
              </w:rPr>
              <w:fldChar w:fldCharType="end"/>
            </w:r>
          </w:hyperlink>
        </w:p>
        <w:p w14:paraId="6D2EF795" w14:textId="5CFC72FE" w:rsidR="00D17825" w:rsidRPr="00D17825" w:rsidRDefault="00D17825">
          <w:pPr>
            <w:pStyle w:val="TOC2"/>
            <w:tabs>
              <w:tab w:val="right" w:leader="dot" w:pos="9350"/>
            </w:tabs>
            <w:rPr>
              <w:rFonts w:ascii="Times New Roman" w:hAnsi="Times New Roman" w:cs="Times New Roman"/>
              <w:noProof/>
              <w:sz w:val="24"/>
              <w:szCs w:val="24"/>
            </w:rPr>
          </w:pPr>
          <w:hyperlink w:anchor="_Toc488915906" w:history="1">
            <w:r w:rsidRPr="00D17825">
              <w:rPr>
                <w:rStyle w:val="Hyperlink"/>
                <w:rFonts w:ascii="Times New Roman" w:hAnsi="Times New Roman" w:cs="Times New Roman"/>
                <w:noProof/>
                <w:color w:val="auto"/>
                <w:sz w:val="24"/>
                <w:szCs w:val="24"/>
              </w:rPr>
              <w:t>Coercion of the Patron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_Toc488915906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17</w:t>
            </w:r>
            <w:r w:rsidRPr="00D17825">
              <w:rPr>
                <w:rFonts w:ascii="Times New Roman" w:hAnsi="Times New Roman" w:cs="Times New Roman"/>
                <w:noProof/>
                <w:webHidden/>
                <w:sz w:val="24"/>
                <w:szCs w:val="24"/>
              </w:rPr>
              <w:fldChar w:fldCharType="end"/>
            </w:r>
          </w:hyperlink>
        </w:p>
        <w:p w14:paraId="3DDD0E6F" w14:textId="082C2FB8" w:rsidR="00D17825" w:rsidRPr="00D17825" w:rsidRDefault="00D17825">
          <w:pPr>
            <w:pStyle w:val="TOC2"/>
            <w:tabs>
              <w:tab w:val="right" w:leader="dot" w:pos="9350"/>
            </w:tabs>
            <w:rPr>
              <w:rFonts w:ascii="Times New Roman" w:hAnsi="Times New Roman" w:cs="Times New Roman"/>
              <w:noProof/>
              <w:sz w:val="24"/>
              <w:szCs w:val="24"/>
            </w:rPr>
          </w:pPr>
          <w:hyperlink w:anchor="_Toc488915907" w:history="1">
            <w:r w:rsidRPr="00D17825">
              <w:rPr>
                <w:rStyle w:val="Hyperlink"/>
                <w:rFonts w:ascii="Times New Roman" w:hAnsi="Times New Roman" w:cs="Times New Roman"/>
                <w:noProof/>
                <w:color w:val="auto"/>
                <w:sz w:val="24"/>
                <w:szCs w:val="24"/>
              </w:rPr>
              <w:t>Supplement or Guarantee the Payoffs from Unification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_Toc488915907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18</w:t>
            </w:r>
            <w:r w:rsidRPr="00D17825">
              <w:rPr>
                <w:rFonts w:ascii="Times New Roman" w:hAnsi="Times New Roman" w:cs="Times New Roman"/>
                <w:noProof/>
                <w:webHidden/>
                <w:sz w:val="24"/>
                <w:szCs w:val="24"/>
              </w:rPr>
              <w:fldChar w:fldCharType="end"/>
            </w:r>
          </w:hyperlink>
        </w:p>
        <w:p w14:paraId="647F832D" w14:textId="5416292E" w:rsidR="00D17825" w:rsidRPr="00D17825" w:rsidRDefault="00D17825">
          <w:pPr>
            <w:pStyle w:val="TOC1"/>
            <w:tabs>
              <w:tab w:val="right" w:leader="dot" w:pos="9350"/>
            </w:tabs>
            <w:rPr>
              <w:rFonts w:ascii="Times New Roman" w:hAnsi="Times New Roman" w:cs="Times New Roman"/>
              <w:noProof/>
              <w:sz w:val="24"/>
              <w:szCs w:val="24"/>
            </w:rPr>
          </w:pPr>
          <w:hyperlink w:anchor="_Toc488915908" w:history="1">
            <w:r w:rsidRPr="00D17825">
              <w:rPr>
                <w:rStyle w:val="Hyperlink"/>
                <w:rFonts w:ascii="Times New Roman" w:hAnsi="Times New Roman" w:cs="Times New Roman"/>
                <w:noProof/>
                <w:color w:val="auto"/>
                <w:sz w:val="24"/>
                <w:szCs w:val="24"/>
              </w:rPr>
              <w:t>Conclusion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_Toc488915908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19</w:t>
            </w:r>
            <w:r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321F2A2A"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p>
    <w:p w14:paraId="0E3F0D76" w14:textId="2A37AA06"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treated unrecognized statehood</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Pr="00A416A3">
        <w:rPr>
          <w:rFonts w:ascii="Times New Roman" w:hAnsi="Times New Roman" w:cs="Times New Roman"/>
          <w:sz w:val="24"/>
          <w:szCs w:val="24"/>
        </w:rPr>
        <w:t xml:space="preserve">aberration,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 the result o</w:t>
      </w:r>
      <w:r w:rsidR="00D768E1" w:rsidRPr="00A416A3">
        <w:rPr>
          <w:rFonts w:ascii="Times New Roman" w:hAnsi="Times New Roman" w:cs="Times New Roman"/>
          <w:sz w:val="24"/>
          <w:szCs w:val="24"/>
        </w:rPr>
        <w:t>f</w:t>
      </w:r>
      <w:r w:rsidRPr="00A416A3">
        <w:rPr>
          <w:rFonts w:ascii="Times New Roman" w:hAnsi="Times New Roman" w:cs="Times New Roman"/>
          <w:sz w:val="24"/>
          <w:szCs w:val="24"/>
        </w:rPr>
        <w:t xml:space="preserve"> irrationality on the part of one or more actors. </w:t>
      </w:r>
      <w:r w:rsidR="0031738B" w:rsidRPr="00A416A3">
        <w:rPr>
          <w:rFonts w:ascii="Times New Roman" w:hAnsi="Times New Roman" w:cs="Times New Roman"/>
          <w:sz w:val="24"/>
          <w:szCs w:val="24"/>
        </w:rPr>
        <w:t>We use game theoretic analysis to challenge this understanding.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478990A7" w14:textId="2BFBB819" w:rsidR="00D768E1" w:rsidRPr="00A416A3"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Pr="00A416A3"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66AC77C" w:rsidR="00217D4E" w:rsidRPr="00A416A3" w:rsidRDefault="002A08E5"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6C047CD1" w14:textId="77777777" w:rsidR="00217D4E" w:rsidRPr="00A416A3" w:rsidRDefault="00217D4E">
      <w:pPr>
        <w:rPr>
          <w:rFonts w:ascii="Times New Roman" w:hAnsi="Times New Roman" w:cs="Times New Roman"/>
          <w:sz w:val="24"/>
          <w:szCs w:val="24"/>
        </w:rPr>
      </w:pPr>
      <w:r w:rsidRPr="00A416A3">
        <w:rPr>
          <w:rFonts w:ascii="Times New Roman" w:hAnsi="Times New Roman" w:cs="Times New Roman"/>
          <w:sz w:val="24"/>
          <w:szCs w:val="24"/>
        </w:rPr>
        <w:br w:type="page"/>
      </w:r>
    </w:p>
    <w:p w14:paraId="6722ECA1" w14:textId="4BA47B00" w:rsidR="005A5842" w:rsidRPr="00A416A3" w:rsidRDefault="002A08E5" w:rsidP="002A08E5">
      <w:pPr>
        <w:keepNext/>
        <w:keepLines/>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A416A3" w14:paraId="6A58D83C" w14:textId="77777777" w:rsidTr="00217D4E">
        <w:tc>
          <w:tcPr>
            <w:tcW w:w="1998" w:type="dxa"/>
          </w:tcPr>
          <w:p w14:paraId="67E30E63" w14:textId="77777777" w:rsidR="00217D4E" w:rsidRPr="00A416A3" w:rsidRDefault="00217D4E" w:rsidP="00217D4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Unrecognized States (Recognized by fewer than 10 UN members)</w:t>
            </w:r>
          </w:p>
        </w:tc>
        <w:tc>
          <w:tcPr>
            <w:tcW w:w="2142" w:type="dxa"/>
          </w:tcPr>
          <w:p w14:paraId="0CABE6C7" w14:textId="77777777" w:rsidR="00217D4E" w:rsidRPr="00A416A3" w:rsidRDefault="00217D4E" w:rsidP="00217D4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Partially recognized states (Recognized by more than 10 members, but not the home state)</w:t>
            </w:r>
          </w:p>
        </w:tc>
        <w:tc>
          <w:tcPr>
            <w:tcW w:w="2142" w:type="dxa"/>
          </w:tcPr>
          <w:p w14:paraId="39C1089B" w14:textId="77777777" w:rsidR="00217D4E" w:rsidRPr="00A416A3" w:rsidRDefault="00217D4E" w:rsidP="00217D4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Rejoined home state following military defeat of secessionists</w:t>
            </w:r>
          </w:p>
        </w:tc>
        <w:tc>
          <w:tcPr>
            <w:tcW w:w="1469" w:type="dxa"/>
          </w:tcPr>
          <w:p w14:paraId="3D73F182" w14:textId="77777777" w:rsidR="00217D4E" w:rsidRPr="00A416A3" w:rsidRDefault="00217D4E" w:rsidP="00217D4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Rejoined home state in negotiated settlement</w:t>
            </w:r>
          </w:p>
        </w:tc>
        <w:tc>
          <w:tcPr>
            <w:tcW w:w="1537" w:type="dxa"/>
          </w:tcPr>
          <w:p w14:paraId="2404E1D8" w14:textId="77777777" w:rsidR="00217D4E" w:rsidRPr="00A416A3" w:rsidRDefault="00217D4E" w:rsidP="00217D4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 xml:space="preserve">Recognized by the home state </w:t>
            </w:r>
          </w:p>
        </w:tc>
      </w:tr>
      <w:tr w:rsidR="00217D4E" w:rsidRPr="00A416A3" w14:paraId="40C1053A" w14:textId="77777777" w:rsidTr="00217D4E">
        <w:tc>
          <w:tcPr>
            <w:tcW w:w="1998" w:type="dxa"/>
          </w:tcPr>
          <w:p w14:paraId="6D6C5B8C"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Abkhazia</w:t>
            </w:r>
          </w:p>
          <w:p w14:paraId="7100FD52"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Nagorno-Karabakh</w:t>
            </w:r>
          </w:p>
          <w:p w14:paraId="4E032F8B"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Somaliland</w:t>
            </w:r>
          </w:p>
          <w:p w14:paraId="6B43D1F8"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South Ossetia</w:t>
            </w:r>
          </w:p>
          <w:p w14:paraId="23DAF535"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Transnistria</w:t>
            </w:r>
          </w:p>
          <w:p w14:paraId="21FDAB20"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Turkish Republic of Northern Cyprus</w:t>
            </w:r>
          </w:p>
          <w:p w14:paraId="1B9ABF4C" w14:textId="77777777" w:rsidR="00217D4E" w:rsidRPr="00A416A3" w:rsidRDefault="00217D4E" w:rsidP="00217D4E">
            <w:pPr>
              <w:pStyle w:val="ListParagraph"/>
              <w:keepNext/>
              <w:keepLines/>
              <w:spacing w:after="0" w:line="240" w:lineRule="auto"/>
              <w:ind w:left="180"/>
              <w:rPr>
                <w:rFonts w:ascii="Times New Roman" w:hAnsi="Times New Roman" w:cs="Times New Roman"/>
                <w:sz w:val="24"/>
                <w:szCs w:val="24"/>
              </w:rPr>
            </w:pPr>
          </w:p>
          <w:p w14:paraId="1AA983D4" w14:textId="77777777" w:rsidR="00217D4E" w:rsidRPr="00A416A3" w:rsidRDefault="00217D4E" w:rsidP="00217D4E">
            <w:pPr>
              <w:pStyle w:val="ListParagraph"/>
              <w:keepNext/>
              <w:keepLines/>
              <w:spacing w:after="0" w:line="240" w:lineRule="auto"/>
              <w:ind w:left="180"/>
              <w:rPr>
                <w:rFonts w:ascii="Times New Roman" w:hAnsi="Times New Roman" w:cs="Times New Roman"/>
                <w:sz w:val="24"/>
                <w:szCs w:val="24"/>
              </w:rPr>
            </w:pPr>
          </w:p>
        </w:tc>
        <w:tc>
          <w:tcPr>
            <w:tcW w:w="2142" w:type="dxa"/>
          </w:tcPr>
          <w:p w14:paraId="74331ED9"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Kosovo</w:t>
            </w:r>
          </w:p>
          <w:p w14:paraId="68336BEE"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Taiwan</w:t>
            </w:r>
            <w:r w:rsidRPr="00A416A3">
              <w:rPr>
                <w:rFonts w:ascii="Times New Roman" w:eastAsia="ヒラギノ角ゴ Pro W3" w:hAnsi="Times New Roman" w:cs="Times New Roman"/>
                <w:sz w:val="24"/>
                <w:szCs w:val="24"/>
                <w:vertAlign w:val="superscript"/>
              </w:rPr>
              <w:t>1</w:t>
            </w:r>
          </w:p>
          <w:p w14:paraId="17C08878"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Palestine</w:t>
            </w:r>
            <w:r w:rsidRPr="00A416A3">
              <w:rPr>
                <w:rFonts w:ascii="Times New Roman" w:hAnsi="Times New Roman" w:cs="Times New Roman"/>
                <w:sz w:val="24"/>
                <w:szCs w:val="24"/>
                <w:vertAlign w:val="superscript"/>
              </w:rPr>
              <w:t>2</w:t>
            </w:r>
          </w:p>
          <w:p w14:paraId="50401280" w14:textId="77777777" w:rsidR="00217D4E" w:rsidRPr="00A416A3" w:rsidRDefault="00217D4E" w:rsidP="00217D4E">
            <w:pPr>
              <w:pStyle w:val="ListParagraph"/>
              <w:keepNext/>
              <w:keepLines/>
              <w:spacing w:after="0" w:line="240" w:lineRule="auto"/>
              <w:ind w:left="180"/>
              <w:rPr>
                <w:rFonts w:ascii="Times New Roman" w:hAnsi="Times New Roman" w:cs="Times New Roman"/>
                <w:sz w:val="24"/>
                <w:szCs w:val="24"/>
              </w:rPr>
            </w:pPr>
          </w:p>
          <w:p w14:paraId="4512871A" w14:textId="77777777" w:rsidR="00217D4E" w:rsidRPr="00A416A3" w:rsidRDefault="00217D4E" w:rsidP="00217D4E">
            <w:pPr>
              <w:pStyle w:val="ListParagraph"/>
              <w:keepNext/>
              <w:keepLines/>
              <w:spacing w:after="0" w:line="240" w:lineRule="auto"/>
              <w:ind w:left="180"/>
              <w:rPr>
                <w:rFonts w:ascii="Times New Roman" w:hAnsi="Times New Roman" w:cs="Times New Roman"/>
                <w:sz w:val="24"/>
                <w:szCs w:val="24"/>
              </w:rPr>
            </w:pPr>
          </w:p>
        </w:tc>
        <w:tc>
          <w:tcPr>
            <w:tcW w:w="2142" w:type="dxa"/>
          </w:tcPr>
          <w:p w14:paraId="72D5B8AC"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hAnsi="Times New Roman" w:cs="Times New Roman"/>
                <w:sz w:val="24"/>
                <w:szCs w:val="24"/>
              </w:rPr>
              <w:t>Anjouan</w:t>
            </w:r>
            <w:r w:rsidRPr="00A416A3">
              <w:rPr>
                <w:rFonts w:ascii="Times New Roman" w:hAnsi="Times New Roman" w:cs="Times New Roman"/>
                <w:sz w:val="24"/>
                <w:szCs w:val="24"/>
                <w:vertAlign w:val="superscript"/>
              </w:rPr>
              <w:t>3</w:t>
            </w:r>
          </w:p>
          <w:p w14:paraId="0C1AA296"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Biafra</w:t>
            </w:r>
          </w:p>
          <w:p w14:paraId="74DC10F5"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Chechnya</w:t>
            </w:r>
          </w:p>
          <w:p w14:paraId="3983773F"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Croatian Republic of Herzeg-Bosnia</w:t>
            </w:r>
          </w:p>
          <w:p w14:paraId="038289A0"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East Turkestan Republic</w:t>
            </w:r>
          </w:p>
          <w:p w14:paraId="41E67B84"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Hyderabad</w:t>
            </w:r>
          </w:p>
          <w:p w14:paraId="421D603A"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Katanga</w:t>
            </w:r>
          </w:p>
          <w:p w14:paraId="7C0172C6"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Republic of Mahabad</w:t>
            </w:r>
          </w:p>
          <w:p w14:paraId="5E9D10BC"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Tamil Eelam</w:t>
            </w:r>
          </w:p>
          <w:p w14:paraId="4A97F169"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Republika Srpska</w:t>
            </w:r>
          </w:p>
          <w:p w14:paraId="42151F50"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Republika Srpska- Krajina</w:t>
            </w:r>
          </w:p>
          <w:p w14:paraId="3F5F158E"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Western Bosnia</w:t>
            </w:r>
          </w:p>
          <w:p w14:paraId="3DCACC17"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Western Sahara</w:t>
            </w:r>
            <w:r w:rsidRPr="00A416A3">
              <w:rPr>
                <w:rFonts w:ascii="Times New Roman" w:hAnsi="Times New Roman" w:cs="Times New Roman"/>
                <w:sz w:val="24"/>
                <w:szCs w:val="24"/>
                <w:vertAlign w:val="superscript"/>
              </w:rPr>
              <w:t>4</w:t>
            </w:r>
          </w:p>
        </w:tc>
        <w:tc>
          <w:tcPr>
            <w:tcW w:w="1469" w:type="dxa"/>
          </w:tcPr>
          <w:p w14:paraId="28047097"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hAnsi="Times New Roman" w:cs="Times New Roman"/>
                <w:sz w:val="24"/>
                <w:szCs w:val="24"/>
              </w:rPr>
              <w:t>Ajara</w:t>
            </w:r>
          </w:p>
          <w:p w14:paraId="4D60095A"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Bouganville</w:t>
            </w:r>
          </w:p>
          <w:p w14:paraId="785399E2"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Gagauzia</w:t>
            </w:r>
          </w:p>
          <w:p w14:paraId="3A436B4A" w14:textId="77777777" w:rsidR="00217D4E" w:rsidRPr="00A416A3" w:rsidRDefault="00217D4E" w:rsidP="00217D4E">
            <w:pPr>
              <w:pStyle w:val="ListParagraph"/>
              <w:keepNext/>
              <w:keepLines/>
              <w:numPr>
                <w:ilvl w:val="0"/>
                <w:numId w:val="6"/>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Moheli</w:t>
            </w:r>
          </w:p>
          <w:p w14:paraId="4777B6D8" w14:textId="77777777" w:rsidR="00217D4E" w:rsidRPr="00A416A3" w:rsidRDefault="00217D4E" w:rsidP="00217D4E">
            <w:pPr>
              <w:keepNext/>
              <w:keepLines/>
              <w:spacing w:after="0" w:line="240" w:lineRule="auto"/>
              <w:rPr>
                <w:rFonts w:ascii="Times New Roman" w:hAnsi="Times New Roman" w:cs="Times New Roman"/>
                <w:sz w:val="24"/>
                <w:szCs w:val="24"/>
              </w:rPr>
            </w:pPr>
          </w:p>
        </w:tc>
        <w:tc>
          <w:tcPr>
            <w:tcW w:w="1537" w:type="dxa"/>
          </w:tcPr>
          <w:p w14:paraId="56AE68D0" w14:textId="77777777" w:rsidR="00217D4E" w:rsidRPr="00A416A3" w:rsidRDefault="00217D4E" w:rsidP="00217D4E">
            <w:pPr>
              <w:pStyle w:val="ListParagraph"/>
              <w:keepNext/>
              <w:keepLines/>
              <w:numPr>
                <w:ilvl w:val="0"/>
                <w:numId w:val="7"/>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Bangladesh</w:t>
            </w:r>
          </w:p>
          <w:p w14:paraId="7BF7E66D" w14:textId="77777777" w:rsidR="00217D4E" w:rsidRPr="00A416A3" w:rsidRDefault="00217D4E" w:rsidP="00217D4E">
            <w:pPr>
              <w:pStyle w:val="ListParagraph"/>
              <w:keepNext/>
              <w:keepLines/>
              <w:numPr>
                <w:ilvl w:val="0"/>
                <w:numId w:val="7"/>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Eritrea</w:t>
            </w:r>
          </w:p>
          <w:p w14:paraId="704FCEE4" w14:textId="77777777" w:rsidR="00217D4E" w:rsidRPr="00A416A3" w:rsidRDefault="00217D4E" w:rsidP="00217D4E">
            <w:pPr>
              <w:pStyle w:val="ListParagraph"/>
              <w:keepNext/>
              <w:keepLines/>
              <w:numPr>
                <w:ilvl w:val="0"/>
                <w:numId w:val="7"/>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South Sudan</w:t>
            </w:r>
            <w:r w:rsidRPr="00A416A3">
              <w:rPr>
                <w:rFonts w:ascii="Times New Roman" w:eastAsia="ヒラギノ角ゴ Pro W3" w:hAnsi="Times New Roman" w:cs="Times New Roman"/>
                <w:sz w:val="24"/>
                <w:szCs w:val="24"/>
                <w:vertAlign w:val="superscript"/>
              </w:rPr>
              <w:t>5</w:t>
            </w:r>
          </w:p>
        </w:tc>
      </w:tr>
    </w:tbl>
    <w:p w14:paraId="45D76F4F" w14:textId="0E25651B" w:rsidR="0031184E" w:rsidRPr="00A416A3" w:rsidRDefault="0031184E" w:rsidP="002A08E5">
      <w:pPr>
        <w:keepNext/>
        <w:keepLines/>
        <w:autoSpaceDE w:val="0"/>
        <w:autoSpaceDN w:val="0"/>
        <w:adjustRightInd w:val="0"/>
        <w:spacing w:after="0" w:line="360" w:lineRule="auto"/>
        <w:ind w:right="-630"/>
        <w:contextualSpacing/>
        <w:rPr>
          <w:rFonts w:ascii="Times New Roman" w:hAnsi="Times New Roman" w:cs="Times New Roman"/>
          <w:sz w:val="24"/>
          <w:szCs w:val="24"/>
        </w:rPr>
      </w:pPr>
      <w:r w:rsidRPr="00A416A3">
        <w:rPr>
          <w:rFonts w:ascii="Times New Roman" w:hAnsi="Times New Roman" w:cs="Times New Roman"/>
          <w:sz w:val="24"/>
          <w:szCs w:val="24"/>
        </w:rPr>
        <w:t xml:space="preserve">      </w:t>
      </w:r>
    </w:p>
    <w:p w14:paraId="74D616CB" w14:textId="721A25A8" w:rsidR="0031184E" w:rsidRPr="00A416A3" w:rsidRDefault="0031184E" w:rsidP="002A08E5">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1 Taiwan does not officially seek independence and those states that recognize Taiwan recognize it as sovereign over all of China.</w:t>
      </w:r>
      <w:r w:rsidRPr="00A416A3">
        <w:rPr>
          <w:rFonts w:ascii="Times New Roman" w:eastAsia="MS Mincho" w:hAnsi="Times New Roman" w:cs="Times New Roman"/>
          <w:sz w:val="24"/>
          <w:szCs w:val="24"/>
        </w:rPr>
        <w:t> </w:t>
      </w:r>
      <w:r w:rsidRPr="00A416A3">
        <w:rPr>
          <w:rFonts w:ascii="Times New Roman" w:hAnsi="Times New Roman" w:cs="Times New Roman"/>
          <w:sz w:val="24"/>
          <w:szCs w:val="24"/>
        </w:rPr>
        <w:t xml:space="preserve"> </w:t>
      </w:r>
    </w:p>
    <w:p w14:paraId="54355591" w14:textId="77777777" w:rsidR="0031184E" w:rsidRPr="00A416A3" w:rsidRDefault="0031184E" w:rsidP="002A08E5">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2 Palestine is recognized by about 100 states, but has only permanent observer status at the UN, the same status accorded the Vatican.</w:t>
      </w:r>
    </w:p>
    <w:p w14:paraId="1D208434" w14:textId="77777777" w:rsidR="0031184E" w:rsidRPr="00A416A3" w:rsidRDefault="0031184E" w:rsidP="002A08E5">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 xml:space="preserve">3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Pr="00A416A3" w:rsidRDefault="0031184E" w:rsidP="002A08E5">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 xml:space="preserve">4 All but a tiny portion of the territory claimed by the Polisario Front is under the control of Morocco: nonetheless, some states still recognize the territory’s independence. </w:t>
      </w:r>
    </w:p>
    <w:p w14:paraId="5A785815" w14:textId="2710C706" w:rsidR="00217D4E" w:rsidRPr="00A416A3" w:rsidRDefault="0031184E" w:rsidP="002A08E5">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Pr="00A416A3" w:rsidRDefault="00217D4E">
      <w:pPr>
        <w:rPr>
          <w:rFonts w:ascii="Times New Roman" w:hAnsi="Times New Roman" w:cs="Times New Roman"/>
          <w:sz w:val="24"/>
          <w:szCs w:val="24"/>
        </w:rPr>
      </w:pPr>
      <w:r w:rsidRPr="00A416A3">
        <w:rPr>
          <w:rFonts w:ascii="Times New Roman" w:hAnsi="Times New Roman" w:cs="Times New Roman"/>
          <w:sz w:val="24"/>
          <w:szCs w:val="24"/>
        </w:rPr>
        <w:br w:type="page"/>
      </w:r>
    </w:p>
    <w:p w14:paraId="485F83F0" w14:textId="77777777" w:rsidR="002735F5" w:rsidRPr="00A416A3" w:rsidRDefault="00D11102" w:rsidP="00A9396D">
      <w:pPr>
        <w:pStyle w:val="Heading1"/>
      </w:pPr>
      <w:bookmarkStart w:id="1" w:name="_Toc488915893"/>
      <w:r w:rsidRPr="00A416A3">
        <w:lastRenderedPageBreak/>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lastRenderedPageBreak/>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w:t>
      </w:r>
      <w:r w:rsidR="00D11102" w:rsidRPr="00A416A3">
        <w:rPr>
          <w:rFonts w:ascii="Times New Roman" w:hAnsi="Times New Roman" w:cs="Times New Roman"/>
          <w:sz w:val="24"/>
          <w:szCs w:val="24"/>
        </w:rPr>
        <w:lastRenderedPageBreak/>
        <w:t>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A416A3">
        <w:rPr>
          <w:rFonts w:ascii="Times New Roman" w:hAnsi="Times New Roman" w:cs="Times New Roman"/>
          <w:sz w:val="24"/>
          <w:szCs w:val="24"/>
        </w:rPr>
        <w:lastRenderedPageBreak/>
        <w:t xml:space="preserve">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lastRenderedPageBreak/>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ication via Military Reconquest</w:t>
      </w:r>
      <w:bookmarkEnd w:id="8"/>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 xml:space="preserve">he patron may also support </w:t>
      </w:r>
      <w:r w:rsidR="00001B4F" w:rsidRPr="00A416A3">
        <w:rPr>
          <w:rFonts w:ascii="Times New Roman" w:hAnsi="Times New Roman" w:cs="Times New Roman"/>
          <w:sz w:val="24"/>
          <w:szCs w:val="24"/>
        </w:rPr>
        <w:lastRenderedPageBreak/>
        <w:t>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Licklider 1995; Walter 1997, 2002;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Doyle and Sambanis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er 1978;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w:t>
      </w:r>
      <w:r w:rsidRPr="00A416A3">
        <w:rPr>
          <w:rFonts w:ascii="Times New Roman" w:hAnsi="Times New Roman" w:cs="Times New Roman"/>
          <w:sz w:val="24"/>
          <w:szCs w:val="24"/>
        </w:rPr>
        <w:lastRenderedPageBreak/>
        <w:t xml:space="preserve">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r w:rsidR="002735F5" w:rsidRPr="00A416A3">
        <w:rPr>
          <w:rFonts w:ascii="Times New Roman" w:hAnsi="Times New Roman" w:cs="Times New Roman"/>
          <w:sz w:val="24"/>
          <w:szCs w:val="24"/>
        </w:rPr>
        <w:lastRenderedPageBreak/>
        <w:t>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w:t>
      </w:r>
      <w:r w:rsidR="00655F66" w:rsidRPr="00A416A3">
        <w:rPr>
          <w:rFonts w:ascii="Times New Roman" w:hAnsi="Times New Roman" w:cs="Times New Roman"/>
          <w:sz w:val="24"/>
          <w:szCs w:val="24"/>
        </w:rPr>
        <w:lastRenderedPageBreak/>
        <w:t>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sidRPr="00A416A3">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w:t>
      </w:r>
      <w:r w:rsidRPr="00A416A3">
        <w:rPr>
          <w:rFonts w:ascii="Times New Roman" w:hAnsi="Times New Roman" w:cs="Times New Roman"/>
          <w:sz w:val="24"/>
          <w:szCs w:val="24"/>
        </w:rPr>
        <w:lastRenderedPageBreak/>
        <w:t xml:space="preserve">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w:t>
      </w:r>
      <w:r w:rsidRPr="00A416A3">
        <w:rPr>
          <w:rFonts w:ascii="Times New Roman" w:hAnsi="Times New Roman" w:cs="Times New Roman"/>
          <w:sz w:val="24"/>
          <w:szCs w:val="24"/>
        </w:rPr>
        <w:lastRenderedPageBreak/>
        <w:t xml:space="preserve">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6761C09C"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Pr="00A416A3"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lastRenderedPageBreak/>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Journal Of Energy Literature</w:t>
      </w:r>
      <w:r w:rsidRPr="00A416A3">
        <w:rPr>
          <w:rFonts w:ascii="Times New Roman" w:eastAsia="Times New Roman" w:hAnsi="Times New Roman" w:cs="Times New Roman"/>
          <w:color w:val="222222"/>
          <w:sz w:val="24"/>
          <w:szCs w:val="24"/>
          <w:shd w:val="clear" w:color="auto" w:fill="FFFFFF"/>
        </w:rPr>
        <w:t> 7:76.</w:t>
      </w:r>
    </w:p>
    <w:p w14:paraId="222EE5FB"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Doyle, Michael W., and Nicholas Sambanis. 2006. </w:t>
      </w:r>
      <w:r w:rsidRPr="00A416A3">
        <w:rPr>
          <w:rFonts w:ascii="Times New Roman" w:hAnsi="Times New Roman" w:cs="Times New Roman"/>
          <w:i/>
          <w:color w:val="000000"/>
          <w:sz w:val="24"/>
          <w:szCs w:val="24"/>
        </w:rPr>
        <w:t>Making War and Building Peace: United Nations Peace Operations</w:t>
      </w:r>
      <w:r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Licklider,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Myron ,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C6A78" w14:textId="77777777" w:rsidR="00954F89" w:rsidRDefault="00954F89" w:rsidP="00050CA0">
      <w:pPr>
        <w:spacing w:after="0" w:line="240" w:lineRule="auto"/>
      </w:pPr>
      <w:r>
        <w:separator/>
      </w:r>
    </w:p>
  </w:endnote>
  <w:endnote w:type="continuationSeparator" w:id="0">
    <w:p w14:paraId="2201D6E7" w14:textId="77777777" w:rsidR="00954F89" w:rsidRDefault="00954F89"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387462D7"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D17825">
          <w:rPr>
            <w:rFonts w:ascii="Times New Roman" w:hAnsi="Times New Roman" w:cs="Times New Roman"/>
            <w:noProof/>
            <w:sz w:val="24"/>
            <w:szCs w:val="24"/>
          </w:rPr>
          <w:t>4</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9BE60" w14:textId="77777777" w:rsidR="00954F89" w:rsidRDefault="00954F89" w:rsidP="00050CA0">
      <w:pPr>
        <w:spacing w:after="0" w:line="240" w:lineRule="auto"/>
      </w:pPr>
      <w:r>
        <w:separator/>
      </w:r>
    </w:p>
  </w:footnote>
  <w:footnote w:type="continuationSeparator" w:id="0">
    <w:p w14:paraId="0E7F46A4" w14:textId="77777777" w:rsidR="00954F89" w:rsidRDefault="00954F89"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69C8"/>
    <w:rsid w:val="007100C5"/>
    <w:rsid w:val="007131EC"/>
    <w:rsid w:val="0071489D"/>
    <w:rsid w:val="0071490A"/>
    <w:rsid w:val="007209FC"/>
    <w:rsid w:val="007225F6"/>
    <w:rsid w:val="00722E98"/>
    <w:rsid w:val="0072579E"/>
    <w:rsid w:val="00727103"/>
    <w:rsid w:val="00730DF1"/>
    <w:rsid w:val="00742977"/>
    <w:rsid w:val="007466B4"/>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4AE1"/>
    <w:rsid w:val="007E54D6"/>
    <w:rsid w:val="007F0E8D"/>
    <w:rsid w:val="007F3A36"/>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4BEB"/>
    <w:rsid w:val="00B10E78"/>
    <w:rsid w:val="00B128CC"/>
    <w:rsid w:val="00B36A30"/>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2DD1-18A0-4BEC-A49E-2EADDA8E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22</Pages>
  <Words>7158</Words>
  <Characters>40807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227</cp:revision>
  <dcterms:created xsi:type="dcterms:W3CDTF">2017-07-10T16:48:00Z</dcterms:created>
  <dcterms:modified xsi:type="dcterms:W3CDTF">2017-07-27T14:50:00Z</dcterms:modified>
</cp:coreProperties>
</file>