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w:t>
      </w:r>
      <w:proofErr w:type="spellStart"/>
      <w:r w:rsidR="005A5842">
        <w:rPr>
          <w:rFonts w:ascii="Times New Roman" w:hAnsi="Times New Roman" w:cs="Times New Roman"/>
          <w:sz w:val="24"/>
          <w:szCs w:val="24"/>
        </w:rPr>
        <w:t>Buzard</w:t>
      </w:r>
      <w:proofErr w:type="spellEnd"/>
      <w:r w:rsidR="005A5842">
        <w:rPr>
          <w:rFonts w:ascii="Times New Roman" w:hAnsi="Times New Roman" w:cs="Times New Roman"/>
          <w:sz w:val="24"/>
          <w:szCs w:val="24"/>
        </w:rPr>
        <w:t>,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 xml:space="preserve">can be found in </w:t>
      </w:r>
      <w:proofErr w:type="spellStart"/>
      <w:r w:rsidR="007658E4" w:rsidRPr="00D11102">
        <w:rPr>
          <w:rFonts w:ascii="Times New Roman" w:hAnsi="Times New Roman" w:cs="Times New Roman"/>
          <w:sz w:val="24"/>
          <w:szCs w:val="24"/>
        </w:rPr>
        <w:t>Buzard</w:t>
      </w:r>
      <w:proofErr w:type="spellEnd"/>
      <w:r w:rsidR="007658E4" w:rsidRPr="00D11102">
        <w:rPr>
          <w:rFonts w:ascii="Times New Roman" w:hAnsi="Times New Roman" w:cs="Times New Roman"/>
          <w:sz w:val="24"/>
          <w:szCs w:val="24"/>
        </w:rPr>
        <w:t>,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7BA65E65"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w:t>
      </w:r>
      <w:r w:rsidR="001A7CB8">
        <w:rPr>
          <w:rFonts w:ascii="Times New Roman" w:hAnsi="Times New Roman" w:cs="Times New Roman"/>
          <w:sz w:val="24"/>
          <w:szCs w:val="24"/>
        </w:rPr>
        <w:t>in the Status Quo Equilibrium</w:t>
      </w:r>
      <w:r w:rsidR="00D11102" w:rsidRPr="00D11102">
        <w:rPr>
          <w:rFonts w:ascii="Times New Roman" w:hAnsi="Times New Roman" w:cs="Times New Roman"/>
          <w:sz w:val="24"/>
          <w:szCs w:val="24"/>
        </w:rPr>
        <w:t>.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1A7CB8">
        <w:rPr>
          <w:rFonts w:ascii="Times New Roman" w:hAnsi="Times New Roman" w:cs="Times New Roman"/>
          <w:sz w:val="24"/>
          <w:szCs w:val="24"/>
        </w:rPr>
        <w:t>the Status Quo Equilibrium.</w:t>
      </w:r>
      <w:r w:rsidR="00D11102" w:rsidRPr="00D11102">
        <w:rPr>
          <w:rFonts w:ascii="Times New Roman" w:hAnsi="Times New Roman" w:cs="Times New Roman"/>
          <w:sz w:val="24"/>
          <w:szCs w:val="24"/>
        </w:rPr>
        <w:t xml:space="preserve"> </w:t>
      </w:r>
      <w:r w:rsidR="001A7CB8">
        <w:rPr>
          <w:rFonts w:ascii="Times New Roman" w:hAnsi="Times New Roman" w:cs="Times New Roman"/>
          <w:sz w:val="24"/>
          <w:szCs w:val="24"/>
        </w:rPr>
        <w:t>T</w:t>
      </w:r>
      <w:r w:rsidR="00D11102"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3212EE2B" w14:textId="3829FDC2" w:rsidR="007D2B54" w:rsidRDefault="00AA7286" w:rsidP="007D2B5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sidR="007D2B54">
        <w:rPr>
          <w:rFonts w:ascii="Times New Roman" w:hAnsi="Times New Roman" w:cs="Times New Roman"/>
          <w:sz w:val="24"/>
          <w:szCs w:val="24"/>
        </w:rPr>
        <w:t xml:space="preserve">Thus, in this case too, an unintended consequence of sanctions can be to make war more likely. </w:t>
      </w:r>
      <w:r w:rsidR="007D2B54">
        <w:rPr>
          <w:rFonts w:ascii="Times New Roman" w:hAnsi="Times New Roman" w:cs="Times New Roman"/>
          <w:sz w:val="24"/>
          <w:szCs w:val="24"/>
        </w:rPr>
        <w:tab/>
      </w:r>
    </w:p>
    <w:p w14:paraId="1B47C62F" w14:textId="5DCA32E4" w:rsidR="00D11102" w:rsidRPr="00D11102" w:rsidRDefault="007D2B54" w:rsidP="007D2B5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00D11102"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00D11102" w:rsidRPr="00D11102">
        <w:rPr>
          <w:rFonts w:ascii="Times New Roman" w:hAnsi="Times New Roman" w:cs="Times New Roman"/>
          <w:sz w:val="24"/>
          <w:szCs w:val="24"/>
        </w:rPr>
        <w:t xml:space="preserve"> lower the secessionists' payoffs from the status quo. If the degradation of status quo payoffs </w:t>
      </w:r>
      <w:proofErr w:type="gramStart"/>
      <w:r w:rsidR="00D11102" w:rsidRPr="00D11102">
        <w:rPr>
          <w:rFonts w:ascii="Times New Roman" w:hAnsi="Times New Roman" w:cs="Times New Roman"/>
          <w:sz w:val="24"/>
          <w:szCs w:val="24"/>
        </w:rPr>
        <w:t>are</w:t>
      </w:r>
      <w:proofErr w:type="gramEnd"/>
      <w:r w:rsidR="00D11102"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w:t>
      </w:r>
      <w:r w:rsidR="005244A4">
        <w:rPr>
          <w:rFonts w:ascii="Times New Roman" w:hAnsi="Times New Roman" w:cs="Times New Roman"/>
          <w:sz w:val="24"/>
          <w:szCs w:val="24"/>
        </w:rPr>
        <w:t>initiate war to reconquer the disputed territory</w:t>
      </w:r>
      <w:r w:rsidR="00D11102" w:rsidRPr="00D11102">
        <w:rPr>
          <w:rFonts w:ascii="Times New Roman" w:hAnsi="Times New Roman" w:cs="Times New Roman"/>
          <w:sz w:val="24"/>
          <w:szCs w:val="24"/>
        </w:rPr>
        <w:t>.</w:t>
      </w:r>
      <w:r w:rsidR="005244A4">
        <w:rPr>
          <w:rFonts w:ascii="Times New Roman" w:hAnsi="Times New Roman" w:cs="Times New Roman"/>
          <w:sz w:val="24"/>
          <w:szCs w:val="24"/>
        </w:rPr>
        <w:t xml:space="preserve"> In either case, sanctions intended to force peaceful reunification can easily lead </w:t>
      </w:r>
      <w:r w:rsidR="009B08D5">
        <w:rPr>
          <w:rFonts w:ascii="Times New Roman" w:hAnsi="Times New Roman" w:cs="Times New Roman"/>
          <w:sz w:val="24"/>
          <w:szCs w:val="24"/>
        </w:rPr>
        <w:t>to violence</w:t>
      </w:r>
      <w:r w:rsidR="005244A4">
        <w:rPr>
          <w:rFonts w:ascii="Times New Roman" w:hAnsi="Times New Roman" w:cs="Times New Roman"/>
          <w:sz w:val="24"/>
          <w:szCs w:val="24"/>
        </w:rPr>
        <w:t>.</w:t>
      </w: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 xml:space="preserve">ication via Military </w:t>
      </w:r>
      <w:proofErr w:type="spellStart"/>
      <w:r w:rsidR="006451CF" w:rsidRPr="008D3DDB">
        <w:rPr>
          <w:rFonts w:ascii="Times New Roman" w:hAnsi="Times New Roman" w:cs="Times New Roman"/>
          <w:i/>
          <w:sz w:val="24"/>
          <w:szCs w:val="24"/>
        </w:rPr>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319B99C9" w14:textId="4A8EC78A" w:rsidR="00172FBF" w:rsidRDefault="00A6420C" w:rsidP="006D611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r w:rsidR="00172FBF">
        <w:rPr>
          <w:rFonts w:ascii="Times New Roman" w:hAnsi="Times New Roman" w:cs="Times New Roman"/>
          <w:sz w:val="24"/>
          <w:szCs w:val="24"/>
        </w:rPr>
        <w:t xml:space="preserve">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Srbpska</w:t>
      </w:r>
      <w:proofErr w:type="spellEnd"/>
      <w:r>
        <w:rPr>
          <w:rFonts w:ascii="Times New Roman" w:hAnsi="Times New Roman" w:cs="Times New Roman"/>
          <w:sz w:val="24"/>
          <w:szCs w:val="24"/>
        </w:rPr>
        <w:t xml:space="preserve"> Krajina </w:t>
      </w:r>
      <w:r w:rsidR="00172FBF">
        <w:rPr>
          <w:rFonts w:ascii="Times New Roman" w:hAnsi="Times New Roman" w:cs="Times New Roman"/>
          <w:sz w:val="24"/>
          <w:szCs w:val="24"/>
        </w:rPr>
        <w:t xml:space="preserve">did both reunify with their respective home states, this resolution was not peaceful. This is not surprising because the removal of patron support has similar effects to the imposition of sanctions. A loss of patron support results in economic decline </w:t>
      </w:r>
      <w:r w:rsidR="00B128CC">
        <w:rPr>
          <w:rFonts w:ascii="Times New Roman" w:hAnsi="Times New Roman" w:cs="Times New Roman"/>
          <w:sz w:val="24"/>
          <w:szCs w:val="24"/>
        </w:rPr>
        <w:t xml:space="preserve">as well as </w:t>
      </w:r>
      <w:r w:rsidR="00172FBF">
        <w:rPr>
          <w:rFonts w:ascii="Times New Roman" w:hAnsi="Times New Roman" w:cs="Times New Roman"/>
          <w:sz w:val="24"/>
          <w:szCs w:val="24"/>
        </w:rPr>
        <w:t xml:space="preserve">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036DE56C" w14:textId="38857DD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proofErr w:type="spellStart"/>
      <w:r>
        <w:rPr>
          <w:rFonts w:ascii="Times New Roman" w:hAnsi="Times New Roman" w:cs="Times New Roman"/>
          <w:sz w:val="24"/>
          <w:szCs w:val="24"/>
        </w:rPr>
        <w:t>reneg</w:t>
      </w:r>
      <w:proofErr w:type="spellEnd"/>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2007;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Weimer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w:t>
      </w:r>
      <w:r w:rsidRPr="002735F5">
        <w:rPr>
          <w:rFonts w:ascii="Times New Roman" w:hAnsi="Times New Roman" w:cs="Times New Roman"/>
          <w:sz w:val="24"/>
          <w:szCs w:val="24"/>
        </w:rPr>
        <w:lastRenderedPageBreak/>
        <w:t xml:space="preserve">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Pr>
          <w:rFonts w:ascii="Times New Roman" w:hAnsi="Times New Roman" w:cs="Times New Roman"/>
          <w:sz w:val="24"/>
          <w:szCs w:val="24"/>
        </w:rPr>
        <w:t>)</w:t>
      </w:r>
      <w:r>
        <w:rPr>
          <w:rFonts w:ascii="Times New Roman" w:hAnsi="Times New Roman" w:cs="Times New Roman"/>
          <w:sz w:val="24"/>
          <w:szCs w:val="24"/>
        </w:rPr>
        <w:t>. However, after secession, the Abkhaz</w:t>
      </w:r>
      <w:r>
        <w:rPr>
          <w:rFonts w:ascii="Times New Roman" w:hAnsi="Times New Roman" w:cs="Times New Roman"/>
          <w:sz w:val="24"/>
          <w:szCs w:val="24"/>
        </w:rPr>
        <w:t xml:space="preserve">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5"/>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6"/>
      </w:r>
    </w:p>
    <w:p w14:paraId="7438CD8F" w14:textId="77777777" w:rsidR="003D7599" w:rsidRDefault="003D7599" w:rsidP="002735F5">
      <w:pPr>
        <w:spacing w:line="360" w:lineRule="auto"/>
        <w:rPr>
          <w:rFonts w:ascii="Times New Roman" w:hAnsi="Times New Roman" w:cs="Times New Roman"/>
          <w:sz w:val="24"/>
          <w:szCs w:val="24"/>
        </w:rPr>
      </w:pPr>
    </w:p>
    <w:p w14:paraId="4232D2D9" w14:textId="77777777" w:rsidR="003D7599" w:rsidRDefault="003D7599" w:rsidP="002735F5">
      <w:pPr>
        <w:spacing w:line="360" w:lineRule="auto"/>
        <w:rPr>
          <w:rFonts w:ascii="Times New Roman" w:hAnsi="Times New Roman" w:cs="Times New Roman"/>
          <w:sz w:val="24"/>
          <w:szCs w:val="24"/>
        </w:rPr>
      </w:pPr>
    </w:p>
    <w:p w14:paraId="73766FB2" w14:textId="77777777" w:rsidR="003D7599" w:rsidRDefault="003D7599" w:rsidP="002735F5">
      <w:pPr>
        <w:spacing w:line="360" w:lineRule="auto"/>
        <w:rPr>
          <w:rFonts w:ascii="Times New Roman" w:hAnsi="Times New Roman" w:cs="Times New Roman"/>
          <w:sz w:val="24"/>
          <w:szCs w:val="24"/>
        </w:rPr>
      </w:pPr>
    </w:p>
    <w:p w14:paraId="5BD85244" w14:textId="5C9F920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7"/>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w:t>
      </w:r>
      <w:proofErr w:type="spellStart"/>
      <w:r w:rsidR="00B128CC">
        <w:rPr>
          <w:rFonts w:ascii="Times New Roman" w:hAnsi="Times New Roman" w:cs="Times New Roman"/>
          <w:sz w:val="24"/>
          <w:szCs w:val="24"/>
        </w:rPr>
        <w:t>Moheli</w:t>
      </w:r>
      <w:proofErr w:type="spell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 xml:space="preserve">nts that ended their wars of secession, Bangladesh achieved </w:t>
      </w:r>
      <w:r w:rsidR="00E97287">
        <w:rPr>
          <w:rFonts w:ascii="Times New Roman" w:hAnsi="Times New Roman" w:cs="Times New Roman"/>
          <w:sz w:val="24"/>
          <w:szCs w:val="24"/>
        </w:rPr>
        <w:lastRenderedPageBreak/>
        <w:t>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Pakistan was forced to recognize the 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5EB08C64" w:rsidR="002735F5" w:rsidRP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Kosovo is an unusual case in that the preferences we generally ascribe to the international community are reversed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6A9B2519" w14:textId="319482E8"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1"/>
      <w:r w:rsidR="002735F5" w:rsidRPr="002735F5">
        <w:rPr>
          <w:rFonts w:ascii="Times New Roman" w:hAnsi="Times New Roman" w:cs="Times New Roman"/>
          <w:sz w:val="24"/>
          <w:szCs w:val="24"/>
        </w:rPr>
        <w:t>The intended effect of sanctions is to make the status quo less appealing vis</w:t>
      </w:r>
      <w:r w:rsidR="006D6113">
        <w:rPr>
          <w:rFonts w:ascii="Times New Roman" w:hAnsi="Times New Roman" w:cs="Times New Roman"/>
          <w:sz w:val="24"/>
          <w:szCs w:val="24"/>
        </w:rPr>
        <w:t>-a-</w:t>
      </w:r>
      <w:r w:rsidR="002735F5" w:rsidRPr="002735F5">
        <w:rPr>
          <w:rFonts w:ascii="Times New Roman" w:hAnsi="Times New Roman" w:cs="Times New Roman"/>
          <w:sz w:val="24"/>
          <w:szCs w:val="24"/>
        </w:rPr>
        <w:t xml:space="preserve">vis ceding. </w:t>
      </w:r>
      <w:proofErr w:type="gramStart"/>
      <w:r w:rsidR="002735F5" w:rsidRPr="002735F5">
        <w:rPr>
          <w:rFonts w:ascii="Times New Roman" w:hAnsi="Times New Roman" w:cs="Times New Roman"/>
          <w:sz w:val="24"/>
          <w:szCs w:val="24"/>
        </w:rPr>
        <w:t>However</w:t>
      </w:r>
      <w:proofErr w:type="gramEnd"/>
      <w:r w:rsidR="002735F5" w:rsidRPr="002735F5">
        <w:rPr>
          <w:rFonts w:ascii="Times New Roman" w:hAnsi="Times New Roman" w:cs="Times New Roman"/>
          <w:sz w:val="24"/>
          <w:szCs w:val="24"/>
        </w:rPr>
        <w:t xml:space="preserve"> any sanctions that increase the secessionists' hostility toward reunification will also increase the range of conditions under which war will be chosen.  Sanctions can have this effect if they reduce the secessionists' quality of life under the status quo and reduce the quality of the deal secessionists expect to get if they opt for negotiated resettlement. As the peaceful options become worse, war becomes relatively more attractive.</w:t>
      </w:r>
    </w:p>
    <w:p w14:paraId="5CEB165C" w14:textId="77777777" w:rsid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Compounding this, sanctions that reduce the secessionists' military capabilities (and thus reduce the secessionists' expected payoffs from war) also have the effect of making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commentRangeEnd w:id="1"/>
      <w:r w:rsidR="00B128CC">
        <w:rPr>
          <w:rStyle w:val="CommentReference"/>
        </w:rPr>
        <w:commentReference w:id="1"/>
      </w:r>
    </w:p>
    <w:p w14:paraId="338CFAC0" w14:textId="23F56BB0" w:rsidR="00F0724C" w:rsidRDefault="00F0724C" w:rsidP="00A456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instead of sanctions, the international community tries to coerce the patron into withdrawing support, it has much the same effect as sanctions. The removal of patron support </w:t>
      </w:r>
      <w:r w:rsidR="002B4C4D">
        <w:rPr>
          <w:rFonts w:ascii="Times New Roman" w:hAnsi="Times New Roman" w:cs="Times New Roman"/>
          <w:sz w:val="24"/>
          <w:szCs w:val="24"/>
        </w:rPr>
        <w:lastRenderedPageBreak/>
        <w:t>harms the economy, reducing the secessionists’ payoffs from the status quo, and it weakens the secessionist military, increasing the home state’s expecte</w:t>
      </w:r>
      <w:bookmarkStart w:id="2" w:name="_GoBack"/>
      <w:bookmarkEnd w:id="2"/>
      <w:r w:rsidR="002B4C4D">
        <w:rPr>
          <w:rFonts w:ascii="Times New Roman" w:hAnsi="Times New Roman" w:cs="Times New Roman"/>
          <w:sz w:val="24"/>
          <w:szCs w:val="24"/>
        </w:rPr>
        <w:t xml:space="preserve">d payoffs from war. In both cases, war may become more likely.  </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w:t>
      </w:r>
      <w:r w:rsidRPr="002735F5">
        <w:rPr>
          <w:rFonts w:ascii="Times New Roman" w:hAnsi="Times New Roman" w:cs="Times New Roman"/>
          <w:sz w:val="24"/>
          <w:szCs w:val="24"/>
        </w:rPr>
        <w:lastRenderedPageBreak/>
        <w:t xml:space="preserve">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commentRangeStart w:id="3"/>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commentRangeEnd w:id="3"/>
      <w:r w:rsidR="00B128CC">
        <w:rPr>
          <w:rStyle w:val="CommentReference"/>
        </w:rPr>
        <w:commentReference w:id="3"/>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w:t>
      </w:r>
      <w:proofErr w:type="spellStart"/>
      <w:r>
        <w:rPr>
          <w:rFonts w:ascii="Times New Roman" w:hAnsi="Times New Roman" w:cs="Times New Roman"/>
          <w:sz w:val="24"/>
          <w:szCs w:val="24"/>
        </w:rPr>
        <w:t>Ngorno-Karabahk</w:t>
      </w:r>
      <w:proofErr w:type="spellEnd"/>
      <w:r>
        <w:rPr>
          <w:rFonts w:ascii="Times New Roman" w:hAnsi="Times New Roman" w:cs="Times New Roman"/>
          <w:sz w:val="24"/>
          <w:szCs w:val="24"/>
        </w:rPr>
        <w:t xml:space="preserve">.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April 2016, violence flared up at the border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w:t>
      </w:r>
      <w:r>
        <w:rPr>
          <w:rFonts w:ascii="Times New Roman" w:hAnsi="Times New Roman" w:cs="Times New Roman"/>
          <w:sz w:val="24"/>
          <w:szCs w:val="24"/>
        </w:rPr>
        <w:lastRenderedPageBreak/>
        <w:t>be greater than at any</w:t>
      </w:r>
      <w:r w:rsidR="00800D13">
        <w:rPr>
          <w:rFonts w:ascii="Times New Roman" w:hAnsi="Times New Roman" w:cs="Times New Roman"/>
          <w:sz w:val="24"/>
          <w:szCs w:val="24"/>
        </w:rPr>
        <w:t xml:space="preserve"> time since the 1994 ceasefire (</w:t>
      </w:r>
      <w:commentRangeStart w:id="4"/>
      <w:r w:rsidR="00800D13">
        <w:rPr>
          <w:rFonts w:ascii="Times New Roman" w:hAnsi="Times New Roman" w:cs="Times New Roman"/>
          <w:sz w:val="24"/>
          <w:szCs w:val="24"/>
        </w:rPr>
        <w:t>ICC 2017</w:t>
      </w:r>
      <w:commentRangeEnd w:id="4"/>
      <w:r w:rsidR="00800D13">
        <w:rPr>
          <w:rStyle w:val="CommentReference"/>
        </w:rPr>
        <w:commentReference w:id="4"/>
      </w:r>
      <w:r w:rsidR="00800D13">
        <w:rPr>
          <w:rFonts w:ascii="Times New Roman" w:hAnsi="Times New Roman" w:cs="Times New Roman"/>
          <w:sz w:val="24"/>
          <w:szCs w:val="24"/>
        </w:rPr>
        <w:t>)</w:t>
      </w:r>
      <w:r w:rsidR="002F6CBC">
        <w:rPr>
          <w:rFonts w:ascii="Times New Roman" w:hAnsi="Times New Roman" w:cs="Times New Roman"/>
          <w:sz w:val="24"/>
          <w:szCs w:val="24"/>
        </w:rPr>
        <w:t xml:space="preserve">; any such war would likely involve </w:t>
      </w:r>
      <w:proofErr w:type="spellStart"/>
      <w:r w:rsidR="002F6CBC">
        <w:rPr>
          <w:rFonts w:ascii="Times New Roman" w:hAnsi="Times New Roman" w:cs="Times New Roman"/>
          <w:sz w:val="24"/>
          <w:szCs w:val="24"/>
        </w:rPr>
        <w:t>Karabakh’s</w:t>
      </w:r>
      <w:proofErr w:type="spellEnd"/>
      <w:r w:rsidR="002F6CBC">
        <w:rPr>
          <w:rFonts w:ascii="Times New Roman" w:hAnsi="Times New Roman" w:cs="Times New Roman"/>
          <w:sz w:val="24"/>
          <w:szCs w:val="24"/>
        </w:rPr>
        <w:t xml:space="preserve">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5"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6"/>
      <w:r>
        <w:rPr>
          <w:rStyle w:val="FootnoteReference"/>
          <w:rFonts w:ascii="Times New Roman" w:hAnsi="Times New Roman" w:cs="Times New Roman"/>
          <w:sz w:val="24"/>
          <w:szCs w:val="24"/>
        </w:rPr>
        <w:footnoteReference w:id="3"/>
      </w:r>
      <w:r w:rsidR="000347AF">
        <w:rPr>
          <w:rFonts w:ascii="Times New Roman" w:hAnsi="Times New Roman" w:cs="Times New Roman"/>
          <w:sz w:val="24"/>
          <w:szCs w:val="24"/>
        </w:rPr>
        <w:t xml:space="preserve"> </w:t>
      </w:r>
      <w:commentRangeEnd w:id="6"/>
      <w:r>
        <w:rPr>
          <w:rStyle w:val="CommentReference"/>
        </w:rPr>
        <w:commentReference w:id="6"/>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Kristy Buzard" w:date="2017-07-19T10:59:00Z" w:initials="KB">
    <w:p w14:paraId="55441B70" w14:textId="27D83F99" w:rsidR="00B128CC" w:rsidRDefault="00B128CC">
      <w:pPr>
        <w:pStyle w:val="CommentText"/>
      </w:pPr>
      <w:r>
        <w:rPr>
          <w:rStyle w:val="CommentReference"/>
        </w:rPr>
        <w:annotationRef/>
      </w:r>
      <w:r>
        <w:t>I think this should either be drastically shortened to refer back to sanctions section, or the sanctions section should be brought here. I’m leaning toward the latter, but a little worried some of the earlier case material leans too heavily on that section. Thoughts?</w:t>
      </w:r>
    </w:p>
  </w:comment>
  <w:comment w:id="3" w:author="Kristy Buzard" w:date="2017-07-19T11:01:00Z" w:initials="KB">
    <w:p w14:paraId="58CAF46C" w14:textId="7CC481AC" w:rsidR="00B128CC" w:rsidRDefault="00B128CC">
      <w:pPr>
        <w:pStyle w:val="CommentText"/>
      </w:pPr>
      <w:r>
        <w:rPr>
          <w:rStyle w:val="CommentReference"/>
        </w:rPr>
        <w:annotationRef/>
      </w:r>
      <w:r>
        <w:t xml:space="preserve">I think this would better go with the first two options since it has the same flavor of “could backfire,” but wanted to check with </w:t>
      </w:r>
      <w:proofErr w:type="spellStart"/>
      <w:r>
        <w:t>you</w:t>
      </w:r>
      <w:proofErr w:type="spellEnd"/>
      <w:r>
        <w:t xml:space="preserve"> first.</w:t>
      </w:r>
    </w:p>
  </w:comment>
  <w:comment w:id="4"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6"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 xml:space="preserve">Both Armenia and Azerbaijan have strong security ties to </w:t>
      </w:r>
      <w:proofErr w:type="gramStart"/>
      <w:r w:rsidR="00E47A8B">
        <w:rPr>
          <w:rFonts w:ascii="Times New Roman" w:hAnsi="Times New Roman" w:cs="Times New Roman"/>
        </w:rPr>
        <w:t>Russia</w:t>
      </w:r>
      <w:r w:rsidR="00E47A8B" w:rsidRPr="00A216FD">
        <w:t xml:space="preserve"> </w:t>
      </w:r>
      <w:r w:rsidR="00E47A8B">
        <w:t xml:space="preserve"> </w:t>
      </w:r>
      <w:r w:rsidRPr="00A216FD">
        <w:t>https://www.crisisgroup.org/europe-central-asia/caucasus/nagorno-karabakh-azerbaijan/shifting-dangers-nagorno-karabakh</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Ex w15:paraId="55441B70" w15:done="0"/>
  <w15:commentEx w15:paraId="58CAF46C"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0362551" w16cid:durableId="1D19B91D"/>
  <w16cid:commentId w16cid:paraId="10D7A18F" w16cid:durableId="1D19B95F"/>
  <w16cid:commentId w16cid:paraId="35260D50" w16cid:durableId="1D19B9BC"/>
  <w16cid:commentId w16cid:paraId="55441B70" w16cid:durableId="1D19BA2B"/>
  <w16cid:commentId w16cid:paraId="58CAF46C" w16cid:durableId="1D19BA9B"/>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CCCDC" w14:textId="77777777" w:rsidR="0058300D" w:rsidRDefault="0058300D" w:rsidP="00050CA0">
      <w:pPr>
        <w:spacing w:after="0" w:line="240" w:lineRule="auto"/>
      </w:pPr>
      <w:r>
        <w:separator/>
      </w:r>
    </w:p>
  </w:endnote>
  <w:endnote w:type="continuationSeparator" w:id="0">
    <w:p w14:paraId="385AC005" w14:textId="77777777" w:rsidR="0058300D" w:rsidRDefault="0058300D"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5">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6A23819F"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E13B1F">
          <w:rPr>
            <w:rFonts w:ascii="Times New Roman" w:hAnsi="Times New Roman" w:cs="Times New Roman"/>
            <w:noProof/>
            <w:sz w:val="24"/>
            <w:szCs w:val="24"/>
          </w:rPr>
          <w:t>19</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53CB3" w14:textId="77777777" w:rsidR="0058300D" w:rsidRDefault="0058300D" w:rsidP="00050CA0">
      <w:pPr>
        <w:spacing w:after="0" w:line="240" w:lineRule="auto"/>
      </w:pPr>
      <w:r>
        <w:separator/>
      </w:r>
    </w:p>
  </w:footnote>
  <w:footnote w:type="continuationSeparator" w:id="0">
    <w:p w14:paraId="7E2D3E4C" w14:textId="77777777" w:rsidR="0058300D" w:rsidRDefault="0058300D"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 xml:space="preserve">Mediation of the </w:t>
      </w:r>
      <w:proofErr w:type="spellStart"/>
      <w:r>
        <w:rPr>
          <w:rFonts w:ascii="Times New Roman" w:hAnsi="Times New Roman" w:cs="Times New Roman"/>
        </w:rPr>
        <w:t>Ngorno-Karabakh</w:t>
      </w:r>
      <w:proofErr w:type="spellEnd"/>
      <w:r>
        <w:rPr>
          <w:rFonts w:ascii="Times New Roman" w:hAnsi="Times New Roman" w:cs="Times New Roman"/>
        </w:rPr>
        <w:t xml:space="preserve">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w:t>
      </w:r>
      <w:proofErr w:type="spellStart"/>
      <w:r>
        <w:t>Grono</w:t>
      </w:r>
      <w:proofErr w:type="spellEnd"/>
      <w:r>
        <w:t xml:space="preserve">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300D"/>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CCF"/>
    <w:rsid w:val="0095644B"/>
    <w:rsid w:val="00960EF6"/>
    <w:rsid w:val="00965859"/>
    <w:rsid w:val="009761BF"/>
    <w:rsid w:val="00986679"/>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128CC"/>
    <w:rsid w:val="00B36A30"/>
    <w:rsid w:val="00B5566E"/>
    <w:rsid w:val="00B5649D"/>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A1AC0"/>
    <w:rsid w:val="00DB5274"/>
    <w:rsid w:val="00DC376C"/>
    <w:rsid w:val="00DC4ECA"/>
    <w:rsid w:val="00DE28BE"/>
    <w:rsid w:val="00DE3F49"/>
    <w:rsid w:val="00E110F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3547"/>
    <w:rsid w:val="00ED0482"/>
    <w:rsid w:val="00EE2B46"/>
    <w:rsid w:val="00F05697"/>
    <w:rsid w:val="00F0724C"/>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0FA63-4E92-DD4A-B5AA-F62B3346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Pages>
  <Words>6640</Words>
  <Characters>37852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65</cp:revision>
  <dcterms:created xsi:type="dcterms:W3CDTF">2017-07-10T16:48:00Z</dcterms:created>
  <dcterms:modified xsi:type="dcterms:W3CDTF">2017-07-19T18:00:00Z</dcterms:modified>
</cp:coreProperties>
</file>