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BUSINESS LAW — EXAMINATION ANSWERS</w:t>
      </w:r>
    </w:p>
    <w:p>
      <w:pPr>
        <w:jc w:val="center"/>
      </w:pPr>
      <w:r>
        <w:rPr>
          <w:i w:val="0"/>
        </w:rPr>
        <w:t>Bachelor of Business Administration  |  Vitiating Factors and the Law of Agency</w:t>
      </w:r>
    </w:p>
    <w:p>
      <w:pPr>
        <w:jc w:val="center"/>
      </w:pPr>
      <w:r>
        <w:rPr>
          <w:i w:val="0"/>
        </w:rPr>
        <w:t xml:space="preserve">Main laws used: </w:t>
      </w:r>
      <w:r>
        <w:rPr>
          <w:b/>
          <w:i w:val="0"/>
        </w:rPr>
        <w:t>Contracts Act, 2010</w:t>
      </w:r>
      <w:r>
        <w:rPr>
          <w:i w:val="0"/>
        </w:rPr>
        <w:t xml:space="preserve"> • Common law (decided cases)</w:t>
      </w:r>
    </w:p>
    <w:p>
      <w:pPr>
        <w:jc w:val="center"/>
      </w:pPr>
      <w:r>
        <w:rPr>
          <w:i/>
          <w:sz w:val="21"/>
        </w:rPr>
        <w:t>Section numbers are those of the Contracts Act, 2010 as passed; the 2023 Revised Edition of the Laws of Uganda (Cap. 284) may number them differently.</w:t>
      </w:r>
    </w:p>
    <w:p>
      <w:pPr>
        <w:pStyle w:val="Heading1"/>
      </w:pPr>
      <w:r>
        <w:rPr>
          <w:i w:val="0"/>
        </w:rPr>
        <w:t>QUESTION ONE</w:t>
      </w:r>
    </w:p>
    <w:p>
      <w:pPr>
        <w:pStyle w:val="Heading2"/>
      </w:pPr>
      <w:r>
        <w:rPr>
          <w:i w:val="0"/>
        </w:rPr>
        <w:t>Vitiating factors of a contract (25 marks)</w:t>
      </w:r>
    </w:p>
    <w:p>
      <w:pPr>
        <w:pStyle w:val="Heading3"/>
      </w:pPr>
      <w:r>
        <w:rPr>
          <w:i w:val="0"/>
        </w:rPr>
        <w:t>Introduction</w:t>
      </w:r>
    </w:p>
    <w:p>
      <w:pPr>
        <w:jc w:val="both"/>
      </w:pPr>
      <w:r>
        <w:rPr>
          <w:i w:val="0"/>
        </w:rPr>
        <w:t xml:space="preserve">Under </w:t>
      </w:r>
      <w:r>
        <w:rPr>
          <w:b/>
          <w:i w:val="0"/>
        </w:rPr>
        <w:t>section 10(1) of the Contracts Act, 2010</w:t>
      </w:r>
      <w:r>
        <w:rPr>
          <w:i w:val="0"/>
        </w:rPr>
        <w:t xml:space="preserve">, a contract is an agreement made with the </w:t>
      </w:r>
      <w:r>
        <w:rPr>
          <w:b/>
          <w:i w:val="0"/>
        </w:rPr>
        <w:t>free consent</w:t>
      </w:r>
      <w:r>
        <w:rPr>
          <w:i w:val="0"/>
        </w:rPr>
        <w:t xml:space="preserve"> of parties with </w:t>
      </w:r>
      <w:r>
        <w:rPr>
          <w:b/>
          <w:i w:val="0"/>
        </w:rPr>
        <w:t>capacity</w:t>
      </w:r>
      <w:r>
        <w:rPr>
          <w:i w:val="0"/>
        </w:rPr>
        <w:t xml:space="preserve"> to contract, for a </w:t>
      </w:r>
      <w:r>
        <w:rPr>
          <w:b/>
          <w:i w:val="0"/>
        </w:rPr>
        <w:t>lawful consideration</w:t>
      </w:r>
      <w:r>
        <w:rPr>
          <w:i w:val="0"/>
        </w:rPr>
        <w:t xml:space="preserve"> and with a </w:t>
      </w:r>
      <w:r>
        <w:rPr>
          <w:b/>
          <w:i w:val="0"/>
        </w:rPr>
        <w:t>lawful object</w:t>
      </w:r>
      <w:r>
        <w:rPr>
          <w:i w:val="0"/>
        </w:rPr>
        <w:t xml:space="preserve">, with the intention to be legally bound. Sometimes an agreement looks like a valid contract, with an offer, an acceptance and consideration, but something went wrong when it was made. These defects are called </w:t>
      </w:r>
      <w:r>
        <w:rPr>
          <w:b/>
          <w:i w:val="0"/>
        </w:rPr>
        <w:t>vitiating factors</w:t>
      </w:r>
      <w:r>
        <w:rPr>
          <w:i w:val="0"/>
        </w:rPr>
        <w:t>. To "vitiate" means to spoil or weaken. A vitiating factor spoils a contract, so that it is either:</w:t>
      </w:r>
    </w:p>
    <w:p>
      <w:pPr>
        <w:pStyle w:val="ListBullet"/>
        <w:jc w:val="both"/>
      </w:pPr>
      <w:r>
        <w:rPr>
          <w:b/>
          <w:i w:val="0"/>
        </w:rPr>
        <w:t>Void</w:t>
      </w:r>
      <w:r>
        <w:rPr>
          <w:i w:val="0"/>
        </w:rPr>
        <w:t xml:space="preserve"> – it has no legal effect at all, as if it was never made (e.g. an illegal contract); or</w:t>
      </w:r>
    </w:p>
    <w:p>
      <w:pPr>
        <w:pStyle w:val="ListBullet"/>
        <w:jc w:val="both"/>
      </w:pPr>
      <w:r>
        <w:rPr>
          <w:b/>
          <w:i w:val="0"/>
        </w:rPr>
        <w:t>Voidable</w:t>
      </w:r>
      <w:r>
        <w:rPr>
          <w:i w:val="0"/>
        </w:rPr>
        <w:t xml:space="preserve"> – it is valid until the innocent party chooses to cancel it (e.g. a contract obtained by fraud or coercion); or</w:t>
      </w:r>
    </w:p>
    <w:p>
      <w:pPr>
        <w:pStyle w:val="ListBullet"/>
        <w:jc w:val="both"/>
      </w:pPr>
      <w:r>
        <w:rPr>
          <w:b/>
          <w:i w:val="0"/>
        </w:rPr>
        <w:t>Unenforceable</w:t>
      </w:r>
      <w:r>
        <w:rPr>
          <w:i w:val="0"/>
        </w:rPr>
        <w:t xml:space="preserve"> – it is valid but cannot be enforced in court (e.g. some contracts against minors).</w:t>
      </w:r>
    </w:p>
    <w:p>
      <w:pPr>
        <w:jc w:val="both"/>
      </w:pPr>
      <w:r>
        <w:rPr>
          <w:b/>
          <w:i w:val="0"/>
        </w:rPr>
        <w:t>Section 13</w:t>
      </w:r>
      <w:r>
        <w:rPr>
          <w:i w:val="0"/>
        </w:rPr>
        <w:t xml:space="preserve"> of the Act says consent is free when it is not caused by coercion, undue influence, fraud, misrepresentation or mistake. </w:t>
      </w:r>
      <w:r>
        <w:rPr>
          <w:b/>
          <w:i w:val="0"/>
        </w:rPr>
        <w:t>Section 16</w:t>
      </w:r>
      <w:r>
        <w:rPr>
          <w:i w:val="0"/>
        </w:rPr>
        <w:t xml:space="preserve"> adds that where consent was obtained by coercion, undue influence, fraud or misrepresentation, the contract is </w:t>
      </w:r>
      <w:r>
        <w:rPr>
          <w:b/>
          <w:i w:val="0"/>
        </w:rPr>
        <w:t>voidable</w:t>
      </w:r>
      <w:r>
        <w:rPr>
          <w:i w:val="0"/>
        </w:rPr>
        <w:t xml:space="preserve"> at the option of the party whose consent was so obtained. The main vitiating factors are discussed below.</w:t>
      </w:r>
    </w:p>
    <w:p>
      <w:pPr>
        <w:pStyle w:val="Heading3"/>
      </w:pPr>
      <w:r>
        <w:rPr>
          <w:i w:val="0"/>
        </w:rPr>
        <w:t>1. Misrepresentation</w:t>
      </w:r>
    </w:p>
    <w:p>
      <w:pPr>
        <w:jc w:val="both"/>
      </w:pPr>
      <w:r>
        <w:rPr>
          <w:i w:val="0"/>
        </w:rPr>
        <w:t xml:space="preserve">A </w:t>
      </w:r>
      <w:r>
        <w:rPr>
          <w:b/>
          <w:i w:val="0"/>
        </w:rPr>
        <w:t>misrepresentation</w:t>
      </w:r>
      <w:r>
        <w:rPr>
          <w:i w:val="0"/>
        </w:rPr>
        <w:t xml:space="preserve"> is a false statement of </w:t>
      </w:r>
      <w:r>
        <w:rPr>
          <w:b/>
          <w:i w:val="0"/>
        </w:rPr>
        <w:t>fact</w:t>
      </w:r>
      <w:r>
        <w:rPr>
          <w:i w:val="0"/>
        </w:rPr>
        <w:t xml:space="preserve">, made by one party to the other before or at the time of the contract, which </w:t>
      </w:r>
      <w:r>
        <w:rPr>
          <w:b/>
          <w:i w:val="0"/>
        </w:rPr>
        <w:t>induces</w:t>
      </w:r>
      <w:r>
        <w:rPr>
          <w:i w:val="0"/>
        </w:rPr>
        <w:t xml:space="preserve"> (persuades) the other party to enter the contract.</w:t>
      </w:r>
    </w:p>
    <w:p>
      <w:pPr>
        <w:jc w:val="both"/>
      </w:pPr>
      <w:r>
        <w:rPr>
          <w:b/>
          <w:i w:val="0"/>
        </w:rPr>
        <w:t>Elements:</w:t>
      </w:r>
    </w:p>
    <w:p>
      <w:pPr>
        <w:pStyle w:val="ListBullet"/>
        <w:jc w:val="both"/>
      </w:pPr>
      <w:r>
        <w:rPr>
          <w:b/>
          <w:i w:val="0"/>
        </w:rPr>
        <w:t>It must be a statement of fact</w:t>
      </w:r>
      <w:r>
        <w:rPr>
          <w:i w:val="0"/>
        </w:rPr>
        <w:t xml:space="preserve">, not an opinion, a statement of future intention, or sales talk. In </w:t>
      </w:r>
      <w:r>
        <w:rPr>
          <w:i/>
        </w:rPr>
        <w:t>Bisset v Wilkinson (1927)</w:t>
      </w:r>
      <w:r>
        <w:rPr>
          <w:i w:val="0"/>
        </w:rPr>
        <w:t xml:space="preserve">, a seller's honest opinion that his land could carry 2,000 sheep was not a misrepresentation, because neither party knew the land's capacity. However, a statement of a person's present intention is a fact if he does not really hold it – </w:t>
      </w:r>
      <w:r>
        <w:rPr>
          <w:i/>
        </w:rPr>
        <w:t>Edgington v Fitzmaurice (1885)</w:t>
      </w:r>
      <w:r>
        <w:rPr>
          <w:i w:val="0"/>
        </w:rPr>
        <w:t>, where company directors said a loan was for expansion when it was really to pay debts.</w:t>
      </w:r>
    </w:p>
    <w:p>
      <w:pPr>
        <w:pStyle w:val="ListBullet"/>
        <w:jc w:val="both"/>
      </w:pPr>
      <w:r>
        <w:rPr>
          <w:b/>
          <w:i w:val="0"/>
        </w:rPr>
        <w:t>Silence is generally not misrepresentation</w:t>
      </w:r>
      <w:r>
        <w:rPr>
          <w:i w:val="0"/>
        </w:rPr>
        <w:t>, except where a half-truth is told (</w:t>
      </w:r>
      <w:r>
        <w:rPr>
          <w:i/>
        </w:rPr>
        <w:t>Dimmock v Hallett (1866)</w:t>
      </w:r>
      <w:r>
        <w:rPr>
          <w:i w:val="0"/>
        </w:rPr>
        <w:t>), where circumstances change before the contract is signed (</w:t>
      </w:r>
      <w:r>
        <w:rPr>
          <w:i/>
        </w:rPr>
        <w:t>With v O'Flanagan (1936)</w:t>
      </w:r>
      <w:r>
        <w:rPr>
          <w:i w:val="0"/>
        </w:rPr>
        <w:t>, where a medical practice's income collapsed before sale), or in contracts of utmost good faith such as insurance.</w:t>
      </w:r>
    </w:p>
    <w:p>
      <w:pPr>
        <w:pStyle w:val="ListBullet"/>
        <w:jc w:val="both"/>
      </w:pPr>
      <w:r>
        <w:rPr>
          <w:b/>
          <w:i w:val="0"/>
        </w:rPr>
        <w:t>It must induce the contract.</w:t>
      </w:r>
      <w:r>
        <w:rPr>
          <w:i w:val="0"/>
        </w:rPr>
        <w:t xml:space="preserve"> If the party did not rely on the statement, there is no misrepresentation – </w:t>
      </w:r>
      <w:r>
        <w:rPr>
          <w:i/>
        </w:rPr>
        <w:t>Attwood v Small (1838)</w:t>
      </w:r>
      <w:r>
        <w:rPr>
          <w:i w:val="0"/>
        </w:rPr>
        <w:t>, where buyers relied on their own experts.</w:t>
      </w:r>
    </w:p>
    <w:p>
      <w:pPr>
        <w:jc w:val="both"/>
      </w:pPr>
      <w:r>
        <w:rPr>
          <w:b/>
          <w:i w:val="0"/>
        </w:rPr>
        <w:t>Types:</w:t>
      </w:r>
    </w:p>
    <w:p>
      <w:pPr>
        <w:pStyle w:val="ListBullet"/>
        <w:jc w:val="both"/>
      </w:pPr>
      <w:r>
        <w:rPr>
          <w:b/>
          <w:i w:val="0"/>
        </w:rPr>
        <w:t>Fraudulent misrepresentation</w:t>
      </w:r>
      <w:r>
        <w:rPr>
          <w:i w:val="0"/>
        </w:rPr>
        <w:t xml:space="preserve"> – a false statement made knowingly, without belief in its truth, or recklessly, careless whether it is true or false – </w:t>
      </w:r>
      <w:r>
        <w:rPr>
          <w:i/>
        </w:rPr>
        <w:t>Derry v Peek (1889)</w:t>
      </w:r>
      <w:r>
        <w:rPr>
          <w:i w:val="0"/>
        </w:rPr>
        <w:t xml:space="preserve">. Under </w:t>
      </w:r>
      <w:r>
        <w:rPr>
          <w:b/>
          <w:i w:val="0"/>
        </w:rPr>
        <w:t>section 15</w:t>
      </w:r>
      <w:r>
        <w:rPr>
          <w:i w:val="0"/>
        </w:rPr>
        <w:t xml:space="preserve"> of the Contracts Act, fraud includes such acts done with intent to deceive the other party or to make him enter the contract.</w:t>
      </w:r>
    </w:p>
    <w:p>
      <w:pPr>
        <w:pStyle w:val="ListBullet"/>
        <w:jc w:val="both"/>
      </w:pPr>
      <w:r>
        <w:rPr>
          <w:b/>
          <w:i w:val="0"/>
        </w:rPr>
        <w:t>Negligent misrepresentation</w:t>
      </w:r>
      <w:r>
        <w:rPr>
          <w:i w:val="0"/>
        </w:rPr>
        <w:t xml:space="preserve"> – made carelessly by a person who had a duty to take care – </w:t>
      </w:r>
      <w:r>
        <w:rPr>
          <w:i/>
        </w:rPr>
        <w:t>Hedley Byrne v Heller (1964)</w:t>
      </w:r>
      <w:r>
        <w:rPr>
          <w:i w:val="0"/>
        </w:rPr>
        <w:t>.</w:t>
      </w:r>
    </w:p>
    <w:p>
      <w:pPr>
        <w:pStyle w:val="ListBullet"/>
        <w:jc w:val="both"/>
      </w:pPr>
      <w:r>
        <w:rPr>
          <w:b/>
          <w:i w:val="0"/>
        </w:rPr>
        <w:t>Innocent misrepresentation</w:t>
      </w:r>
      <w:r>
        <w:rPr>
          <w:i w:val="0"/>
        </w:rPr>
        <w:t xml:space="preserve"> – made honestly and with reasonable grounds for believing it to be true.</w:t>
      </w:r>
    </w:p>
    <w:p>
      <w:pPr>
        <w:jc w:val="both"/>
      </w:pPr>
      <w:r>
        <w:rPr>
          <w:b/>
          <w:i w:val="0"/>
        </w:rPr>
        <w:t>Effect and remedies:</w:t>
      </w:r>
      <w:r>
        <w:rPr>
          <w:i w:val="0"/>
        </w:rPr>
        <w:t xml:space="preserve"> the contract is </w:t>
      </w:r>
      <w:r>
        <w:rPr>
          <w:b/>
          <w:i w:val="0"/>
        </w:rPr>
        <w:t>voidable</w:t>
      </w:r>
      <w:r>
        <w:rPr>
          <w:i w:val="0"/>
        </w:rPr>
        <w:t xml:space="preserve"> (section 16). The innocent party may </w:t>
      </w:r>
      <w:r>
        <w:rPr>
          <w:b/>
          <w:i w:val="0"/>
        </w:rPr>
        <w:t>rescind</w:t>
      </w:r>
      <w:r>
        <w:rPr>
          <w:i w:val="0"/>
        </w:rPr>
        <w:t xml:space="preserve"> (cancel) it and be put back in the position he was in before, and may claim </w:t>
      </w:r>
      <w:r>
        <w:rPr>
          <w:b/>
          <w:i w:val="0"/>
        </w:rPr>
        <w:t>damages</w:t>
      </w:r>
      <w:r>
        <w:rPr>
          <w:i w:val="0"/>
        </w:rPr>
        <w:t xml:space="preserve"> for fraud or negligence. Under </w:t>
      </w:r>
      <w:r>
        <w:rPr>
          <w:b/>
          <w:i w:val="0"/>
        </w:rPr>
        <w:t>section 16(2)</w:t>
      </w:r>
      <w:r>
        <w:rPr>
          <w:i w:val="0"/>
        </w:rPr>
        <w:t xml:space="preserve">, however, the contract is not voidable for misrepresentation if the party had the means of discovering the truth with ordinary diligence. Rescission is also lost where the innocent party </w:t>
      </w:r>
      <w:r>
        <w:rPr>
          <w:b/>
          <w:i w:val="0"/>
        </w:rPr>
        <w:t>affirms</w:t>
      </w:r>
      <w:r>
        <w:rPr>
          <w:i w:val="0"/>
        </w:rPr>
        <w:t xml:space="preserve"> the contract after discovering the truth (</w:t>
      </w:r>
      <w:r>
        <w:rPr>
          <w:i/>
        </w:rPr>
        <w:t>Long v Lloyd (1958)</w:t>
      </w:r>
      <w:r>
        <w:rPr>
          <w:i w:val="0"/>
        </w:rPr>
        <w:t>), delays too long (</w:t>
      </w:r>
      <w:r>
        <w:rPr>
          <w:i/>
        </w:rPr>
        <w:t>Leaf v International Galleries (1950)</w:t>
      </w:r>
      <w:r>
        <w:rPr>
          <w:i w:val="0"/>
        </w:rPr>
        <w:t xml:space="preserve">), or where an innocent </w:t>
      </w:r>
      <w:r>
        <w:rPr>
          <w:b/>
          <w:i w:val="0"/>
        </w:rPr>
        <w:t>third party</w:t>
      </w:r>
      <w:r>
        <w:rPr>
          <w:i w:val="0"/>
        </w:rPr>
        <w:t xml:space="preserve"> has bought the goods in good faith.</w:t>
      </w:r>
    </w:p>
    <w:p>
      <w:pPr>
        <w:ind w:left="283"/>
        <w:jc w:val="both"/>
        <w:pBdr>
          <w:left w:val="single" w:sz="18" w:space="6" w:color="808080"/>
        </w:pBdr>
        <w:shd w:val="clear" w:color="auto" w:fill="F2F2F2"/>
      </w:pPr>
      <w:r>
        <w:rPr>
          <w:b/>
        </w:rPr>
        <w:t>Illustration:</w:t>
      </w:r>
      <w:r>
        <w:rPr>
          <w:i w:val="0"/>
        </w:rPr>
        <w:t xml:space="preserve"> Kato sells a plot of land in Mukono to Apio, telling her that "the land has no disputes and the title is clean." In fact, Kato knows that his brother has lodged a caveat on the title. This is fraudulent misrepresentation. Apio can cancel the contract, recover her money and claim damages. Had Apio done a simple search at the Land Registry (Ministry of Lands) she would have discovered the caveat – Kato may argue section 16(2), but this rule does not protect a fraudulent party who actively lied.</w:t>
      </w:r>
    </w:p>
    <w:p>
      <w:pPr>
        <w:pStyle w:val="Heading3"/>
      </w:pPr>
      <w:r>
        <w:rPr>
          <w:i w:val="0"/>
        </w:rPr>
        <w:t>2. Mistake</w:t>
      </w:r>
    </w:p>
    <w:p>
      <w:pPr>
        <w:jc w:val="both"/>
      </w:pPr>
      <w:r>
        <w:rPr>
          <w:i w:val="0"/>
        </w:rPr>
        <w:t xml:space="preserve">A </w:t>
      </w:r>
      <w:r>
        <w:rPr>
          <w:b/>
          <w:i w:val="0"/>
        </w:rPr>
        <w:t>mistake</w:t>
      </w:r>
      <w:r>
        <w:rPr>
          <w:i w:val="0"/>
        </w:rPr>
        <w:t xml:space="preserve"> is an incorrect belief held by one or both parties about a fact which is basic to the contract. The general rule is that a mistake does not affect a contract; only certain serious ("operative") mistakes do. The Contracts Act deals with mistake in </w:t>
      </w:r>
      <w:r>
        <w:rPr>
          <w:b/>
          <w:i w:val="0"/>
        </w:rPr>
        <w:t>sections 17 and 18</w:t>
      </w:r>
      <w:r>
        <w:rPr>
          <w:i w:val="0"/>
        </w:rPr>
        <w:t>: where both parties are under a mistake as to a fact essential to the agreement, the agreement is void, but a mistake as to the law in force in Uganda does not affect the contract.</w:t>
      </w:r>
    </w:p>
    <w:p>
      <w:pPr>
        <w:pStyle w:val="ListBullet"/>
        <w:jc w:val="both"/>
      </w:pPr>
      <w:r>
        <w:rPr>
          <w:b/>
          <w:i w:val="0"/>
        </w:rPr>
        <w:t>Common mistake</w:t>
      </w:r>
      <w:r>
        <w:rPr>
          <w:i w:val="0"/>
        </w:rPr>
        <w:t xml:space="preserve"> – both parties make the same mistake. If the subject matter no longer exists when the contract is made, the contract is void – </w:t>
      </w:r>
      <w:r>
        <w:rPr>
          <w:i/>
        </w:rPr>
        <w:t>Couturier v Hastie (1856)</w:t>
      </w:r>
      <w:r>
        <w:rPr>
          <w:i w:val="0"/>
        </w:rPr>
        <w:t xml:space="preserve">, where a cargo of corn had already gone bad and been sold before the contract. A mistake about mere quality does not make the contract void – </w:t>
      </w:r>
      <w:r>
        <w:rPr>
          <w:i/>
        </w:rPr>
        <w:t>Bell v Lever Brothers (1932)</w:t>
      </w:r>
      <w:r>
        <w:rPr>
          <w:i w:val="0"/>
        </w:rPr>
        <w:t>.</w:t>
      </w:r>
    </w:p>
    <w:p>
      <w:pPr>
        <w:pStyle w:val="ListBullet"/>
        <w:jc w:val="both"/>
      </w:pPr>
      <w:r>
        <w:rPr>
          <w:b/>
          <w:i w:val="0"/>
        </w:rPr>
        <w:t>Mutual mistake</w:t>
      </w:r>
      <w:r>
        <w:rPr>
          <w:i w:val="0"/>
        </w:rPr>
        <w:t xml:space="preserve"> – the parties misunderstand each other and are at cross-purposes. In </w:t>
      </w:r>
      <w:r>
        <w:rPr>
          <w:i/>
        </w:rPr>
        <w:t>Raffles v Wichelhaus (1864)</w:t>
      </w:r>
      <w:r>
        <w:rPr>
          <w:i w:val="0"/>
        </w:rPr>
        <w:t>, the parties meant two different ships, both called "Peerless", so there was no agreement.</w:t>
      </w:r>
    </w:p>
    <w:p>
      <w:pPr>
        <w:pStyle w:val="ListBullet"/>
        <w:jc w:val="both"/>
      </w:pPr>
      <w:r>
        <w:rPr>
          <w:b/>
          <w:i w:val="0"/>
        </w:rPr>
        <w:t>Unilateral mistake</w:t>
      </w:r>
      <w:r>
        <w:rPr>
          <w:i w:val="0"/>
        </w:rPr>
        <w:t xml:space="preserve"> – only one party is mistaken and the other knows it. In </w:t>
      </w:r>
      <w:r>
        <w:rPr>
          <w:i/>
        </w:rPr>
        <w:t>Hartog v Colin &amp; Shields (1939)</w:t>
      </w:r>
      <w:r>
        <w:rPr>
          <w:i w:val="0"/>
        </w:rPr>
        <w:t xml:space="preserve">, a seller mistakenly offered skins per pound instead of per piece; the buyer knew it was a mistake and could not take advantage of it. Mistake as to the </w:t>
      </w:r>
      <w:r>
        <w:rPr>
          <w:b/>
          <w:i w:val="0"/>
        </w:rPr>
        <w:t>identity</w:t>
      </w:r>
      <w:r>
        <w:rPr>
          <w:i w:val="0"/>
        </w:rPr>
        <w:t xml:space="preserve"> of the other party can make a contract void where identity was vital – </w:t>
      </w:r>
      <w:r>
        <w:rPr>
          <w:i/>
        </w:rPr>
        <w:t>Cundy v Lindsay (1878)</w:t>
      </w:r>
      <w:r>
        <w:rPr>
          <w:i w:val="0"/>
        </w:rPr>
        <w:t xml:space="preserve"> – but not in face-to-face dealings, where the seller intends to deal with the person in front of him – </w:t>
      </w:r>
      <w:r>
        <w:rPr>
          <w:i/>
        </w:rPr>
        <w:t>Phillips v Brooks (1919)</w:t>
      </w:r>
      <w:r>
        <w:rPr>
          <w:i w:val="0"/>
        </w:rPr>
        <w:t>.</w:t>
      </w:r>
    </w:p>
    <w:p>
      <w:pPr>
        <w:pStyle w:val="ListBullet"/>
        <w:jc w:val="both"/>
      </w:pPr>
      <w:r>
        <w:rPr>
          <w:b/>
          <w:i w:val="0"/>
        </w:rPr>
        <w:t>Mistake as to the nature of a signed document (non est factum)</w:t>
      </w:r>
      <w:r>
        <w:rPr>
          <w:i w:val="0"/>
        </w:rPr>
        <w:t xml:space="preserve"> – a person who signs a document fundamentally different from what he believed, without carelessness, may escape it – </w:t>
      </w:r>
      <w:r>
        <w:rPr>
          <w:i/>
        </w:rPr>
        <w:t>Saunders v Anglia Building Society (1970)</w:t>
      </w:r>
      <w:r>
        <w:rPr>
          <w:i w:val="0"/>
        </w:rPr>
        <w:t>. This is mainly available to the blind, the illiterate or those who cannot understand the language.</w:t>
      </w:r>
    </w:p>
    <w:p>
      <w:pPr>
        <w:ind w:left="283"/>
        <w:jc w:val="both"/>
        <w:pBdr>
          <w:left w:val="single" w:sz="18" w:space="6" w:color="808080"/>
        </w:pBdr>
        <w:shd w:val="clear" w:color="auto" w:fill="F2F2F2"/>
      </w:pPr>
      <w:r>
        <w:rPr>
          <w:b/>
        </w:rPr>
        <w:t>Illustration:</w:t>
      </w:r>
      <w:r>
        <w:rPr>
          <w:i w:val="0"/>
        </w:rPr>
        <w:t xml:space="preserve"> Opio agrees to buy "the Toyota Noah parked at the bond in Nakawa" from Musa, but unknown to both, the car was stolen from the bond the night before. The contract is void for common mistake. Similarly, an elderly farmer in Lira who cannot read English, and who thumbprints a land sale agreement after being told it is a tenancy agreement, may plead non est factum.</w:t>
      </w:r>
    </w:p>
    <w:p>
      <w:pPr>
        <w:pStyle w:val="Heading3"/>
      </w:pPr>
      <w:r>
        <w:rPr>
          <w:i w:val="0"/>
        </w:rPr>
        <w:t>3. Duress (coercion)</w:t>
      </w:r>
    </w:p>
    <w:p>
      <w:pPr>
        <w:jc w:val="both"/>
      </w:pPr>
      <w:r>
        <w:rPr>
          <w:b/>
          <w:i w:val="0"/>
        </w:rPr>
        <w:t>Duress</w:t>
      </w:r>
      <w:r>
        <w:rPr>
          <w:i w:val="0"/>
        </w:rPr>
        <w:t xml:space="preserve"> means forcing a person into a contract through unlawful threats or pressure. The Contracts Act calls this </w:t>
      </w:r>
      <w:r>
        <w:rPr>
          <w:b/>
          <w:i w:val="0"/>
        </w:rPr>
        <w:t>coercion</w:t>
      </w:r>
      <w:r>
        <w:rPr>
          <w:i w:val="0"/>
        </w:rPr>
        <w:t xml:space="preserve">: committing, or threatening to commit, an act forbidden by law, or unlawfully detaining or threatening to detain property, in order to make a person enter an agreement. A contract obtained by coercion is </w:t>
      </w:r>
      <w:r>
        <w:rPr>
          <w:b/>
          <w:i w:val="0"/>
        </w:rPr>
        <w:t>voidable</w:t>
      </w:r>
      <w:r>
        <w:rPr>
          <w:i w:val="0"/>
        </w:rPr>
        <w:t xml:space="preserve"> under section 16.</w:t>
      </w:r>
    </w:p>
    <w:p>
      <w:pPr>
        <w:pStyle w:val="ListBullet"/>
        <w:jc w:val="both"/>
      </w:pPr>
      <w:r>
        <w:rPr>
          <w:b/>
          <w:i w:val="0"/>
        </w:rPr>
        <w:t>Duress to the person</w:t>
      </w:r>
      <w:r>
        <w:rPr>
          <w:i w:val="0"/>
        </w:rPr>
        <w:t xml:space="preserve"> – threats of violence or imprisonment – </w:t>
      </w:r>
      <w:r>
        <w:rPr>
          <w:i/>
        </w:rPr>
        <w:t>Barton v Armstrong (1976)</w:t>
      </w:r>
      <w:r>
        <w:rPr>
          <w:i w:val="0"/>
        </w:rPr>
        <w:t>, where a contract signed under death threats was set aside.</w:t>
      </w:r>
    </w:p>
    <w:p>
      <w:pPr>
        <w:pStyle w:val="ListBullet"/>
        <w:jc w:val="both"/>
      </w:pPr>
      <w:r>
        <w:rPr>
          <w:b/>
          <w:i w:val="0"/>
        </w:rPr>
        <w:t>Duress to goods</w:t>
      </w:r>
      <w:r>
        <w:rPr>
          <w:i w:val="0"/>
        </w:rPr>
        <w:t xml:space="preserve"> – unlawfully seizing or threatening a person's property.</w:t>
      </w:r>
    </w:p>
    <w:p>
      <w:pPr>
        <w:pStyle w:val="ListBullet"/>
        <w:jc w:val="both"/>
      </w:pPr>
      <w:r>
        <w:rPr>
          <w:b/>
          <w:i w:val="0"/>
        </w:rPr>
        <w:t>Economic duress</w:t>
      </w:r>
      <w:r>
        <w:rPr>
          <w:i w:val="0"/>
        </w:rPr>
        <w:t xml:space="preserve"> – illegitimate commercial pressure which leaves the victim no practical choice – </w:t>
      </w:r>
      <w:r>
        <w:rPr>
          <w:i/>
        </w:rPr>
        <w:t>Atlas Express v Kafco (1989)</w:t>
      </w:r>
      <w:r>
        <w:rPr>
          <w:i w:val="0"/>
        </w:rPr>
        <w:t xml:space="preserve">; </w:t>
      </w:r>
      <w:r>
        <w:rPr>
          <w:i/>
        </w:rPr>
        <w:t>Universe Tankships v ITWF (1983)</w:t>
      </w:r>
      <w:r>
        <w:rPr>
          <w:i w:val="0"/>
        </w:rPr>
        <w:t xml:space="preserve">. Ordinary hard bargaining is not duress – </w:t>
      </w:r>
      <w:r>
        <w:rPr>
          <w:i/>
        </w:rPr>
        <w:t>Pao On v Lau Yiu Long (1980)</w:t>
      </w:r>
      <w:r>
        <w:rPr>
          <w:i w:val="0"/>
        </w:rPr>
        <w:t>.</w:t>
      </w:r>
    </w:p>
    <w:p>
      <w:pPr>
        <w:jc w:val="both"/>
      </w:pPr>
      <w:r>
        <w:rPr>
          <w:i w:val="0"/>
        </w:rPr>
        <w:t xml:space="preserve">The victim must act promptly once the pressure ends, or he will be treated as having accepted the contract – </w:t>
      </w:r>
      <w:r>
        <w:rPr>
          <w:i/>
        </w:rPr>
        <w:t>North Ocean Shipping v Hyundai (The Atlantic Baron) (1979)</w:t>
      </w:r>
      <w:r>
        <w:rPr>
          <w:i w:val="0"/>
        </w:rPr>
        <w:t>.</w:t>
      </w:r>
    </w:p>
    <w:p>
      <w:pPr>
        <w:ind w:left="283"/>
        <w:jc w:val="both"/>
        <w:pBdr>
          <w:left w:val="single" w:sz="18" w:space="6" w:color="808080"/>
        </w:pBdr>
        <w:shd w:val="clear" w:color="auto" w:fill="F2F2F2"/>
      </w:pPr>
      <w:r>
        <w:rPr>
          <w:b/>
        </w:rPr>
        <w:t>Illustration:</w:t>
      </w:r>
      <w:r>
        <w:rPr>
          <w:i w:val="0"/>
        </w:rPr>
        <w:t xml:space="preserve"> a landlord in Kawempe locks a tenant's shop with all her stock inside and refuses to open it unless she signs a new lease at double the rent. The new lease is voidable for coercion. Another example: a transporter refuses, at the last minute, to deliver a Kampala trader's goods for the festive season unless she agrees to pay twice the agreed price.</w:t>
      </w:r>
    </w:p>
    <w:p>
      <w:pPr>
        <w:pStyle w:val="Heading3"/>
      </w:pPr>
      <w:r>
        <w:rPr>
          <w:i w:val="0"/>
        </w:rPr>
        <w:t>4. Undue influence</w:t>
      </w:r>
    </w:p>
    <w:p>
      <w:pPr>
        <w:jc w:val="both"/>
      </w:pPr>
      <w:r>
        <w:rPr>
          <w:b/>
          <w:i w:val="0"/>
        </w:rPr>
        <w:t>Undue influence</w:t>
      </w:r>
      <w:r>
        <w:rPr>
          <w:i w:val="0"/>
        </w:rPr>
        <w:t xml:space="preserve"> exists where one party is in a position to dominate the will of the other and uses that position to obtain an unfair advantage (</w:t>
      </w:r>
      <w:r>
        <w:rPr>
          <w:b/>
          <w:i w:val="0"/>
        </w:rPr>
        <w:t>section 14</w:t>
      </w:r>
      <w:r>
        <w:rPr>
          <w:i w:val="0"/>
        </w:rPr>
        <w:t xml:space="preserve">, Contracts Act). It differs from duress because there is no threat, but rather an abuse of trust or power. The contract is </w:t>
      </w:r>
      <w:r>
        <w:rPr>
          <w:b/>
          <w:i w:val="0"/>
        </w:rPr>
        <w:t>voidable</w:t>
      </w:r>
      <w:r>
        <w:rPr>
          <w:i w:val="0"/>
        </w:rPr>
        <w:t xml:space="preserve"> (section 16).</w:t>
      </w:r>
    </w:p>
    <w:p>
      <w:pPr>
        <w:pStyle w:val="ListBullet"/>
        <w:jc w:val="both"/>
      </w:pPr>
      <w:r>
        <w:rPr>
          <w:b/>
          <w:i w:val="0"/>
        </w:rPr>
        <w:t>Actual undue influence</w:t>
      </w:r>
      <w:r>
        <w:rPr>
          <w:i w:val="0"/>
        </w:rPr>
        <w:t xml:space="preserve"> – the victim proves that influence was actually used – e.g. a person pressured by a relative while sick.</w:t>
      </w:r>
    </w:p>
    <w:p>
      <w:pPr>
        <w:pStyle w:val="ListBullet"/>
        <w:jc w:val="both"/>
      </w:pPr>
      <w:r>
        <w:rPr>
          <w:b/>
          <w:i w:val="0"/>
        </w:rPr>
        <w:t>Presumed undue influence</w:t>
      </w:r>
      <w:r>
        <w:rPr>
          <w:i w:val="0"/>
        </w:rPr>
        <w:t xml:space="preserve"> – the law presumes influence in certain relationships of trust, such as doctor and patient, lawyer and client, religious leader and follower, guardian and ward. In </w:t>
      </w:r>
      <w:r>
        <w:rPr>
          <w:i/>
        </w:rPr>
        <w:t>Allcard v Skinner (1887)</w:t>
      </w:r>
      <w:r>
        <w:rPr>
          <w:i w:val="0"/>
        </w:rPr>
        <w:t xml:space="preserve">, a nun gave her property to her convent under the influence of the mother superior. The court said the gift could be set aside, although she lost the right because she delayed for too long. Influence may also be proved in other relationships where trust was placed – </w:t>
      </w:r>
      <w:r>
        <w:rPr>
          <w:i/>
        </w:rPr>
        <w:t>Lloyds Bank v Bundy (1975)</w:t>
      </w:r>
      <w:r>
        <w:rPr>
          <w:i w:val="0"/>
        </w:rPr>
        <w:t>, an elderly farmer who relied on his bank manager.</w:t>
      </w:r>
    </w:p>
    <w:p>
      <w:pPr>
        <w:pStyle w:val="ListBullet"/>
        <w:jc w:val="both"/>
      </w:pPr>
      <w:r>
        <w:rPr>
          <w:b/>
          <w:i w:val="0"/>
        </w:rPr>
        <w:t>Third parties</w:t>
      </w:r>
      <w:r>
        <w:rPr>
          <w:i w:val="0"/>
        </w:rPr>
        <w:t xml:space="preserve"> – a bank which takes a guarantee from a wife for her husband's debts must take reasonable steps (e.g. advise her to get independent legal advice) – </w:t>
      </w:r>
      <w:r>
        <w:rPr>
          <w:i/>
        </w:rPr>
        <w:t>Barclays Bank v O'Brien (1993)</w:t>
      </w:r>
      <w:r>
        <w:rPr>
          <w:i w:val="0"/>
        </w:rPr>
        <w:t xml:space="preserve">; </w:t>
      </w:r>
      <w:r>
        <w:rPr>
          <w:i/>
        </w:rPr>
        <w:t>Royal Bank of Scotland v Etridge (No 2) (2001)</w:t>
      </w:r>
      <w:r>
        <w:rPr>
          <w:i w:val="0"/>
        </w:rPr>
        <w:t>.</w:t>
      </w:r>
    </w:p>
    <w:p>
      <w:pPr>
        <w:ind w:left="283"/>
        <w:jc w:val="both"/>
        <w:pBdr>
          <w:left w:val="single" w:sz="18" w:space="6" w:color="808080"/>
        </w:pBdr>
        <w:shd w:val="clear" w:color="auto" w:fill="F2F2F2"/>
      </w:pPr>
      <w:r>
        <w:rPr>
          <w:b/>
        </w:rPr>
        <w:t>Illustration:</w:t>
      </w:r>
      <w:r>
        <w:rPr>
          <w:i w:val="0"/>
        </w:rPr>
        <w:t xml:space="preserve"> a pastor of a church in Mukono persuades an elderly, sick member of his congregation to "sow a seed" by transferring her land to him. The transfer can be set aside for undue influence, unless the pastor proves that she acted freely after independent advice.</w:t>
      </w:r>
    </w:p>
    <w:p>
      <w:pPr>
        <w:pStyle w:val="Heading3"/>
      </w:pPr>
      <w:r>
        <w:rPr>
          <w:i w:val="0"/>
        </w:rPr>
        <w:t>5. Illegality</w:t>
      </w:r>
    </w:p>
    <w:p>
      <w:pPr>
        <w:jc w:val="both"/>
      </w:pPr>
      <w:r>
        <w:rPr>
          <w:i w:val="0"/>
        </w:rPr>
        <w:t xml:space="preserve">Under </w:t>
      </w:r>
      <w:r>
        <w:rPr>
          <w:b/>
          <w:i w:val="0"/>
        </w:rPr>
        <w:t>section 19</w:t>
      </w:r>
      <w:r>
        <w:rPr>
          <w:i w:val="0"/>
        </w:rPr>
        <w:t xml:space="preserve"> of the Contracts Act, the consideration or object of an agreement is unlawful if it is forbidden by law, would defeat any law, is fraudulent, involves injury to a person or property, or is immoral or opposed to public policy. Such an agreement is </w:t>
      </w:r>
      <w:r>
        <w:rPr>
          <w:b/>
          <w:i w:val="0"/>
        </w:rPr>
        <w:t>void</w:t>
      </w:r>
      <w:r>
        <w:rPr>
          <w:i w:val="0"/>
        </w:rPr>
        <w:t xml:space="preserve"> and the courts will not enforce it – </w:t>
      </w:r>
      <w:r>
        <w:rPr>
          <w:i/>
        </w:rPr>
        <w:t>Holman v Johnson (1775)</w:t>
      </w:r>
      <w:r>
        <w:rPr>
          <w:i w:val="0"/>
        </w:rPr>
        <w:t xml:space="preserve">. Under </w:t>
      </w:r>
      <w:r>
        <w:rPr>
          <w:b/>
          <w:i w:val="0"/>
        </w:rPr>
        <w:t>section 20</w:t>
      </w:r>
      <w:r>
        <w:rPr>
          <w:i w:val="0"/>
        </w:rPr>
        <w:t>, an agreement without consideration is also void, except in limited cases.</w:t>
      </w:r>
    </w:p>
    <w:p>
      <w:pPr>
        <w:jc w:val="both"/>
      </w:pPr>
      <w:r>
        <w:rPr>
          <w:i w:val="0"/>
        </w:rPr>
        <w:t>Examples:</w:t>
      </w:r>
    </w:p>
    <w:p>
      <w:pPr>
        <w:pStyle w:val="ListBullet"/>
        <w:jc w:val="both"/>
      </w:pPr>
      <w:r>
        <w:rPr>
          <w:b/>
          <w:i w:val="0"/>
        </w:rPr>
        <w:t>Contracts to commit a crime or a civil wrong</w:t>
      </w:r>
      <w:r>
        <w:rPr>
          <w:i w:val="0"/>
        </w:rPr>
        <w:t xml:space="preserve"> – </w:t>
      </w:r>
      <w:r>
        <w:rPr>
          <w:i/>
        </w:rPr>
        <w:t>Everet v Williams (1725)</w:t>
      </w:r>
      <w:r>
        <w:rPr>
          <w:i w:val="0"/>
        </w:rPr>
        <w:t>, where two highwaymen (robbers) sued each other over their shares of loot; the court refused to hear the case.</w:t>
      </w:r>
    </w:p>
    <w:p>
      <w:pPr>
        <w:pStyle w:val="ListBullet"/>
        <w:jc w:val="both"/>
      </w:pPr>
      <w:r>
        <w:rPr>
          <w:b/>
          <w:i w:val="0"/>
        </w:rPr>
        <w:t>Immoral contracts</w:t>
      </w:r>
      <w:r>
        <w:rPr>
          <w:i w:val="0"/>
        </w:rPr>
        <w:t xml:space="preserve"> – </w:t>
      </w:r>
      <w:r>
        <w:rPr>
          <w:i/>
        </w:rPr>
        <w:t>Pearce v Brooks (1866)</w:t>
      </w:r>
      <w:r>
        <w:rPr>
          <w:i w:val="0"/>
        </w:rPr>
        <w:t>, where a carriage was hired to a prostitute for her trade.</w:t>
      </w:r>
    </w:p>
    <w:p>
      <w:pPr>
        <w:pStyle w:val="ListBullet"/>
        <w:jc w:val="both"/>
      </w:pPr>
      <w:r>
        <w:rPr>
          <w:b/>
          <w:i w:val="0"/>
        </w:rPr>
        <w:t>Contracts against public policy</w:t>
      </w:r>
      <w:r>
        <w:rPr>
          <w:i w:val="0"/>
        </w:rPr>
        <w:t xml:space="preserve"> – e.g. contracts to corrupt public officers, to buy honours (</w:t>
      </w:r>
      <w:r>
        <w:rPr>
          <w:i/>
        </w:rPr>
        <w:t>Parkinson v College of Ambulance (1925)</w:t>
      </w:r>
      <w:r>
        <w:rPr>
          <w:i w:val="0"/>
        </w:rPr>
        <w:t>), or to interfere with justice.</w:t>
      </w:r>
    </w:p>
    <w:p>
      <w:pPr>
        <w:pStyle w:val="ListBullet"/>
        <w:jc w:val="both"/>
      </w:pPr>
      <w:r>
        <w:rPr>
          <w:b/>
          <w:i w:val="0"/>
        </w:rPr>
        <w:t>Contracts in unreasonable restraint of trade</w:t>
      </w:r>
      <w:r>
        <w:rPr>
          <w:i w:val="0"/>
        </w:rPr>
        <w:t xml:space="preserve"> – an agreement preventing a person from working or trading is void unless it is reasonable to protect a legitimate interest – </w:t>
      </w:r>
      <w:r>
        <w:rPr>
          <w:i/>
        </w:rPr>
        <w:t>Nordenfelt v Maxim Nordenfelt (1894)</w:t>
      </w:r>
      <w:r>
        <w:rPr>
          <w:i w:val="0"/>
        </w:rPr>
        <w:t xml:space="preserve">; </w:t>
      </w:r>
      <w:r>
        <w:rPr>
          <w:i/>
        </w:rPr>
        <w:t>Esso Petroleum v Harper's Garage (1968)</w:t>
      </w:r>
      <w:r>
        <w:rPr>
          <w:i w:val="0"/>
        </w:rPr>
        <w:t>.</w:t>
      </w:r>
    </w:p>
    <w:p>
      <w:pPr>
        <w:jc w:val="both"/>
      </w:pPr>
      <w:r>
        <w:rPr>
          <w:b/>
          <w:i w:val="0"/>
        </w:rPr>
        <w:t>Effect:</w:t>
      </w:r>
      <w:r>
        <w:rPr>
          <w:i w:val="0"/>
        </w:rPr>
        <w:t xml:space="preserve"> generally, money or property given under an illegal contract cannot be recovered ("the loss lies where it falls"), unless the parties were not equally at fault or the party withdraws before the illegal purpose is carried out.</w:t>
      </w:r>
    </w:p>
    <w:p>
      <w:pPr>
        <w:ind w:left="283"/>
        <w:jc w:val="both"/>
        <w:pBdr>
          <w:left w:val="single" w:sz="18" w:space="6" w:color="808080"/>
        </w:pBdr>
        <w:shd w:val="clear" w:color="auto" w:fill="F2F2F2"/>
      </w:pPr>
      <w:r>
        <w:rPr>
          <w:b/>
        </w:rPr>
        <w:t>Illustration:</w:t>
      </w:r>
      <w:r>
        <w:rPr>
          <w:i w:val="0"/>
        </w:rPr>
        <w:t xml:space="preserve"> Wasswa agrees to pay a clearing agent Ushs. 5,000,000/= to smuggle electronics through Busia border without paying taxes to the Uganda Revenue Authority. If the agent takes the money and does nothing, Wasswa cannot sue to recover it, because the agreement is illegal.</w:t>
      </w:r>
    </w:p>
    <w:p>
      <w:pPr>
        <w:pStyle w:val="Heading3"/>
      </w:pPr>
      <w:r>
        <w:rPr>
          <w:i w:val="0"/>
        </w:rPr>
        <w:t>6. Incapacity</w:t>
      </w:r>
    </w:p>
    <w:p>
      <w:pPr>
        <w:jc w:val="both"/>
      </w:pPr>
      <w:r>
        <w:rPr>
          <w:i w:val="0"/>
        </w:rPr>
        <w:t xml:space="preserve">A contract made by a person without the legal capacity to contract may be void, voidable or unenforceable. Under </w:t>
      </w:r>
      <w:r>
        <w:rPr>
          <w:b/>
          <w:i w:val="0"/>
        </w:rPr>
        <w:t>section 11</w:t>
      </w:r>
      <w:r>
        <w:rPr>
          <w:i w:val="0"/>
        </w:rPr>
        <w:t xml:space="preserve">, a person has capacity if he or she is </w:t>
      </w:r>
      <w:r>
        <w:rPr>
          <w:b/>
          <w:i w:val="0"/>
        </w:rPr>
        <w:t>18 years or above</w:t>
      </w:r>
      <w:r>
        <w:rPr>
          <w:i w:val="0"/>
        </w:rPr>
        <w:t>, of sound mind, and not barred by any law (with a limited exception for persons aged 16 and above in matters allowed by Article 34 of the Constitution).</w:t>
      </w:r>
    </w:p>
    <w:p>
      <w:pPr>
        <w:pStyle w:val="ListBullet"/>
        <w:jc w:val="both"/>
      </w:pPr>
      <w:r>
        <w:rPr>
          <w:b/>
          <w:i w:val="0"/>
        </w:rPr>
        <w:t>Minors</w:t>
      </w:r>
      <w:r>
        <w:rPr>
          <w:i w:val="0"/>
        </w:rPr>
        <w:t xml:space="preserve"> – are bound only by contracts for </w:t>
      </w:r>
      <w:r>
        <w:rPr>
          <w:b/>
          <w:i w:val="0"/>
        </w:rPr>
        <w:t>necessaries</w:t>
      </w:r>
      <w:r>
        <w:rPr>
          <w:i w:val="0"/>
        </w:rPr>
        <w:t xml:space="preserve"> (</w:t>
      </w:r>
      <w:r>
        <w:rPr>
          <w:i/>
        </w:rPr>
        <w:t>Nash v Inman (1908)</w:t>
      </w:r>
      <w:r>
        <w:rPr>
          <w:i w:val="0"/>
        </w:rPr>
        <w:t>) and beneficial contracts of service (</w:t>
      </w:r>
      <w:r>
        <w:rPr>
          <w:i/>
        </w:rPr>
        <w:t>Roberts v Gray (1913)</w:t>
      </w:r>
      <w:r>
        <w:rPr>
          <w:i w:val="0"/>
        </w:rPr>
        <w:t>). Other contracts generally cannot be enforced against them.</w:t>
      </w:r>
    </w:p>
    <w:p>
      <w:pPr>
        <w:pStyle w:val="ListBullet"/>
        <w:jc w:val="both"/>
      </w:pPr>
      <w:r>
        <w:rPr>
          <w:b/>
          <w:i w:val="0"/>
        </w:rPr>
        <w:t>Persons of unsound mind and drunkards</w:t>
      </w:r>
      <w:r>
        <w:rPr>
          <w:i w:val="0"/>
        </w:rPr>
        <w:t xml:space="preserve"> – a contract is voidable if the person could not understand it at the time and the other party knew this – </w:t>
      </w:r>
      <w:r>
        <w:rPr>
          <w:i/>
        </w:rPr>
        <w:t>Imperial Loan Co v Stone (1892)</w:t>
      </w:r>
      <w:r>
        <w:rPr>
          <w:i w:val="0"/>
        </w:rPr>
        <w:t xml:space="preserve">; </w:t>
      </w:r>
      <w:r>
        <w:rPr>
          <w:i/>
        </w:rPr>
        <w:t>Gore v Gibson (1845)</w:t>
      </w:r>
      <w:r>
        <w:rPr>
          <w:i w:val="0"/>
        </w:rPr>
        <w:t>.</w:t>
      </w:r>
    </w:p>
    <w:p>
      <w:pPr>
        <w:pStyle w:val="ListBullet"/>
        <w:jc w:val="both"/>
      </w:pPr>
      <w:r>
        <w:rPr>
          <w:b/>
          <w:i w:val="0"/>
        </w:rPr>
        <w:t>Companies</w:t>
      </w:r>
      <w:r>
        <w:rPr>
          <w:i w:val="0"/>
        </w:rPr>
        <w:t xml:space="preserve"> – a company acts through its organs and agents, and must act within the law and its constitution – </w:t>
      </w:r>
      <w:r>
        <w:rPr>
          <w:i/>
        </w:rPr>
        <w:t>Ashbury Railway Carriage v Riche (1875)</w:t>
      </w:r>
      <w:r>
        <w:rPr>
          <w:i w:val="0"/>
        </w:rPr>
        <w:t>.</w:t>
      </w:r>
    </w:p>
    <w:p>
      <w:pPr>
        <w:ind w:left="283"/>
        <w:jc w:val="both"/>
        <w:pBdr>
          <w:left w:val="single" w:sz="18" w:space="6" w:color="808080"/>
        </w:pBdr>
        <w:shd w:val="clear" w:color="auto" w:fill="F2F2F2"/>
      </w:pPr>
      <w:r>
        <w:rPr>
          <w:b/>
        </w:rPr>
        <w:t>Illustration:</w:t>
      </w:r>
      <w:r>
        <w:rPr>
          <w:i w:val="0"/>
        </w:rPr>
        <w:t xml:space="preserve"> a phone dealer in Kampala sells a laptop on credit to a 15-year-old student. The dealer may not be able to enforce payment of the balance, because a laptop for leisure use is not likely to be a necessary.</w:t>
      </w:r>
    </w:p>
    <w:p>
      <w:pPr>
        <w:pStyle w:val="Heading3"/>
      </w:pPr>
      <w:r>
        <w:rPr>
          <w:i w:val="0"/>
        </w:rPr>
        <w:t>Summary of vitiating factors</w:t>
      </w:r>
    </w:p>
    <w:tbl>
      <w:tblPr>
        <w:tblStyle w:val="TableGrid"/>
        <w:tblW w:type="auto" w:w="0"/>
        <w:tblLook w:firstColumn="1" w:firstRow="1" w:lastColumn="0" w:lastRow="0" w:noHBand="0" w:noVBand="1" w:val="04A0"/>
      </w:tblPr>
      <w:tblGrid>
        <w:gridCol w:w="3009"/>
        <w:gridCol w:w="3009"/>
        <w:gridCol w:w="3009"/>
      </w:tblGrid>
      <w:tr>
        <w:tc>
          <w:tcPr>
            <w:tcW w:type="dxa" w:w="3009"/>
            <w:shd w:val="clear" w:fill="D9D9D9"/>
          </w:tcPr>
          <w:p>
            <w:pPr>
              <w:spacing w:after="40"/>
            </w:pPr>
            <w:r>
              <w:rPr>
                <w:sz w:val="22"/>
              </w:rPr>
            </w:r>
            <w:r>
              <w:rPr>
                <w:b/>
                <w:sz w:val="22"/>
              </w:rPr>
              <w:t>Factor</w:t>
            </w:r>
          </w:p>
        </w:tc>
        <w:tc>
          <w:tcPr>
            <w:tcW w:type="dxa" w:w="3009"/>
            <w:shd w:val="clear" w:fill="D9D9D9"/>
          </w:tcPr>
          <w:p>
            <w:pPr>
              <w:spacing w:after="40"/>
            </w:pPr>
            <w:r>
              <w:rPr>
                <w:sz w:val="22"/>
              </w:rPr>
            </w:r>
            <w:r>
              <w:rPr>
                <w:b/>
                <w:sz w:val="22"/>
              </w:rPr>
              <w:t>Main authority</w:t>
            </w:r>
          </w:p>
        </w:tc>
        <w:tc>
          <w:tcPr>
            <w:tcW w:type="dxa" w:w="3009"/>
            <w:shd w:val="clear" w:fill="D9D9D9"/>
          </w:tcPr>
          <w:p>
            <w:pPr>
              <w:spacing w:after="40"/>
            </w:pPr>
            <w:r>
              <w:rPr>
                <w:sz w:val="22"/>
              </w:rPr>
            </w:r>
            <w:r>
              <w:rPr>
                <w:b/>
                <w:sz w:val="22"/>
              </w:rPr>
              <w:t>Effect on the contract</w:t>
            </w:r>
          </w:p>
        </w:tc>
      </w:tr>
      <w:tr>
        <w:tc>
          <w:tcPr>
            <w:tcW w:type="dxa" w:w="3009"/>
          </w:tcPr>
          <w:p>
            <w:pPr>
              <w:spacing w:after="40"/>
            </w:pPr>
            <w:r>
              <w:rPr>
                <w:sz w:val="22"/>
              </w:rPr>
              <w:t>Misrepresentation</w:t>
            </w:r>
          </w:p>
        </w:tc>
        <w:tc>
          <w:tcPr>
            <w:tcW w:type="dxa" w:w="3009"/>
          </w:tcPr>
          <w:p>
            <w:pPr>
              <w:spacing w:after="40"/>
            </w:pPr>
            <w:r>
              <w:rPr>
                <w:sz w:val="22"/>
              </w:rPr>
              <w:t>Contracts Act ss.13, 16; Derry v Peek</w:t>
            </w:r>
          </w:p>
        </w:tc>
        <w:tc>
          <w:tcPr>
            <w:tcW w:type="dxa" w:w="3009"/>
          </w:tcPr>
          <w:p>
            <w:pPr>
              <w:spacing w:after="40"/>
            </w:pPr>
            <w:r>
              <w:rPr>
                <w:sz w:val="22"/>
              </w:rPr>
              <w:t>Voidable; rescission and/or damages</w:t>
            </w:r>
          </w:p>
        </w:tc>
      </w:tr>
      <w:tr>
        <w:tc>
          <w:tcPr>
            <w:tcW w:type="dxa" w:w="3009"/>
          </w:tcPr>
          <w:p>
            <w:pPr>
              <w:spacing w:after="40"/>
            </w:pPr>
            <w:r>
              <w:rPr>
                <w:sz w:val="22"/>
              </w:rPr>
              <w:t>Fraud</w:t>
            </w:r>
          </w:p>
        </w:tc>
        <w:tc>
          <w:tcPr>
            <w:tcW w:type="dxa" w:w="3009"/>
          </w:tcPr>
          <w:p>
            <w:pPr>
              <w:spacing w:after="40"/>
            </w:pPr>
            <w:r>
              <w:rPr>
                <w:sz w:val="22"/>
              </w:rPr>
              <w:t>s.15; Derry v Peek</w:t>
            </w:r>
          </w:p>
        </w:tc>
        <w:tc>
          <w:tcPr>
            <w:tcW w:type="dxa" w:w="3009"/>
          </w:tcPr>
          <w:p>
            <w:pPr>
              <w:spacing w:after="40"/>
            </w:pPr>
            <w:r>
              <w:rPr>
                <w:sz w:val="22"/>
              </w:rPr>
              <w:t>Voidable; damages</w:t>
            </w:r>
          </w:p>
        </w:tc>
      </w:tr>
      <w:tr>
        <w:tc>
          <w:tcPr>
            <w:tcW w:type="dxa" w:w="3009"/>
          </w:tcPr>
          <w:p>
            <w:pPr>
              <w:spacing w:after="40"/>
            </w:pPr>
            <w:r>
              <w:rPr>
                <w:sz w:val="22"/>
              </w:rPr>
              <w:t>Mistake</w:t>
            </w:r>
          </w:p>
        </w:tc>
        <w:tc>
          <w:tcPr>
            <w:tcW w:type="dxa" w:w="3009"/>
          </w:tcPr>
          <w:p>
            <w:pPr>
              <w:spacing w:after="40"/>
            </w:pPr>
            <w:r>
              <w:rPr>
                <w:sz w:val="22"/>
              </w:rPr>
              <w:t>ss.17–18; Couturier v Hastie</w:t>
            </w:r>
          </w:p>
        </w:tc>
        <w:tc>
          <w:tcPr>
            <w:tcW w:type="dxa" w:w="3009"/>
          </w:tcPr>
          <w:p>
            <w:pPr>
              <w:spacing w:after="40"/>
            </w:pPr>
            <w:r>
              <w:rPr>
                <w:sz w:val="22"/>
              </w:rPr>
              <w:t>Void (if operative)</w:t>
            </w:r>
          </w:p>
        </w:tc>
      </w:tr>
      <w:tr>
        <w:tc>
          <w:tcPr>
            <w:tcW w:type="dxa" w:w="3009"/>
          </w:tcPr>
          <w:p>
            <w:pPr>
              <w:spacing w:after="40"/>
            </w:pPr>
            <w:r>
              <w:rPr>
                <w:sz w:val="22"/>
              </w:rPr>
              <w:t>Duress / coercion</w:t>
            </w:r>
          </w:p>
        </w:tc>
        <w:tc>
          <w:tcPr>
            <w:tcW w:type="dxa" w:w="3009"/>
          </w:tcPr>
          <w:p>
            <w:pPr>
              <w:spacing w:after="40"/>
            </w:pPr>
            <w:r>
              <w:rPr>
                <w:sz w:val="22"/>
              </w:rPr>
              <w:t>ss.13, 16; Barton v Armstrong</w:t>
            </w:r>
          </w:p>
        </w:tc>
        <w:tc>
          <w:tcPr>
            <w:tcW w:type="dxa" w:w="3009"/>
          </w:tcPr>
          <w:p>
            <w:pPr>
              <w:spacing w:after="40"/>
            </w:pPr>
            <w:r>
              <w:rPr>
                <w:sz w:val="22"/>
              </w:rPr>
              <w:t>Voidable</w:t>
            </w:r>
          </w:p>
        </w:tc>
      </w:tr>
      <w:tr>
        <w:tc>
          <w:tcPr>
            <w:tcW w:type="dxa" w:w="3009"/>
          </w:tcPr>
          <w:p>
            <w:pPr>
              <w:spacing w:after="40"/>
            </w:pPr>
            <w:r>
              <w:rPr>
                <w:sz w:val="22"/>
              </w:rPr>
              <w:t>Undue influence</w:t>
            </w:r>
          </w:p>
        </w:tc>
        <w:tc>
          <w:tcPr>
            <w:tcW w:type="dxa" w:w="3009"/>
          </w:tcPr>
          <w:p>
            <w:pPr>
              <w:spacing w:after="40"/>
            </w:pPr>
            <w:r>
              <w:rPr>
                <w:sz w:val="22"/>
              </w:rPr>
              <w:t>ss.14, 16; Allcard v Skinner</w:t>
            </w:r>
          </w:p>
        </w:tc>
        <w:tc>
          <w:tcPr>
            <w:tcW w:type="dxa" w:w="3009"/>
          </w:tcPr>
          <w:p>
            <w:pPr>
              <w:spacing w:after="40"/>
            </w:pPr>
            <w:r>
              <w:rPr>
                <w:sz w:val="22"/>
              </w:rPr>
              <w:t>Voidable</w:t>
            </w:r>
          </w:p>
        </w:tc>
      </w:tr>
      <w:tr>
        <w:tc>
          <w:tcPr>
            <w:tcW w:type="dxa" w:w="3009"/>
          </w:tcPr>
          <w:p>
            <w:pPr>
              <w:spacing w:after="40"/>
            </w:pPr>
            <w:r>
              <w:rPr>
                <w:sz w:val="22"/>
              </w:rPr>
              <w:t>Illegality</w:t>
            </w:r>
          </w:p>
        </w:tc>
        <w:tc>
          <w:tcPr>
            <w:tcW w:type="dxa" w:w="3009"/>
          </w:tcPr>
          <w:p>
            <w:pPr>
              <w:spacing w:after="40"/>
            </w:pPr>
            <w:r>
              <w:rPr>
                <w:sz w:val="22"/>
              </w:rPr>
              <w:t>ss.19–20; Holman v Johnson</w:t>
            </w:r>
          </w:p>
        </w:tc>
        <w:tc>
          <w:tcPr>
            <w:tcW w:type="dxa" w:w="3009"/>
          </w:tcPr>
          <w:p>
            <w:pPr>
              <w:spacing w:after="40"/>
            </w:pPr>
            <w:r>
              <w:rPr>
                <w:sz w:val="22"/>
              </w:rPr>
              <w:t>Void and unenforceable</w:t>
            </w:r>
          </w:p>
        </w:tc>
      </w:tr>
      <w:tr>
        <w:tc>
          <w:tcPr>
            <w:tcW w:type="dxa" w:w="3009"/>
          </w:tcPr>
          <w:p>
            <w:pPr>
              <w:spacing w:after="40"/>
            </w:pPr>
            <w:r>
              <w:rPr>
                <w:sz w:val="22"/>
              </w:rPr>
              <w:t>Incapacity</w:t>
            </w:r>
          </w:p>
        </w:tc>
        <w:tc>
          <w:tcPr>
            <w:tcW w:type="dxa" w:w="3009"/>
          </w:tcPr>
          <w:p>
            <w:pPr>
              <w:spacing w:after="40"/>
            </w:pPr>
            <w:r>
              <w:rPr>
                <w:sz w:val="22"/>
              </w:rPr>
              <w:t>s.11; Nash v Inman</w:t>
            </w:r>
          </w:p>
        </w:tc>
        <w:tc>
          <w:tcPr>
            <w:tcW w:type="dxa" w:w="3009"/>
          </w:tcPr>
          <w:p>
            <w:pPr>
              <w:spacing w:after="40"/>
            </w:pPr>
            <w:r>
              <w:rPr>
                <w:sz w:val="22"/>
              </w:rPr>
              <w:t>Void, voidable or unenforceable</w:t>
            </w:r>
          </w:p>
        </w:tc>
      </w:tr>
    </w:tbl>
    <w:p/>
    <w:p>
      <w:pPr>
        <w:pStyle w:val="Heading3"/>
      </w:pPr>
      <w:r>
        <w:rPr>
          <w:i w:val="0"/>
        </w:rPr>
        <w:t>Conclusion</w:t>
      </w:r>
    </w:p>
    <w:p>
      <w:pPr>
        <w:jc w:val="both"/>
      </w:pPr>
      <w:r>
        <w:rPr>
          <w:i w:val="0"/>
        </w:rPr>
        <w:t>Vitiating factors protect the fairness of contracts by ensuring that people agree freely, with correct information and for lawful purposes. For a business manager in Uganda, the lessons are practical: tell the truth when selling, carry out searches before buying land or vehicles, avoid pressuring customers, get independent advice where trust is involved, and never enter agreements to evade taxes or the law.</w:t>
      </w:r>
    </w:p>
    <w:p>
      <w:pPr>
        <w:pStyle w:val="Heading1"/>
      </w:pPr>
      <w:r>
        <w:rPr>
          <w:i w:val="0"/>
        </w:rPr>
        <w:t>QUESTION TWO</w:t>
      </w:r>
    </w:p>
    <w:p>
      <w:pPr>
        <w:pStyle w:val="Heading2"/>
      </w:pPr>
      <w:r>
        <w:rPr>
          <w:i w:val="0"/>
        </w:rPr>
        <w:t>(a) Definition of agency (3 marks)</w:t>
      </w:r>
    </w:p>
    <w:p>
      <w:pPr>
        <w:jc w:val="both"/>
      </w:pPr>
      <w:r>
        <w:rPr>
          <w:b/>
          <w:i w:val="0"/>
        </w:rPr>
        <w:t>Agency</w:t>
      </w:r>
      <w:r>
        <w:rPr>
          <w:i w:val="0"/>
        </w:rPr>
        <w:t xml:space="preserve"> is the legal relationship which exists where one person, called the </w:t>
      </w:r>
      <w:r>
        <w:rPr>
          <w:b/>
          <w:i w:val="0"/>
        </w:rPr>
        <w:t>agent</w:t>
      </w:r>
      <w:r>
        <w:rPr>
          <w:i w:val="0"/>
        </w:rPr>
        <w:t xml:space="preserve">, is authorised to act on behalf of another person, called the </w:t>
      </w:r>
      <w:r>
        <w:rPr>
          <w:b/>
          <w:i w:val="0"/>
        </w:rPr>
        <w:t>principal</w:t>
      </w:r>
      <w:r>
        <w:rPr>
          <w:i w:val="0"/>
        </w:rPr>
        <w:t xml:space="preserve">, in dealings with third parties, so that the principal becomes bound by the agent's acts. Under the </w:t>
      </w:r>
      <w:r>
        <w:rPr>
          <w:b/>
          <w:i w:val="0"/>
        </w:rPr>
        <w:t>Contracts Act, 2010</w:t>
      </w:r>
      <w:r>
        <w:rPr>
          <w:i w:val="0"/>
        </w:rPr>
        <w:t>, an agent is a person employed to do any act for another, or to represent another in dealings with a third person, and the principal is the person for whom the act is done or who is represented.</w:t>
      </w:r>
    </w:p>
    <w:p>
      <w:pPr>
        <w:jc w:val="both"/>
      </w:pPr>
      <w:r>
        <w:rPr>
          <w:i w:val="0"/>
        </w:rPr>
        <w:t xml:space="preserve">The most important result of agency is that a contract made by the agent within his authority is treated as the </w:t>
      </w:r>
      <w:r>
        <w:rPr>
          <w:b/>
          <w:i w:val="0"/>
        </w:rPr>
        <w:t>principal's own contract</w:t>
      </w:r>
      <w:r>
        <w:rPr>
          <w:i w:val="0"/>
        </w:rPr>
        <w:t>; the agent usually drops out. Agency may be created by express agreement, by implication from conduct, by necessity (</w:t>
      </w:r>
      <w:r>
        <w:rPr>
          <w:i/>
        </w:rPr>
        <w:t>Great Northern Railway v Swaffield (1874)</w:t>
      </w:r>
      <w:r>
        <w:rPr>
          <w:i w:val="0"/>
        </w:rPr>
        <w:t>), by ratification (later approval) or by estoppel.</w:t>
      </w:r>
    </w:p>
    <w:p>
      <w:pPr>
        <w:ind w:left="283"/>
        <w:jc w:val="both"/>
        <w:pBdr>
          <w:left w:val="single" w:sz="18" w:space="6" w:color="808080"/>
        </w:pBdr>
        <w:shd w:val="clear" w:color="auto" w:fill="F2F2F2"/>
      </w:pPr>
      <w:r>
        <w:rPr>
          <w:b/>
        </w:rPr>
        <w:t>Illustration:</w:t>
      </w:r>
      <w:r>
        <w:rPr>
          <w:i w:val="0"/>
        </w:rPr>
        <w:t xml:space="preserve"> Mukasa, a businessman in Kampala, appoints a clearing and forwarding agent at Malaba border to clear his imported goods with the Uganda Revenue Authority. Mukasa is the principal, the clearing firm is the agent, and URA and the transporters are third parties.</w:t>
      </w:r>
    </w:p>
    <w:p>
      <w:pPr>
        <w:pStyle w:val="Heading2"/>
      </w:pPr>
      <w:r>
        <w:rPr>
          <w:i w:val="0"/>
        </w:rPr>
        <w:t>(b) Duties of an agent towards the principal (16 marks)</w:t>
      </w:r>
    </w:p>
    <w:p>
      <w:pPr>
        <w:jc w:val="both"/>
      </w:pPr>
      <w:r>
        <w:rPr>
          <w:i w:val="0"/>
        </w:rPr>
        <w:t xml:space="preserve">An agent is in a position of </w:t>
      </w:r>
      <w:r>
        <w:rPr>
          <w:b/>
          <w:i w:val="0"/>
        </w:rPr>
        <w:t>trust and confidence</w:t>
      </w:r>
      <w:r>
        <w:rPr>
          <w:i w:val="0"/>
        </w:rPr>
        <w:t xml:space="preserve"> (a fiduciary). The law therefore places the following duties on him or her, under the Contracts Act, 2010 and the common law.</w:t>
      </w:r>
    </w:p>
    <w:p>
      <w:pPr>
        <w:pStyle w:val="Heading3"/>
      </w:pPr>
      <w:r>
        <w:rPr>
          <w:i w:val="0"/>
        </w:rPr>
        <w:t>1. Duty to obey the principal's lawful instructions</w:t>
      </w:r>
    </w:p>
    <w:p>
      <w:pPr>
        <w:jc w:val="both"/>
      </w:pPr>
      <w:r>
        <w:rPr>
          <w:i w:val="0"/>
        </w:rPr>
        <w:t xml:space="preserve">The agent must carry out the business according to the principal's instructions, or, in their absence, according to the custom of that trade. If he departs from instructions and the principal suffers loss, he must make it good. In </w:t>
      </w:r>
      <w:r>
        <w:rPr>
          <w:i/>
        </w:rPr>
        <w:t>Turpin v Bilton (1843)</w:t>
      </w:r>
      <w:r>
        <w:rPr>
          <w:i w:val="0"/>
        </w:rPr>
        <w:t>, an agent who was instructed to insure a ship but failed to do so was liable for the loss when the ship sank. The agent is not bound to follow instructions to do something illegal.</w:t>
      </w:r>
    </w:p>
    <w:p>
      <w:pPr>
        <w:ind w:left="283"/>
        <w:jc w:val="both"/>
        <w:pBdr>
          <w:left w:val="single" w:sz="18" w:space="6" w:color="808080"/>
        </w:pBdr>
        <w:shd w:val="clear" w:color="auto" w:fill="F2F2F2"/>
      </w:pPr>
      <w:r>
        <w:rPr>
          <w:b/>
        </w:rPr>
        <w:t>Illustration:</w:t>
      </w:r>
      <w:r>
        <w:rPr>
          <w:i w:val="0"/>
        </w:rPr>
        <w:t xml:space="preserve"> a farmer in Masaka instructs a coffee agent not to sell her coffee below Ushs. 12,000/= per kilo. If the agent sells at Ushs. 9,000/=, he must pay her the difference.</w:t>
      </w:r>
    </w:p>
    <w:p>
      <w:pPr>
        <w:pStyle w:val="Heading3"/>
      </w:pPr>
      <w:r>
        <w:rPr>
          <w:i w:val="0"/>
        </w:rPr>
        <w:t>2. Duty to act with reasonable care, skill and diligence</w:t>
      </w:r>
    </w:p>
    <w:p>
      <w:pPr>
        <w:jc w:val="both"/>
      </w:pPr>
      <w:r>
        <w:rPr>
          <w:i w:val="0"/>
        </w:rPr>
        <w:t xml:space="preserve">The agent must perform his work with the care and skill that a reasonable person in his position would use, and with any special skill he claims to have. In </w:t>
      </w:r>
      <w:r>
        <w:rPr>
          <w:i/>
        </w:rPr>
        <w:t>Keppel v Wheeler (1927)</w:t>
      </w:r>
      <w:r>
        <w:rPr>
          <w:i w:val="0"/>
        </w:rPr>
        <w:t xml:space="preserve">, estate agents who failed to tell their principal about a higher offer were liable for the difference. In </w:t>
      </w:r>
      <w:r>
        <w:rPr>
          <w:i/>
        </w:rPr>
        <w:t>Chaudhry v Prabhakar (1988)</w:t>
      </w:r>
      <w:r>
        <w:rPr>
          <w:i w:val="0"/>
        </w:rPr>
        <w:t>, even an unpaid friend who agreed to find a car "that had not been in an accident" was liable when he bought one that had been badly damaged.</w:t>
      </w:r>
    </w:p>
    <w:p>
      <w:pPr>
        <w:ind w:left="283"/>
        <w:jc w:val="both"/>
        <w:pBdr>
          <w:left w:val="single" w:sz="18" w:space="6" w:color="808080"/>
        </w:pBdr>
        <w:shd w:val="clear" w:color="auto" w:fill="F2F2F2"/>
      </w:pPr>
      <w:r>
        <w:rPr>
          <w:b/>
        </w:rPr>
        <w:t>Illustration:</w:t>
      </w:r>
      <w:r>
        <w:rPr>
          <w:i w:val="0"/>
        </w:rPr>
        <w:t xml:space="preserve"> a land broker in Wakiso who arranges a purchase without checking the title at the Land Registry, so that his client buys land with a fake title, is liable for the client's loss.</w:t>
      </w:r>
    </w:p>
    <w:p>
      <w:pPr>
        <w:pStyle w:val="Heading3"/>
      </w:pPr>
      <w:r>
        <w:rPr>
          <w:i w:val="0"/>
        </w:rPr>
        <w:t>3. Duty not to delegate his authority</w:t>
      </w:r>
    </w:p>
    <w:p>
      <w:pPr>
        <w:jc w:val="both"/>
      </w:pPr>
      <w:r>
        <w:rPr>
          <w:i w:val="0"/>
        </w:rPr>
        <w:t xml:space="preserve">An agent is chosen because the principal trusts him personally, so he cannot pass on (delegate) his work to another person without the principal's consent. This rule is captured in the Latin phrase </w:t>
      </w:r>
      <w:r>
        <w:rPr>
          <w:i/>
        </w:rPr>
        <w:t>delegatus non potest delegare</w:t>
      </w:r>
      <w:r>
        <w:rPr>
          <w:i w:val="0"/>
        </w:rPr>
        <w:t xml:space="preserve"> – a person to whom a power has been given cannot hand it to another. Delegation is allowed only where the principal consents, where it is the custom of the trade, or for purely mechanical tasks – </w:t>
      </w:r>
      <w:r>
        <w:rPr>
          <w:i/>
        </w:rPr>
        <w:t>De Bussche v Alt (1878)</w:t>
      </w:r>
      <w:r>
        <w:rPr>
          <w:i w:val="0"/>
        </w:rPr>
        <w:t>.</w:t>
      </w:r>
    </w:p>
    <w:p>
      <w:pPr>
        <w:ind w:left="283"/>
        <w:jc w:val="both"/>
        <w:pBdr>
          <w:left w:val="single" w:sz="18" w:space="6" w:color="808080"/>
        </w:pBdr>
        <w:shd w:val="clear" w:color="auto" w:fill="F2F2F2"/>
      </w:pPr>
      <w:r>
        <w:rPr>
          <w:b/>
        </w:rPr>
        <w:t>Illustration:</w:t>
      </w:r>
      <w:r>
        <w:rPr>
          <w:i w:val="0"/>
        </w:rPr>
        <w:t xml:space="preserve"> a lawyer instructed to represent a client in the Commercial Court in Kampala cannot, without the client's consent, hand the whole case over to a law firm the client does not know.</w:t>
      </w:r>
    </w:p>
    <w:p>
      <w:pPr>
        <w:pStyle w:val="Heading3"/>
      </w:pPr>
      <w:r>
        <w:rPr>
          <w:i w:val="0"/>
        </w:rPr>
        <w:t>4. Duty to avoid a conflict of interest</w:t>
      </w:r>
    </w:p>
    <w:p>
      <w:pPr>
        <w:jc w:val="both"/>
      </w:pPr>
      <w:r>
        <w:rPr>
          <w:i w:val="0"/>
        </w:rPr>
        <w:t xml:space="preserve">The agent must not put himself in a position where his own interest conflicts with that of his principal. For example, he must not sell his own property to the principal, or buy the principal's property for himself, without full disclosure and consent. In </w:t>
      </w:r>
      <w:r>
        <w:rPr>
          <w:i/>
        </w:rPr>
        <w:t>Armstrong v Jackson (1917)</w:t>
      </w:r>
      <w:r>
        <w:rPr>
          <w:i w:val="0"/>
        </w:rPr>
        <w:t>, a stockbroker who was instructed to buy shares sold his own shares to the principal; the principal was allowed to cancel the transaction.</w:t>
      </w:r>
    </w:p>
    <w:p>
      <w:pPr>
        <w:ind w:left="283"/>
        <w:jc w:val="both"/>
        <w:pBdr>
          <w:left w:val="single" w:sz="18" w:space="6" w:color="808080"/>
        </w:pBdr>
        <w:shd w:val="clear" w:color="auto" w:fill="F2F2F2"/>
      </w:pPr>
      <w:r>
        <w:rPr>
          <w:b/>
        </w:rPr>
        <w:t>Illustration:</w:t>
      </w:r>
      <w:r>
        <w:rPr>
          <w:i w:val="0"/>
        </w:rPr>
        <w:t xml:space="preserve"> Nalwoga hires an agent to buy a commercial plot in Ntinda. The agent secretly sells her his own plot at an inflated price. Nalwoga can cancel the sale.</w:t>
      </w:r>
    </w:p>
    <w:p>
      <w:pPr>
        <w:pStyle w:val="Heading3"/>
      </w:pPr>
      <w:r>
        <w:rPr>
          <w:i w:val="0"/>
        </w:rPr>
        <w:t>5. Duty not to make a secret profit or take a bribe</w:t>
      </w:r>
    </w:p>
    <w:p>
      <w:pPr>
        <w:jc w:val="both"/>
      </w:pPr>
      <w:r>
        <w:rPr>
          <w:i w:val="0"/>
        </w:rPr>
        <w:t xml:space="preserve">The agent must not make any profit from his position beyond his agreed payment without the principal's knowledge and consent. Any secret profit must be handed over to the principal, and if the agent takes a bribe, he may be dismissed, lose his commission and be liable to pay over the bribe. In </w:t>
      </w:r>
      <w:r>
        <w:rPr>
          <w:i/>
        </w:rPr>
        <w:t>Boston Deep Sea Fishing v Ansell (1888)</w:t>
      </w:r>
      <w:r>
        <w:rPr>
          <w:i w:val="0"/>
        </w:rPr>
        <w:t xml:space="preserve">, a managing director who took secret commissions from suppliers was lawfully dismissed and made to repay them. In </w:t>
      </w:r>
      <w:r>
        <w:rPr>
          <w:i/>
        </w:rPr>
        <w:t>Hippisley v Knee Bros (1905)</w:t>
      </w:r>
      <w:r>
        <w:rPr>
          <w:i w:val="0"/>
        </w:rPr>
        <w:t>, agents who kept discounts on advertising costs had to account for them.</w:t>
      </w:r>
    </w:p>
    <w:p>
      <w:pPr>
        <w:ind w:left="283"/>
        <w:jc w:val="both"/>
        <w:pBdr>
          <w:left w:val="single" w:sz="18" w:space="6" w:color="808080"/>
        </w:pBdr>
        <w:shd w:val="clear" w:color="auto" w:fill="F2F2F2"/>
      </w:pPr>
      <w:r>
        <w:rPr>
          <w:b/>
        </w:rPr>
        <w:t>Illustration:</w:t>
      </w:r>
      <w:r>
        <w:rPr>
          <w:i w:val="0"/>
        </w:rPr>
        <w:t xml:space="preserve"> a procurement officer acting as agent for a company in Kampala accepts "a small thank you" of Ushs. 2,000,000/= from a supplier to award a tender. The company can recover the money and dismiss the officer, and the act may also be a crime under the Anti-Corruption Act, 2009.</w:t>
      </w:r>
    </w:p>
    <w:p>
      <w:pPr>
        <w:pStyle w:val="Heading3"/>
      </w:pPr>
      <w:r>
        <w:rPr>
          <w:i w:val="0"/>
        </w:rPr>
        <w:t>6. Duty to account and to pay over money received</w:t>
      </w:r>
    </w:p>
    <w:p>
      <w:pPr>
        <w:jc w:val="both"/>
      </w:pPr>
      <w:r>
        <w:rPr>
          <w:i w:val="0"/>
        </w:rPr>
        <w:t>The agent must keep proper accounts of all money and property received on behalf of the principal, keep the principal's property separate from his own, and pay over all sums received on the principal's behalf (</w:t>
      </w:r>
      <w:r>
        <w:rPr>
          <w:b/>
          <w:i w:val="0"/>
        </w:rPr>
        <w:t>section 152</w:t>
      </w:r>
      <w:r>
        <w:rPr>
          <w:i w:val="0"/>
        </w:rPr>
        <w:t>, Contracts Act). He may, however, keep sums due to him for his own payment and expenses (</w:t>
      </w:r>
      <w:r>
        <w:rPr>
          <w:b/>
          <w:i w:val="0"/>
        </w:rPr>
        <w:t>section 151</w:t>
      </w:r>
      <w:r>
        <w:rPr>
          <w:i w:val="0"/>
        </w:rPr>
        <w:t>).</w:t>
      </w:r>
    </w:p>
    <w:p>
      <w:pPr>
        <w:ind w:left="283"/>
        <w:jc w:val="both"/>
        <w:pBdr>
          <w:left w:val="single" w:sz="18" w:space="6" w:color="808080"/>
        </w:pBdr>
        <w:shd w:val="clear" w:color="auto" w:fill="F2F2F2"/>
      </w:pPr>
      <w:r>
        <w:rPr>
          <w:b/>
        </w:rPr>
        <w:t>Illustration:</w:t>
      </w:r>
      <w:r>
        <w:rPr>
          <w:i w:val="0"/>
        </w:rPr>
        <w:t xml:space="preserve"> a mobile money agent in Mbale who receives Ushs. 10,000,000/= on behalf of a business must record each transaction and pay it over, after deducting only the agreed commission.</w:t>
      </w:r>
    </w:p>
    <w:p>
      <w:pPr>
        <w:pStyle w:val="Heading3"/>
      </w:pPr>
      <w:r>
        <w:rPr>
          <w:i w:val="0"/>
        </w:rPr>
        <w:t>7. Duty to communicate with the principal</w:t>
      </w:r>
    </w:p>
    <w:p>
      <w:pPr>
        <w:jc w:val="both"/>
      </w:pPr>
      <w:r>
        <w:rPr>
          <w:i w:val="0"/>
        </w:rPr>
        <w:t>The agent must keep the principal informed of all material facts and seek instructions where necessary, especially in difficult situations – e.g. telling the principal of a better offer (</w:t>
      </w:r>
      <w:r>
        <w:rPr>
          <w:i/>
        </w:rPr>
        <w:t>Keppel v Wheeler</w:t>
      </w:r>
      <w:r>
        <w:rPr>
          <w:i w:val="0"/>
        </w:rPr>
        <w:t>).</w:t>
      </w:r>
    </w:p>
    <w:p>
      <w:pPr>
        <w:pStyle w:val="Heading3"/>
      </w:pPr>
      <w:r>
        <w:rPr>
          <w:i w:val="0"/>
        </w:rPr>
        <w:t>8. Duty of confidentiality and good faith</w:t>
      </w:r>
    </w:p>
    <w:p>
      <w:pPr>
        <w:jc w:val="both"/>
      </w:pPr>
      <w:r>
        <w:rPr>
          <w:i w:val="0"/>
        </w:rPr>
        <w:t xml:space="preserve">The agent must not disclose or misuse confidential information obtained during the agency, even after the agency ends – </w:t>
      </w:r>
      <w:r>
        <w:rPr>
          <w:i/>
        </w:rPr>
        <w:t>Lamb v Evans (1893)</w:t>
      </w:r>
      <w:r>
        <w:rPr>
          <w:i w:val="0"/>
        </w:rPr>
        <w:t>, where canvassers could not use materials compiled for their principal for a rival business. He must always act honestly and in the best interest of the principal.</w:t>
      </w:r>
    </w:p>
    <w:p>
      <w:pPr>
        <w:ind w:left="283"/>
        <w:jc w:val="both"/>
        <w:pBdr>
          <w:left w:val="single" w:sz="18" w:space="6" w:color="808080"/>
        </w:pBdr>
        <w:shd w:val="clear" w:color="auto" w:fill="F2F2F2"/>
      </w:pPr>
      <w:r>
        <w:rPr>
          <w:b/>
        </w:rPr>
        <w:t>Illustration:</w:t>
      </w:r>
      <w:r>
        <w:rPr>
          <w:i w:val="0"/>
        </w:rPr>
        <w:t xml:space="preserve"> a sales agent for a Kampala manufacturing company who leaves and gives the company's customer list and prices to a competitor is in breach of the duty of confidentiality.</w:t>
      </w:r>
    </w:p>
    <w:p>
      <w:pPr>
        <w:pStyle w:val="Heading3"/>
      </w:pPr>
      <w:r>
        <w:rPr>
          <w:i w:val="0"/>
        </w:rPr>
        <w:t>Consequences of breach</w:t>
      </w:r>
    </w:p>
    <w:p>
      <w:pPr>
        <w:jc w:val="both"/>
      </w:pPr>
      <w:r>
        <w:rPr>
          <w:i w:val="0"/>
        </w:rPr>
        <w:t>Where an agent breaches his duties, the principal may (a) claim damages for loss caused, (b) recover any secret profit or bribe, (c) refuse to pay commission (</w:t>
      </w:r>
      <w:r>
        <w:rPr>
          <w:b/>
          <w:i w:val="0"/>
        </w:rPr>
        <w:t>section 154</w:t>
      </w:r>
      <w:r>
        <w:rPr>
          <w:i w:val="0"/>
        </w:rPr>
        <w:t xml:space="preserve"> – an agent guilty of misconduct is not entitled to remuneration for that part of the business), (d) cancel contracts tainted by a conflict of interest, and (e) end the agency.</w:t>
      </w:r>
    </w:p>
    <w:p>
      <w:pPr>
        <w:pStyle w:val="Heading2"/>
      </w:pPr>
      <w:r>
        <w:rPr>
          <w:i w:val="0"/>
        </w:rPr>
        <w:t>(c) Rights of an agent (6 marks)</w:t>
      </w:r>
    </w:p>
    <w:p>
      <w:pPr>
        <w:jc w:val="both"/>
      </w:pPr>
      <w:r>
        <w:rPr>
          <w:i w:val="0"/>
        </w:rPr>
        <w:t>The duties of the agent are balanced by the following rights against the principal, mainly set out in the Contracts Act, 2010:</w:t>
      </w:r>
    </w:p>
    <w:p>
      <w:pPr>
        <w:pStyle w:val="ListBullet"/>
        <w:jc w:val="both"/>
      </w:pPr>
      <w:r>
        <w:rPr>
          <w:b/>
          <w:i w:val="0"/>
        </w:rPr>
        <w:t>Right to remuneration (section 153)</w:t>
      </w:r>
      <w:r>
        <w:rPr>
          <w:i w:val="0"/>
        </w:rPr>
        <w:t xml:space="preserve"> – the agent is entitled to the agreed commission or fee once he has performed the work. If no amount was agreed, he is entitled to a reasonable amount – </w:t>
      </w:r>
      <w:r>
        <w:rPr>
          <w:i/>
        </w:rPr>
        <w:t>Way v Latilla (1937)</w:t>
      </w:r>
      <w:r>
        <w:rPr>
          <w:i w:val="0"/>
        </w:rPr>
        <w:t>. He loses this right for any business in which he was guilty of misconduct (section 154).</w:t>
      </w:r>
    </w:p>
    <w:p>
      <w:pPr>
        <w:pStyle w:val="ListBullet"/>
        <w:jc w:val="both"/>
      </w:pPr>
      <w:r>
        <w:rPr>
          <w:b/>
          <w:i w:val="0"/>
        </w:rPr>
        <w:t>Right to retain sums received (section 151)</w:t>
      </w:r>
      <w:r>
        <w:rPr>
          <w:i w:val="0"/>
        </w:rPr>
        <w:t xml:space="preserve"> – the agent may keep, out of money received on the principal's account, the amount due to him for advances, expenses and remuneration.</w:t>
      </w:r>
    </w:p>
    <w:p>
      <w:pPr>
        <w:pStyle w:val="ListBullet"/>
        <w:jc w:val="both"/>
      </w:pPr>
      <w:r>
        <w:rPr>
          <w:b/>
          <w:i w:val="0"/>
        </w:rPr>
        <w:t>Right of lien (section 155)</w:t>
      </w:r>
      <w:r>
        <w:rPr>
          <w:i w:val="0"/>
        </w:rPr>
        <w:t xml:space="preserve"> – the agent may keep the principal's goods, movable or immovable, received by him until his commission, disbursements and charges in respect of them are paid.</w:t>
      </w:r>
    </w:p>
    <w:p>
      <w:pPr>
        <w:pStyle w:val="ListBullet"/>
        <w:jc w:val="both"/>
      </w:pPr>
      <w:r>
        <w:rPr>
          <w:b/>
          <w:i w:val="0"/>
        </w:rPr>
        <w:t>Right to indemnity (section 156)</w:t>
      </w:r>
      <w:r>
        <w:rPr>
          <w:i w:val="0"/>
        </w:rPr>
        <w:t xml:space="preserve"> – the principal must compensate the agent for the consequences of all lawful acts done in exercising his authority, including acts done in good faith – </w:t>
      </w:r>
      <w:r>
        <w:rPr>
          <w:i/>
        </w:rPr>
        <w:t>Adamson v Jarvis (1827)</w:t>
      </w:r>
      <w:r>
        <w:rPr>
          <w:i w:val="0"/>
        </w:rPr>
        <w:t>.</w:t>
      </w:r>
    </w:p>
    <w:p>
      <w:pPr>
        <w:pStyle w:val="ListBullet"/>
        <w:jc w:val="both"/>
      </w:pPr>
      <w:r>
        <w:rPr>
          <w:b/>
          <w:i w:val="0"/>
        </w:rPr>
        <w:t>Right to compensation for injury (section 158)</w:t>
      </w:r>
      <w:r>
        <w:rPr>
          <w:i w:val="0"/>
        </w:rPr>
        <w:t xml:space="preserve"> – the principal must compensate the agent for injury caused by the principal's neglect or lack of skill.</w:t>
      </w:r>
    </w:p>
    <w:p>
      <w:pPr>
        <w:pStyle w:val="ListBullet"/>
        <w:jc w:val="both"/>
      </w:pPr>
      <w:r>
        <w:rPr>
          <w:b/>
          <w:i w:val="0"/>
        </w:rPr>
        <w:t>Right of stoppage in transit</w:t>
      </w:r>
      <w:r>
        <w:rPr>
          <w:i w:val="0"/>
        </w:rPr>
        <w:t xml:space="preserve"> – where the agent has bought goods for the principal with his own money and the principal becomes insolvent, the agent, like an unpaid seller, may stop the goods on their way to the principal.</w:t>
      </w:r>
    </w:p>
    <w:p>
      <w:pPr>
        <w:ind w:left="283"/>
        <w:jc w:val="both"/>
        <w:pBdr>
          <w:left w:val="single" w:sz="18" w:space="6" w:color="808080"/>
        </w:pBdr>
        <w:shd w:val="clear" w:color="auto" w:fill="F2F2F2"/>
      </w:pPr>
      <w:r>
        <w:rPr>
          <w:b/>
        </w:rPr>
        <w:t>Illustration:</w:t>
      </w:r>
      <w:r>
        <w:rPr>
          <w:i w:val="0"/>
        </w:rPr>
        <w:t xml:space="preserve"> a clearing agent at Malaba pays URA taxes of Ushs. 8,000,000/= from his own pocket to release Mukasa's container. He may claim the money back as an indemnity, and keep the container's documents (lien) until he is paid his commission and the taxes he paid.</w:t>
      </w:r>
    </w:p>
    <w:p>
      <w:pPr>
        <w:pStyle w:val="Heading3"/>
      </w:pPr>
      <w:r>
        <w:rPr>
          <w:i w:val="0"/>
        </w:rPr>
        <w:t>Conclusion</w:t>
      </w:r>
    </w:p>
    <w:p>
      <w:pPr>
        <w:jc w:val="both"/>
      </w:pPr>
      <w:r>
        <w:rPr>
          <w:i w:val="0"/>
        </w:rPr>
        <w:t>Agency allows businesses to operate through others – brokers, clearing agents, sales representatives and mobile money agents – across Uganda and beyond. Because the agent can bind the principal, the law demands high standards of loyalty, care and honesty from the agent, while protecting the agent's right to be paid and reimbursed.</w:t>
      </w:r>
    </w:p>
    <w:p>
      <w:pPr>
        <w:jc w:val="center"/>
      </w:pPr>
      <w:r>
        <w:rPr>
          <w:i w:val="0"/>
        </w:rPr>
        <w:t>— END —</w:t>
      </w:r>
    </w:p>
    <w:sectPr w:rsidR="00FC693F" w:rsidRPr="0006063C" w:rsidSect="00034616">
      <w:footerReference w:type="default" r:id="rId9"/>
      <w:pgSz w:w="11906" w:h="16838"/>
      <w:pgMar w:top="1304" w:right="1440" w:bottom="1304"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imes New Roman" w:hAnsi="Times New Roman" w:eastAsia="Times New Roman"/>
      <w:b/>
      <w:bCs/>
      <w:cap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imes New Roman" w:hAnsi="Times New Roman" w:eastAsia="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imes New Roman" w:hAnsi="Times New Roman" w:eastAsia="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