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001489"/>
          <w:sz w:val="32"/>
          <w:szCs w:val="32"/>
        </w:rPr>
        <w:t xml:space="preserve">2025FA Enrollment Query — Summary Report</w:t>
      </w:r>
    </w:p>
    <w:p>
      <w:pPr>
        <w:spacing w:after="80"/>
      </w:pPr>
      <w:r>
        <w:rPr>
          <w:rFonts w:ascii="Arial" w:cs="Arial" w:eastAsia="Arial" w:hAnsi="Arial"/>
          <w:b/>
          <w:bCs/>
          <w:sz w:val="20"/>
          <w:szCs w:val="20"/>
        </w:rPr>
        <w:t xml:space="preserve">Date: </w:t>
      </w:r>
      <w:r>
        <w:rPr>
          <w:rFonts w:ascii="Arial" w:cs="Arial" w:eastAsia="Arial" w:hAnsi="Arial"/>
          <w:sz w:val="20"/>
          <w:szCs w:val="20"/>
        </w:rPr>
        <w:t xml:space="preserve">April 16, 2026</w:t>
      </w:r>
    </w:p>
    <w:p>
      <w:pPr>
        <w:spacing w:after="80"/>
      </w:pPr>
      <w:r>
        <w:rPr>
          <w:rFonts w:ascii="Arial" w:cs="Arial" w:eastAsia="Arial" w:hAnsi="Arial"/>
          <w:b/>
          <w:bCs/>
          <w:sz w:val="20"/>
          <w:szCs w:val="20"/>
        </w:rPr>
        <w:t xml:space="preserve">Author: </w:t>
      </w:r>
      <w:r>
        <w:rPr>
          <w:rFonts w:ascii="Arial" w:cs="Arial" w:eastAsia="Arial" w:hAnsi="Arial"/>
          <w:sz w:val="20"/>
          <w:szCs w:val="20"/>
        </w:rPr>
        <w:t xml:space="preserve">Institutional Effectiveness</w:t>
      </w:r>
    </w:p>
    <w:p>
      <w:pPr>
        <w:spacing w:after="80"/>
      </w:pPr>
      <w:r>
        <w:rPr>
          <w:rFonts w:ascii="Arial" w:cs="Arial" w:eastAsia="Arial" w:hAnsi="Arial"/>
          <w:b/>
          <w:bCs/>
          <w:sz w:val="20"/>
          <w:szCs w:val="20"/>
        </w:rPr>
        <w:t xml:space="preserve">Term: </w:t>
      </w:r>
      <w:r>
        <w:rPr>
          <w:rFonts w:ascii="Arial" w:cs="Arial" w:eastAsia="Arial" w:hAnsi="Arial"/>
          <w:sz w:val="20"/>
          <w:szCs w:val="20"/>
        </w:rPr>
        <w:t xml:space="preserve">Fall 2025 (2025FA)</w:t>
      </w:r>
    </w:p>
    <w:p>
      <w:pPr>
        <w:pBdr>
          <w:bottom w:val="single" w:color="001489" w:sz="6" w:space="1"/>
        </w:pBdr>
        <w:spacing w:after="280"/>
      </w:pPr>
      <w:r>
        <w:t xml:space="preserve"/>
      </w:r>
    </w:p>
    <w:p>
      <w:pPr>
        <w:pStyle w:val="Heading2"/>
      </w:pPr>
      <w:r>
        <w:rPr>
          <w:rFonts w:ascii="Arial" w:cs="Arial" w:eastAsia="Arial" w:hAnsi="Arial"/>
          <w:b/>
          <w:bCs/>
          <w:color w:val="001489"/>
          <w:sz w:val="26"/>
          <w:szCs w:val="26"/>
        </w:rPr>
        <w:t xml:space="preserve">Purpose</w:t>
      </w:r>
    </w:p>
    <w:p>
      <w:pPr>
        <w:spacing w:after="200"/>
      </w:pPr>
      <w:r>
        <w:rPr>
          <w:rFonts w:ascii="Arial" w:cs="Arial" w:eastAsia="Arial" w:hAnsi="Arial"/>
          <w:sz w:val="20"/>
          <w:szCs w:val="20"/>
        </w:rPr>
        <w:t xml:space="preserve">This query produces a student-level enrollment dataset for Fall 2025. It is designed to support institutional reporting on enrollment patterns, student demographics, academic preparedness, financial aid status, and program participation. Each row represents one student with a set of categorical attributes suitable for use in Power BI dashboards or summary tabulations.</w:t>
      </w:r>
    </w:p>
    <w:p>
      <w:pPr>
        <w:pBdr>
          <w:bottom w:val="single" w:color="CCCCCC" w:sz="2" w:space="1"/>
        </w:pBdr>
        <w:spacing w:after="160"/>
      </w:pPr>
      <w:r>
        <w:t xml:space="preserve"/>
      </w:r>
    </w:p>
    <w:p>
      <w:pPr>
        <w:pStyle w:val="Heading2"/>
      </w:pPr>
      <w:r>
        <w:rPr>
          <w:rFonts w:ascii="Arial" w:cs="Arial" w:eastAsia="Arial" w:hAnsi="Arial"/>
          <w:b/>
          <w:bCs/>
          <w:color w:val="001489"/>
          <w:sz w:val="26"/>
          <w:szCs w:val="26"/>
        </w:rPr>
        <w:t xml:space="preserve">Enrollment Filter Logic</w:t>
      </w:r>
    </w:p>
    <w:p>
      <w:pPr>
        <w:spacing w:after="120"/>
      </w:pPr>
      <w:r>
        <w:rPr>
          <w:rFonts w:ascii="Arial" w:cs="Arial" w:eastAsia="Arial" w:hAnsi="Arial"/>
          <w:sz w:val="20"/>
          <w:szCs w:val="20"/>
        </w:rPr>
        <w:t xml:space="preserve">Students are included when their academic credit record meets one of the following conditions:</w:t>
      </w:r>
    </w:p>
    <w:p>
      <w:pPr>
        <w:pStyle w:val="ListParagraph"/>
        <w:numPr>
          <w:ilvl w:val="0"/>
          <w:numId w:val="2"/>
        </w:numPr>
        <w:spacing w:after="80"/>
      </w:pPr>
      <w:r>
        <w:rPr>
          <w:rFonts w:ascii="Arial" w:cs="Arial" w:eastAsia="Arial" w:hAnsi="Arial"/>
          <w:sz w:val="20"/>
          <w:szCs w:val="20"/>
        </w:rPr>
        <w:t xml:space="preserve">Status is Active (A) or New (N)</w:t>
      </w:r>
    </w:p>
    <w:p>
      <w:pPr>
        <w:pStyle w:val="ListParagraph"/>
        <w:numPr>
          <w:ilvl w:val="0"/>
          <w:numId w:val="2"/>
        </w:numPr>
        <w:spacing w:after="200"/>
      </w:pPr>
      <w:r>
        <w:rPr>
          <w:rFonts w:ascii="Arial" w:cs="Arial" w:eastAsia="Arial" w:hAnsi="Arial"/>
          <w:sz w:val="20"/>
          <w:szCs w:val="20"/>
        </w:rPr>
        <w:t xml:space="preserve">Status is Dropped (D) with a verified grade of W (official withdrawal)</w:t>
      </w:r>
    </w:p>
    <w:p>
      <w:pPr>
        <w:spacing w:after="200"/>
      </w:pPr>
      <w:r>
        <w:rPr>
          <w:rFonts w:ascii="Arial" w:cs="Arial" w:eastAsia="Arial" w:hAnsi="Arial"/>
          <w:sz w:val="20"/>
          <w:szCs w:val="20"/>
        </w:rPr>
        <w:t xml:space="preserve">Online-only sections (section numbers containing '77') are excluded from enrollment counts and retention calculations.</w:t>
      </w:r>
    </w:p>
    <w:p>
      <w:pPr>
        <w:pBdr>
          <w:bottom w:val="single" w:color="CCCCCC" w:sz="2" w:space="1"/>
        </w:pBdr>
        <w:spacing w:after="160"/>
      </w:pPr>
      <w:r>
        <w:t xml:space="preserve"/>
      </w:r>
    </w:p>
    <w:p>
      <w:pPr>
        <w:pStyle w:val="Heading2"/>
      </w:pPr>
      <w:r>
        <w:rPr>
          <w:rFonts w:ascii="Arial" w:cs="Arial" w:eastAsia="Arial" w:hAnsi="Arial"/>
          <w:b/>
          <w:bCs/>
          <w:color w:val="001489"/>
          <w:sz w:val="26"/>
          <w:szCs w:val="26"/>
        </w:rPr>
        <w:t xml:space="preserve">Output Columns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00148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7360"/>
            <w:tcBorders>
              <w:top w:val="single" w:color="CCCCCC" w:sz="1"/>
              <w:left w:val="single" w:color="CCCCCC" w:sz="1"/>
              <w:bottom w:val="single" w:color="CCCCCC" w:sz="1"/>
              <w:right w:val="single" w:color="CCCCCC" w:sz="1"/>
            </w:tcBorders>
            <w:shd w:fill="00148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Student identifier pulled from stc_person_id</w:t>
            </w:r>
          </w:p>
        </w:tc>
      </w:tr>
      <w:tr>
        <w:tc>
          <w:tcPr>
            <w:tcW w:type="dxa" w:w="2000"/>
            <w:tcBorders>
              <w:top w:val="single" w:color="CCCCCC" w:sz="1"/>
              <w:left w:val="single" w:color="CCCCCC" w:sz="1"/>
              <w:bottom w:val="single" w:color="CCCCCC" w:sz="1"/>
              <w:right w:val="single" w:color="CCCCCC" w:sz="1"/>
            </w:tcBorders>
            <w:shd w:fill="E8ECF5" w:val="clear"/>
            <w:tcMar>
              <w:top w:type="dxa" w:w="80"/>
              <w:left w:type="dxa" w:w="120"/>
              <w:bottom w:type="dxa" w:w="80"/>
              <w:right w:type="dxa" w:w="120"/>
            </w:tcMar>
          </w:tcPr>
          <w:p>
            <w:r>
              <w:rPr>
                <w:rFonts w:ascii="Arial" w:cs="Arial" w:eastAsia="Arial" w:hAnsi="Arial"/>
                <w:sz w:val="20"/>
                <w:szCs w:val="20"/>
              </w:rPr>
              <w:t xml:space="preserve">Credits</w:t>
            </w:r>
          </w:p>
        </w:tc>
        <w:tc>
          <w:tcPr>
            <w:tcW w:type="dxa" w:w="7360"/>
            <w:tcBorders>
              <w:top w:val="single" w:color="CCCCCC" w:sz="1"/>
              <w:left w:val="single" w:color="CCCCCC" w:sz="1"/>
              <w:bottom w:val="single" w:color="CCCCCC" w:sz="1"/>
              <w:right w:val="single" w:color="CCCCCC" w:sz="1"/>
            </w:tcBorders>
            <w:shd w:fill="E8ECF5" w:val="clear"/>
            <w:tcMar>
              <w:top w:type="dxa" w:w="80"/>
              <w:left w:type="dxa" w:w="120"/>
              <w:bottom w:type="dxa" w:w="80"/>
              <w:right w:type="dxa" w:w="120"/>
            </w:tcMar>
          </w:tcPr>
          <w:p>
            <w:r>
              <w:rPr>
                <w:rFonts w:ascii="Arial" w:cs="Arial" w:eastAsia="Arial" w:hAnsi="Arial"/>
                <w:sz w:val="20"/>
                <w:szCs w:val="20"/>
              </w:rPr>
              <w:t xml:space="preserve">Total credit hours enrolled for 2025FA, summed via SUM(stc_cred)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Credit_Status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Time if Credits &gt;= 12, otherwise Part Time</w:t>
            </w:r>
          </w:p>
        </w:tc>
      </w:tr>
      <w:tr>
        <w:tc>
          <w:tcPr>
            <w:tcW w:type="dxa" w:w="2000"/>
            <w:tcBorders>
              <w:top w:val="single" w:color="CCCCCC" w:sz="1"/>
              <w:left w:val="single" w:color="CCCCCC" w:sz="1"/>
              <w:bottom w:val="single" w:color="CCCCCC" w:sz="1"/>
              <w:right w:val="single" w:color="CCCCCC" w:sz="1"/>
            </w:tcBorders>
            <w:shd w:fill="E8ECF5" w:val="clear"/>
            <w:tcMar>
              <w:top w:type="dxa" w:w="80"/>
              <w:left w:type="dxa" w:w="120"/>
              <w:bottom w:type="dxa" w:w="80"/>
              <w:right w:type="dxa" w:w="120"/>
            </w:tcMar>
          </w:tcPr>
          <w:p>
            <w:r>
              <w:rPr>
                <w:rFonts w:ascii="Arial" w:cs="Arial" w:eastAsia="Arial" w:hAnsi="Arial"/>
                <w:sz w:val="20"/>
                <w:szCs w:val="20"/>
              </w:rPr>
              <w:t xml:space="preserve">Gender</w:t>
            </w:r>
          </w:p>
        </w:tc>
        <w:tc>
          <w:tcPr>
            <w:tcW w:type="dxa" w:w="7360"/>
            <w:tcBorders>
              <w:top w:val="single" w:color="CCCCCC" w:sz="1"/>
              <w:left w:val="single" w:color="CCCCCC" w:sz="1"/>
              <w:bottom w:val="single" w:color="CCCCCC" w:sz="1"/>
              <w:right w:val="single" w:color="CCCCCC" w:sz="1"/>
            </w:tcBorders>
            <w:shd w:fill="E8ECF5" w:val="clear"/>
            <w:tcMar>
              <w:top w:type="dxa" w:w="80"/>
              <w:left w:type="dxa" w:w="120"/>
              <w:bottom w:type="dxa" w:w="80"/>
              <w:right w:type="dxa" w:w="120"/>
            </w:tcMar>
          </w:tcPr>
          <w:p>
            <w:r>
              <w:rPr>
                <w:rFonts w:ascii="Arial" w:cs="Arial" w:eastAsia="Arial" w:hAnsi="Arial"/>
                <w:sz w:val="20"/>
                <w:szCs w:val="20"/>
              </w:rPr>
              <w:t xml:space="preserve">Female, Male, or Unknown derived from the PERSON table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Calculated age as of August 18, 2025</w:t>
            </w:r>
          </w:p>
        </w:tc>
      </w:tr>
      <w:tr>
        <w:tc>
          <w:tcPr>
            <w:tcW w:type="dxa" w:w="2000"/>
            <w:tcBorders>
              <w:top w:val="single" w:color="CCCCCC" w:sz="1"/>
              <w:left w:val="single" w:color="CCCCCC" w:sz="1"/>
              <w:bottom w:val="single" w:color="CCCCCC" w:sz="1"/>
              <w:right w:val="single" w:color="CCCCCC" w:sz="1"/>
            </w:tcBorders>
            <w:shd w:fill="E8ECF5" w:val="clear"/>
            <w:tcMar>
              <w:top w:type="dxa" w:w="80"/>
              <w:left w:type="dxa" w:w="120"/>
              <w:bottom w:type="dxa" w:w="80"/>
              <w:right w:type="dxa" w:w="120"/>
            </w:tcMar>
          </w:tcPr>
          <w:p>
            <w:r>
              <w:rPr>
                <w:rFonts w:ascii="Arial" w:cs="Arial" w:eastAsia="Arial" w:hAnsi="Arial"/>
                <w:sz w:val="20"/>
                <w:szCs w:val="20"/>
              </w:rPr>
              <w:t xml:space="preserve">Age_Group</w:t>
            </w:r>
          </w:p>
        </w:tc>
        <w:tc>
          <w:tcPr>
            <w:tcW w:type="dxa" w:w="7360"/>
            <w:tcBorders>
              <w:top w:val="single" w:color="CCCCCC" w:sz="1"/>
              <w:left w:val="single" w:color="CCCCCC" w:sz="1"/>
              <w:bottom w:val="single" w:color="CCCCCC" w:sz="1"/>
              <w:right w:val="single" w:color="CCCCCC" w:sz="1"/>
            </w:tcBorders>
            <w:shd w:fill="E8ECF5" w:val="clear"/>
            <w:tcMar>
              <w:top w:type="dxa" w:w="80"/>
              <w:left w:type="dxa" w:w="120"/>
              <w:bottom w:type="dxa" w:w="80"/>
              <w:right w:type="dxa" w:w="120"/>
            </w:tcMar>
          </w:tcPr>
          <w:p>
            <w:r>
              <w:rPr>
                <w:rFonts w:ascii="Arial" w:cs="Arial" w:eastAsia="Arial" w:hAnsi="Arial"/>
                <w:sz w:val="20"/>
                <w:szCs w:val="20"/>
              </w:rPr>
              <w:t xml:space="preserve">21 and Over or Under 21 based on calculated 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Disability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if a qualifying disability code is on file, otherwise No</w:t>
            </w:r>
          </w:p>
        </w:tc>
      </w:tr>
      <w:tr>
        <w:tc>
          <w:tcPr>
            <w:tcW w:type="dxa" w:w="2000"/>
            <w:tcBorders>
              <w:top w:val="single" w:color="CCCCCC" w:sz="1"/>
              <w:left w:val="single" w:color="CCCCCC" w:sz="1"/>
              <w:bottom w:val="single" w:color="CCCCCC" w:sz="1"/>
              <w:right w:val="single" w:color="CCCCCC" w:sz="1"/>
            </w:tcBorders>
            <w:shd w:fill="E8ECF5" w:val="clear"/>
            <w:tcMar>
              <w:top w:type="dxa" w:w="80"/>
              <w:left w:type="dxa" w:w="120"/>
              <w:bottom w:type="dxa" w:w="80"/>
              <w:right w:type="dxa" w:w="120"/>
            </w:tcMar>
          </w:tcPr>
          <w:p>
            <w:r>
              <w:rPr>
                <w:rFonts w:ascii="Arial" w:cs="Arial" w:eastAsia="Arial" w:hAnsi="Arial"/>
                <w:sz w:val="20"/>
                <w:szCs w:val="20"/>
              </w:rPr>
              <w:t xml:space="preserve">PellEligibility</w:t>
            </w:r>
          </w:p>
        </w:tc>
        <w:tc>
          <w:tcPr>
            <w:tcW w:type="dxa" w:w="7360"/>
            <w:tcBorders>
              <w:top w:val="single" w:color="CCCCCC" w:sz="1"/>
              <w:left w:val="single" w:color="CCCCCC" w:sz="1"/>
              <w:bottom w:val="single" w:color="CCCCCC" w:sz="1"/>
              <w:right w:val="single" w:color="CCCCCC" w:sz="1"/>
            </w:tcBorders>
            <w:shd w:fill="E8ECF5" w:val="clear"/>
            <w:tcMar>
              <w:top w:type="dxa" w:w="80"/>
              <w:left w:type="dxa" w:w="120"/>
              <w:bottom w:type="dxa" w:w="80"/>
              <w:right w:type="dxa" w:w="120"/>
            </w:tcMar>
          </w:tcPr>
          <w:p>
            <w:r>
              <w:rPr>
                <w:rFonts w:ascii="Arial" w:cs="Arial" w:eastAsia="Arial" w:hAnsi="Arial"/>
                <w:sz w:val="20"/>
                <w:szCs w:val="20"/>
              </w:rPr>
              <w:t xml:space="preserve">Pell Eligible or Non Pell Eligible sourced from ta_2025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Developmental_Course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if the student is enrolled in any designated developmental course</w:t>
            </w:r>
          </w:p>
        </w:tc>
      </w:tr>
      <w:tr>
        <w:tc>
          <w:tcPr>
            <w:tcW w:type="dxa" w:w="2000"/>
            <w:tcBorders>
              <w:top w:val="single" w:color="CCCCCC" w:sz="1"/>
              <w:left w:val="single" w:color="CCCCCC" w:sz="1"/>
              <w:bottom w:val="single" w:color="CCCCCC" w:sz="1"/>
              <w:right w:val="single" w:color="CCCCCC" w:sz="1"/>
            </w:tcBorders>
            <w:shd w:fill="E8ECF5" w:val="clear"/>
            <w:tcMar>
              <w:top w:type="dxa" w:w="80"/>
              <w:left w:type="dxa" w:w="120"/>
              <w:bottom w:type="dxa" w:w="80"/>
              <w:right w:type="dxa" w:w="120"/>
            </w:tcMar>
          </w:tcPr>
          <w:p>
            <w:r>
              <w:rPr>
                <w:rFonts w:ascii="Arial" w:cs="Arial" w:eastAsia="Arial" w:hAnsi="Arial"/>
                <w:sz w:val="20"/>
                <w:szCs w:val="20"/>
              </w:rPr>
              <w:t xml:space="preserve">Division</w:t>
            </w:r>
          </w:p>
        </w:tc>
        <w:tc>
          <w:tcPr>
            <w:tcW w:type="dxa" w:w="7360"/>
            <w:tcBorders>
              <w:top w:val="single" w:color="CCCCCC" w:sz="1"/>
              <w:left w:val="single" w:color="CCCCCC" w:sz="1"/>
              <w:bottom w:val="single" w:color="CCCCCC" w:sz="1"/>
              <w:right w:val="single" w:color="CCCCCC" w:sz="1"/>
            </w:tcBorders>
            <w:shd w:fill="E8ECF5" w:val="clear"/>
            <w:tcMar>
              <w:top w:type="dxa" w:w="80"/>
              <w:left w:type="dxa" w:w="120"/>
              <w:bottom w:type="dxa" w:w="80"/>
              <w:right w:type="dxa" w:w="120"/>
            </w:tcMar>
          </w:tcPr>
          <w:p>
            <w:r>
              <w:rPr>
                <w:rFonts w:ascii="Arial" w:cs="Arial" w:eastAsia="Arial" w:hAnsi="Arial"/>
                <w:sz w:val="20"/>
                <w:szCs w:val="20"/>
              </w:rPr>
              <w:t xml:space="preserve">Academic division: AE, AS, Both, or other division code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HSGPA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school GPA band: 3.0 and Over, Under 3.0, or None</w:t>
            </w:r>
          </w:p>
        </w:tc>
      </w:tr>
      <w:tr>
        <w:tc>
          <w:tcPr>
            <w:tcW w:type="dxa" w:w="2000"/>
            <w:tcBorders>
              <w:top w:val="single" w:color="CCCCCC" w:sz="1"/>
              <w:left w:val="single" w:color="CCCCCC" w:sz="1"/>
              <w:bottom w:val="single" w:color="CCCCCC" w:sz="1"/>
              <w:right w:val="single" w:color="CCCCCC" w:sz="1"/>
            </w:tcBorders>
            <w:shd w:fill="E8ECF5" w:val="clear"/>
            <w:tcMar>
              <w:top w:type="dxa" w:w="80"/>
              <w:left w:type="dxa" w:w="120"/>
              <w:bottom w:type="dxa" w:w="80"/>
              <w:right w:type="dxa" w:w="120"/>
            </w:tcMar>
          </w:tcPr>
          <w:p>
            <w:r>
              <w:rPr>
                <w:rFonts w:ascii="Arial" w:cs="Arial" w:eastAsia="Arial" w:hAnsi="Arial"/>
                <w:sz w:val="20"/>
                <w:szCs w:val="20"/>
              </w:rPr>
              <w:t xml:space="preserve">Major</w:t>
            </w:r>
          </w:p>
        </w:tc>
        <w:tc>
          <w:tcPr>
            <w:tcW w:type="dxa" w:w="7360"/>
            <w:tcBorders>
              <w:top w:val="single" w:color="CCCCCC" w:sz="1"/>
              <w:left w:val="single" w:color="CCCCCC" w:sz="1"/>
              <w:bottom w:val="single" w:color="CCCCCC" w:sz="1"/>
              <w:right w:val="single" w:color="CCCCCC" w:sz="1"/>
            </w:tcBorders>
            <w:shd w:fill="E8ECF5" w:val="clear"/>
            <w:tcMar>
              <w:top w:type="dxa" w:w="80"/>
              <w:left w:type="dxa" w:w="120"/>
              <w:bottom w:type="dxa" w:w="80"/>
              <w:right w:type="dxa" w:w="120"/>
            </w:tcMar>
          </w:tcPr>
          <w:p>
            <w:r>
              <w:rPr>
                <w:rFonts w:ascii="Arial" w:cs="Arial" w:eastAsia="Arial" w:hAnsi="Arial"/>
                <w:sz w:val="20"/>
                <w:szCs w:val="20"/>
              </w:rPr>
              <w:t xml:space="preserve">Academic program code from the StudentMajor CTE (CSTR/CSPM programs)</w:t>
            </w:r>
          </w:p>
        </w:tc>
      </w:tr>
    </w:tbl>
    <w:p>
      <w:pPr>
        <w:spacing w:after="240"/>
      </w:pPr>
      <w:r>
        <w:t xml:space="preserve"/>
      </w:r>
    </w:p>
    <w:p>
      <w:pPr>
        <w:pBdr>
          <w:bottom w:val="single" w:color="CCCCCC" w:sz="2" w:space="1"/>
        </w:pBdr>
        <w:spacing w:after="160"/>
      </w:pPr>
      <w:r>
        <w:t xml:space="preserve"/>
      </w:r>
    </w:p>
    <w:p>
      <w:pPr>
        <w:pStyle w:val="Heading2"/>
      </w:pPr>
      <w:r>
        <w:rPr>
          <w:rFonts w:ascii="Arial" w:cs="Arial" w:eastAsia="Arial" w:hAnsi="Arial"/>
          <w:b/>
          <w:bCs/>
          <w:color w:val="001489"/>
          <w:sz w:val="26"/>
          <w:szCs w:val="26"/>
        </w:rPr>
        <w:t xml:space="preserve">Data Sources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01489" w:val="clear"/>
            <w:tcMar>
              <w:top w:type="dxa" w:w="80"/>
              <w:left w:type="dxa" w:w="120"/>
              <w:bottom w:type="dxa" w:w="80"/>
              <w:right w:type="dxa" w:w="120"/>
            </w:tcMar>
          </w:tcPr>
          <w:p>
            <w:r>
              <w:rPr>
                <w:rFonts w:ascii="Arial" w:cs="Arial" w:eastAsia="Arial" w:hAnsi="Arial"/>
                <w:b/>
                <w:bCs/>
                <w:color w:val="FFFFFF"/>
                <w:sz w:val="20"/>
                <w:szCs w:val="20"/>
              </w:rPr>
              <w:t xml:space="preserve">Table / View</w:t>
            </w:r>
          </w:p>
        </w:tc>
        <w:tc>
          <w:tcPr>
            <w:tcW w:type="dxa" w:w="6160"/>
            <w:tcBorders>
              <w:top w:val="single" w:color="CCCCCC" w:sz="1"/>
              <w:left w:val="single" w:color="CCCCCC" w:sz="1"/>
              <w:bottom w:val="single" w:color="CCCCCC" w:sz="1"/>
              <w:right w:val="single" w:color="CCCCCC" w:sz="1"/>
            </w:tcBorders>
            <w:shd w:fill="00148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student_acad_cred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enrollment records filtered to 2025FA</w:t>
            </w:r>
          </w:p>
        </w:tc>
      </w:tr>
      <w:tr>
        <w:tc>
          <w:tcPr>
            <w:tcW w:type="dxa" w:w="3200"/>
            <w:tcBorders>
              <w:top w:val="single" w:color="CCCCCC" w:sz="1"/>
              <w:left w:val="single" w:color="CCCCCC" w:sz="1"/>
              <w:bottom w:val="single" w:color="CCCCCC" w:sz="1"/>
              <w:right w:val="single" w:color="CCCCCC" w:sz="1"/>
            </w:tcBorders>
            <w:shd w:fill="E8ECF5" w:val="clear"/>
            <w:tcMar>
              <w:top w:type="dxa" w:w="80"/>
              <w:left w:type="dxa" w:w="120"/>
              <w:bottom w:type="dxa" w:w="80"/>
              <w:right w:type="dxa" w:w="120"/>
            </w:tcMar>
          </w:tcPr>
          <w:p>
            <w:r>
              <w:rPr>
                <w:rFonts w:ascii="Arial" w:cs="Arial" w:eastAsia="Arial" w:hAnsi="Arial"/>
                <w:sz w:val="20"/>
                <w:szCs w:val="20"/>
              </w:rPr>
              <w:t xml:space="preserve">stc_statuses</w:t>
            </w:r>
          </w:p>
        </w:tc>
        <w:tc>
          <w:tcPr>
            <w:tcW w:type="dxa" w:w="6160"/>
            <w:tcBorders>
              <w:top w:val="single" w:color="CCCCCC" w:sz="1"/>
              <w:left w:val="single" w:color="CCCCCC" w:sz="1"/>
              <w:bottom w:val="single" w:color="CCCCCC" w:sz="1"/>
              <w:right w:val="single" w:color="CCCCCC" w:sz="1"/>
            </w:tcBorders>
            <w:shd w:fill="E8ECF5" w:val="clear"/>
            <w:tcMar>
              <w:top w:type="dxa" w:w="80"/>
              <w:left w:type="dxa" w:w="120"/>
              <w:bottom w:type="dxa" w:w="80"/>
              <w:right w:type="dxa" w:w="120"/>
            </w:tcMar>
          </w:tcPr>
          <w:p>
            <w:r>
              <w:rPr>
                <w:rFonts w:ascii="Arial" w:cs="Arial" w:eastAsia="Arial" w:hAnsi="Arial"/>
                <w:sz w:val="20"/>
                <w:szCs w:val="20"/>
              </w:rPr>
              <w:t xml:space="preserve">Status filter: Active (A), New (N), or Dropped with W grade (D/W)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Grade lookup for withdrawal handling</w:t>
            </w:r>
          </w:p>
        </w:tc>
      </w:tr>
      <w:tr>
        <w:tc>
          <w:tcPr>
            <w:tcW w:type="dxa" w:w="3200"/>
            <w:tcBorders>
              <w:top w:val="single" w:color="CCCCCC" w:sz="1"/>
              <w:left w:val="single" w:color="CCCCCC" w:sz="1"/>
              <w:bottom w:val="single" w:color="CCCCCC" w:sz="1"/>
              <w:right w:val="single" w:color="CCCCCC" w:sz="1"/>
            </w:tcBorders>
            <w:shd w:fill="E8ECF5" w:val="clear"/>
            <w:tcMar>
              <w:top w:type="dxa" w:w="80"/>
              <w:left w:type="dxa" w:w="120"/>
              <w:bottom w:type="dxa" w:w="80"/>
              <w:right w:type="dxa" w:w="120"/>
            </w:tcMar>
          </w:tcPr>
          <w:p>
            <w:r>
              <w:rPr>
                <w:rFonts w:ascii="Arial" w:cs="Arial" w:eastAsia="Arial" w:hAnsi="Arial"/>
                <w:sz w:val="20"/>
                <w:szCs w:val="20"/>
              </w:rPr>
              <w:t xml:space="preserve">person</w:t>
            </w:r>
          </w:p>
        </w:tc>
        <w:tc>
          <w:tcPr>
            <w:tcW w:type="dxa" w:w="6160"/>
            <w:tcBorders>
              <w:top w:val="single" w:color="CCCCCC" w:sz="1"/>
              <w:left w:val="single" w:color="CCCCCC" w:sz="1"/>
              <w:bottom w:val="single" w:color="CCCCCC" w:sz="1"/>
              <w:right w:val="single" w:color="CCCCCC" w:sz="1"/>
            </w:tcBorders>
            <w:shd w:fill="E8ECF5" w:val="clear"/>
            <w:tcMar>
              <w:top w:type="dxa" w:w="80"/>
              <w:left w:type="dxa" w:w="120"/>
              <w:bottom w:type="dxa" w:w="80"/>
              <w:right w:type="dxa" w:w="120"/>
            </w:tcMar>
          </w:tcPr>
          <w:p>
            <w:r>
              <w:rPr>
                <w:rFonts w:ascii="Arial" w:cs="Arial" w:eastAsia="Arial" w:hAnsi="Arial"/>
                <w:sz w:val="20"/>
                <w:szCs w:val="20"/>
              </w:rPr>
              <w:t xml:space="preserve">Gender and birth date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INSTITUTIONS_ATTEND_VIEW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school GPA (INSTA_EXT_GPA)</w:t>
            </w:r>
          </w:p>
        </w:tc>
      </w:tr>
      <w:tr>
        <w:tc>
          <w:tcPr>
            <w:tcW w:type="dxa" w:w="3200"/>
            <w:tcBorders>
              <w:top w:val="single" w:color="CCCCCC" w:sz="1"/>
              <w:left w:val="single" w:color="CCCCCC" w:sz="1"/>
              <w:bottom w:val="single" w:color="CCCCCC" w:sz="1"/>
              <w:right w:val="single" w:color="CCCCCC" w:sz="1"/>
            </w:tcBorders>
            <w:shd w:fill="E8ECF5" w:val="clear"/>
            <w:tcMar>
              <w:top w:type="dxa" w:w="80"/>
              <w:left w:type="dxa" w:w="120"/>
              <w:bottom w:type="dxa" w:w="80"/>
              <w:right w:type="dxa" w:w="120"/>
            </w:tcMar>
          </w:tcPr>
          <w:p>
            <w:r>
              <w:rPr>
                <w:rFonts w:ascii="Arial" w:cs="Arial" w:eastAsia="Arial" w:hAnsi="Arial"/>
                <w:sz w:val="20"/>
                <w:szCs w:val="20"/>
              </w:rPr>
              <w:t xml:space="preserve">STUDENTS_LS / ACAD_PROGRAMS_LS / STPR_STATUSES / MAJORS</w:t>
            </w:r>
          </w:p>
        </w:tc>
        <w:tc>
          <w:tcPr>
            <w:tcW w:type="dxa" w:w="6160"/>
            <w:tcBorders>
              <w:top w:val="single" w:color="CCCCCC" w:sz="1"/>
              <w:left w:val="single" w:color="CCCCCC" w:sz="1"/>
              <w:bottom w:val="single" w:color="CCCCCC" w:sz="1"/>
              <w:right w:val="single" w:color="CCCCCC" w:sz="1"/>
            </w:tcBorders>
            <w:shd w:fill="E8ECF5" w:val="clear"/>
            <w:tcMar>
              <w:top w:type="dxa" w:w="80"/>
              <w:left w:type="dxa" w:w="120"/>
              <w:bottom w:type="dxa" w:w="80"/>
              <w:right w:type="dxa" w:w="120"/>
            </w:tcMar>
          </w:tcPr>
          <w:p>
            <w:r>
              <w:rPr>
                <w:rFonts w:ascii="Arial" w:cs="Arial" w:eastAsia="Arial" w:hAnsi="Arial"/>
                <w:sz w:val="20"/>
                <w:szCs w:val="20"/>
              </w:rPr>
              <w:t xml:space="preserve">Academic division lookup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ta_2025</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Pell eligibility flag for the 2025 aid year</w:t>
            </w:r>
          </w:p>
        </w:tc>
      </w:tr>
      <w:tr>
        <w:tc>
          <w:tcPr>
            <w:tcW w:type="dxa" w:w="3200"/>
            <w:tcBorders>
              <w:top w:val="single" w:color="CCCCCC" w:sz="1"/>
              <w:left w:val="single" w:color="CCCCCC" w:sz="1"/>
              <w:bottom w:val="single" w:color="CCCCCC" w:sz="1"/>
              <w:right w:val="single" w:color="CCCCCC" w:sz="1"/>
            </w:tcBorders>
            <w:shd w:fill="E8ECF5" w:val="clear"/>
            <w:tcMar>
              <w:top w:type="dxa" w:w="80"/>
              <w:left w:type="dxa" w:w="120"/>
              <w:bottom w:type="dxa" w:w="80"/>
              <w:right w:type="dxa" w:w="120"/>
            </w:tcMar>
          </w:tcPr>
          <w:p>
            <w:r>
              <w:rPr>
                <w:rFonts w:ascii="Arial" w:cs="Arial" w:eastAsia="Arial" w:hAnsi="Arial"/>
                <w:sz w:val="20"/>
                <w:szCs w:val="20"/>
              </w:rPr>
              <w:t xml:space="preserve">PHL_DISABILITIES</w:t>
            </w:r>
          </w:p>
        </w:tc>
        <w:tc>
          <w:tcPr>
            <w:tcW w:type="dxa" w:w="6160"/>
            <w:tcBorders>
              <w:top w:val="single" w:color="CCCCCC" w:sz="1"/>
              <w:left w:val="single" w:color="CCCCCC" w:sz="1"/>
              <w:bottom w:val="single" w:color="CCCCCC" w:sz="1"/>
              <w:right w:val="single" w:color="CCCCCC" w:sz="1"/>
            </w:tcBorders>
            <w:shd w:fill="E8ECF5" w:val="clear"/>
            <w:tcMar>
              <w:top w:type="dxa" w:w="80"/>
              <w:left w:type="dxa" w:w="120"/>
              <w:bottom w:type="dxa" w:w="80"/>
              <w:right w:type="dxa" w:w="120"/>
            </w:tcMar>
          </w:tcPr>
          <w:p>
            <w:r>
              <w:rPr>
                <w:rFonts w:ascii="Arial" w:cs="Arial" w:eastAsia="Arial" w:hAnsi="Arial"/>
                <w:sz w:val="20"/>
                <w:szCs w:val="20"/>
              </w:rPr>
              <w:t xml:space="preserve">Disability records filtered to qualifying disability codes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custom_insights.student_programs_view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Program enrollment used to determine major</w:t>
            </w:r>
          </w:p>
        </w:tc>
      </w:tr>
      <w:tr>
        <w:tc>
          <w:tcPr>
            <w:tcW w:type="dxa" w:w="3200"/>
            <w:tcBorders>
              <w:top w:val="single" w:color="CCCCCC" w:sz="1"/>
              <w:left w:val="single" w:color="CCCCCC" w:sz="1"/>
              <w:bottom w:val="single" w:color="CCCCCC" w:sz="1"/>
              <w:right w:val="single" w:color="CCCCCC" w:sz="1"/>
            </w:tcBorders>
            <w:shd w:fill="E8ECF5" w:val="clear"/>
            <w:tcMar>
              <w:top w:type="dxa" w:w="80"/>
              <w:left w:type="dxa" w:w="120"/>
              <w:bottom w:type="dxa" w:w="80"/>
              <w:right w:type="dxa" w:w="120"/>
            </w:tcMar>
          </w:tcPr>
          <w:p>
            <w:r>
              <w:rPr>
                <w:rFonts w:ascii="Arial" w:cs="Arial" w:eastAsia="Arial" w:hAnsi="Arial"/>
                <w:sz w:val="20"/>
                <w:szCs w:val="20"/>
              </w:rPr>
              <w:t xml:space="preserve">stpr_dates</w:t>
            </w:r>
          </w:p>
        </w:tc>
        <w:tc>
          <w:tcPr>
            <w:tcW w:type="dxa" w:w="6160"/>
            <w:tcBorders>
              <w:top w:val="single" w:color="CCCCCC" w:sz="1"/>
              <w:left w:val="single" w:color="CCCCCC" w:sz="1"/>
              <w:bottom w:val="single" w:color="CCCCCC" w:sz="1"/>
              <w:right w:val="single" w:color="CCCCCC" w:sz="1"/>
            </w:tcBorders>
            <w:shd w:fill="E8ECF5" w:val="clear"/>
            <w:tcMar>
              <w:top w:type="dxa" w:w="80"/>
              <w:left w:type="dxa" w:w="120"/>
              <w:bottom w:type="dxa" w:w="80"/>
              <w:right w:type="dxa" w:w="120"/>
            </w:tcMar>
          </w:tcPr>
          <w:p>
            <w:r>
              <w:rPr>
                <w:rFonts w:ascii="Arial" w:cs="Arial" w:eastAsia="Arial" w:hAnsi="Arial"/>
                <w:sz w:val="20"/>
                <w:szCs w:val="20"/>
              </w:rPr>
              <w:t xml:space="preserve">Program date ranges used in major validation</w:t>
            </w:r>
          </w:p>
        </w:tc>
      </w:tr>
    </w:tbl>
    <w:p>
      <w:pPr>
        <w:spacing w:after="240"/>
      </w:pPr>
      <w:r>
        <w:t xml:space="preserve"/>
      </w:r>
    </w:p>
    <w:p>
      <w:pPr>
        <w:pBdr>
          <w:bottom w:val="single" w:color="CCCCCC" w:sz="2" w:space="1"/>
        </w:pBdr>
        <w:spacing w:after="160"/>
      </w:pPr>
      <w:r>
        <w:t xml:space="preserve"/>
      </w:r>
    </w:p>
    <w:p>
      <w:pPr>
        <w:pStyle w:val="Heading2"/>
      </w:pPr>
      <w:r>
        <w:rPr>
          <w:rFonts w:ascii="Arial" w:cs="Arial" w:eastAsia="Arial" w:hAnsi="Arial"/>
          <w:b/>
          <w:bCs/>
          <w:color w:val="001489"/>
          <w:sz w:val="26"/>
          <w:szCs w:val="26"/>
        </w:rPr>
        <w:t xml:space="preserve">Key Business Rules</w:t>
      </w:r>
    </w:p>
    <w:p>
      <w:pPr>
        <w:pStyle w:val="ListParagraph"/>
        <w:numPr>
          <w:ilvl w:val="0"/>
          <w:numId w:val="2"/>
        </w:numPr>
        <w:spacing w:after="80"/>
      </w:pPr>
      <w:r>
        <w:rPr>
          <w:rFonts w:ascii="Arial" w:cs="Arial" w:eastAsia="Arial" w:hAnsi="Arial"/>
          <w:sz w:val="20"/>
          <w:szCs w:val="20"/>
        </w:rPr>
        <w:t xml:space="preserve">Credit Status uses a threshold of 12 credit hours to distinguish Full Time from Part Time enrollment.</w:t>
      </w:r>
    </w:p>
    <w:p>
      <w:pPr>
        <w:pStyle w:val="ListParagraph"/>
        <w:numPr>
          <w:ilvl w:val="0"/>
          <w:numId w:val="2"/>
        </w:numPr>
        <w:spacing w:after="80"/>
      </w:pPr>
      <w:r>
        <w:rPr>
          <w:rFonts w:ascii="Arial" w:cs="Arial" w:eastAsia="Arial" w:hAnsi="Arial"/>
          <w:sz w:val="20"/>
          <w:szCs w:val="20"/>
        </w:rPr>
        <w:t xml:space="preserve">Developmental Course flag is Yes if the student is enrolled in any of the following: ENGL-100, ENGL-100A, ENGL-101A, MATH-030, MATH-034, MATH-101, MATH-102, or MATH-107.</w:t>
      </w:r>
    </w:p>
    <w:p>
      <w:pPr>
        <w:pStyle w:val="ListParagraph"/>
        <w:numPr>
          <w:ilvl w:val="0"/>
          <w:numId w:val="2"/>
        </w:numPr>
        <w:spacing w:after="80"/>
      </w:pPr>
      <w:r>
        <w:rPr>
          <w:rFonts w:ascii="Arial" w:cs="Arial" w:eastAsia="Arial" w:hAnsi="Arial"/>
          <w:sz w:val="20"/>
          <w:szCs w:val="20"/>
        </w:rPr>
        <w:t xml:space="preserve">Disability is Yes only when a qualifying disability code from the approved list is on file with a valid date range. Records outside that code list are excluded.</w:t>
      </w:r>
    </w:p>
    <w:p>
      <w:pPr>
        <w:pStyle w:val="ListParagraph"/>
        <w:numPr>
          <w:ilvl w:val="0"/>
          <w:numId w:val="2"/>
        </w:numPr>
        <w:spacing w:after="80"/>
      </w:pPr>
      <w:r>
        <w:rPr>
          <w:rFonts w:ascii="Arial" w:cs="Arial" w:eastAsia="Arial" w:hAnsi="Arial"/>
          <w:sz w:val="20"/>
          <w:szCs w:val="20"/>
        </w:rPr>
        <w:t xml:space="preserve">Pell Eligibility is sourced exclusively from the ta_2025 table. Students not appearing in that table are treated as Non Pell Eligible.</w:t>
      </w:r>
    </w:p>
    <w:p>
      <w:pPr>
        <w:pStyle w:val="ListParagraph"/>
        <w:numPr>
          <w:ilvl w:val="0"/>
          <w:numId w:val="2"/>
        </w:numPr>
        <w:spacing w:after="80"/>
      </w:pPr>
      <w:r>
        <w:rPr>
          <w:rFonts w:ascii="Arial" w:cs="Arial" w:eastAsia="Arial" w:hAnsi="Arial"/>
          <w:sz w:val="20"/>
          <w:szCs w:val="20"/>
        </w:rPr>
        <w:t xml:space="preserve">Major is determined by joining to the student_programs_view and validating that the program change date is after the term start date, confirming the major was active during 2025FA.</w:t>
      </w:r>
    </w:p>
    <w:p>
      <w:pPr>
        <w:pStyle w:val="ListParagraph"/>
        <w:numPr>
          <w:ilvl w:val="0"/>
          <w:numId w:val="2"/>
        </w:numPr>
        <w:spacing w:after="200"/>
      </w:pPr>
      <w:r>
        <w:rPr>
          <w:rFonts w:ascii="Arial" w:cs="Arial" w:eastAsia="Arial" w:hAnsi="Arial"/>
          <w:sz w:val="20"/>
          <w:szCs w:val="20"/>
        </w:rPr>
        <w:t xml:space="preserve">Division returns Both when a student has active program enrollments in both AE and AS divisions simultaneously.</w:t>
      </w:r>
    </w:p>
    <w:p>
      <w:pPr>
        <w:pBdr>
          <w:top w:val="single" w:color="001489" w:sz="4" w:space="1"/>
        </w:pBdr>
        <w:spacing w:before="120"/>
        <w:jc w:val="right"/>
      </w:pPr>
      <w:r>
        <w:rPr>
          <w:rFonts w:ascii="Arial" w:cs="Arial" w:eastAsia="Arial" w:hAnsi="Arial"/>
          <w:color w:val="666666"/>
          <w:sz w:val="16"/>
          <w:szCs w:val="16"/>
        </w:rPr>
        <w:t xml:space="preserve">Institutional Effectiveness Office  |  Page </w:t>
      </w:r>
      <w:r>
        <w:rPr>
          <w:rFonts w:ascii="Arial" w:cs="Arial" w:eastAsia="Arial" w:hAnsi="Arial"/>
          <w:color w:val="666666"/>
          <w:sz w:val="16"/>
          <w:szCs w:val="16"/>
        </w:rPr>
        <w:fldChar w:fldCharType="begin"/>
        <w:instrText xml:space="preserve">PAGE</w:instrText>
        <w:fldChar w:fldCharType="separate"/>
        <w:fldChar w:fldCharType="end"/>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001489"/>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00148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2026-04-16T14:36:49.183Z</dcterms:created>
  <dcterms:modified xsi:type="dcterms:W3CDTF">2026-04-16T14:36:49.184Z</dcterms:modified>
</cp:coreProperties>
</file>

<file path=docProps/custom.xml><?xml version="1.0" encoding="utf-8"?>
<Properties xmlns="http://schemas.openxmlformats.org/officeDocument/2006/custom-properties" xmlns:vt="http://schemas.openxmlformats.org/officeDocument/2006/docPropsVTypes"/>
</file>