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001489"/>
          <w:sz w:val="40"/>
          <w:szCs w:val="40"/>
        </w:rPr>
        <w:t xml:space="preserve">IAI Transfer Credit Identification Query</w:t>
      </w:r>
    </w:p>
    <w:p>
      <w:pPr>
        <w:spacing w:after="60" w:before="0"/>
      </w:pPr>
      <w:r>
        <w:rPr>
          <w:rFonts w:ascii="Arial" w:cs="Arial" w:eastAsia="Arial" w:hAnsi="Arial"/>
          <w:color w:val="555555"/>
          <w:sz w:val="22"/>
          <w:szCs w:val="22"/>
        </w:rPr>
        <w:t xml:space="preserve">Summary Report  |  Kaskaskia College  |  Institutional Effectiveness</w:t>
      </w:r>
    </w:p>
    <w:p>
      <w:pPr>
        <w:pBdr>
          <w:bottom w:val="single" w:color="001489" w:sz="6" w:space="1"/>
        </w:pBdr>
        <w:spacing w:after="300" w:before="0"/>
      </w:pPr>
      <w:r>
        <w:rPr>
          <w:rFonts w:ascii="Arial" w:cs="Arial" w:eastAsia="Arial" w:hAnsi="Arial"/>
          <w:color w:val="777777"/>
          <w:sz w:val="20"/>
          <w:szCs w:val="20"/>
        </w:rPr>
        <w:t xml:space="preserve">Query Version: Current  |  Prepared: June 2026</w:t>
      </w:r>
    </w:p>
    <w:p>
      <w:pPr>
        <w:spacing w:after="0" w:before="200"/>
      </w:pPr>
    </w:p>
    <w:p>
      <w:pPr>
        <w:pStyle w:val="Heading1"/>
        <w:pBdr>
          <w:bottom w:val="single" w:color="001489" w:sz="6" w:space="1"/>
        </w:pBdr>
        <w:spacing w:after="120" w:before="240"/>
      </w:pPr>
      <w:r>
        <w:rPr>
          <w:rFonts w:ascii="Arial" w:cs="Arial" w:eastAsia="Arial" w:hAnsi="Arial"/>
          <w:b/>
          <w:bCs/>
          <w:color w:val="001489"/>
          <w:sz w:val="28"/>
          <w:szCs w:val="28"/>
        </w:rPr>
        <w:t xml:space="preserve">Purpose</w:t>
      </w:r>
    </w:p>
    <w:p>
      <w:pPr>
        <w:spacing w:after="60" w:before="60"/>
      </w:pPr>
      <w:r>
        <w:rPr>
          <w:rFonts w:ascii="Arial" w:cs="Arial" w:eastAsia="Arial" w:hAnsi="Arial"/>
          <w:sz w:val="22"/>
          <w:szCs w:val="22"/>
        </w:rPr>
        <w:t xml:space="preserve">This query identifies Kaskaskia College dual credit students who have accumulated 30 or more credit hours in courses meeting Illinois Articulation Initiative (IAI) requirements. Results are formatted for institutional reporting and include demographic, address, enrollment, and academic performance data.</w:t>
      </w:r>
    </w:p>
    <w:p>
      <w:pPr>
        <w:spacing w:after="0" w:before="120"/>
      </w:pPr>
    </w:p>
    <w:p>
      <w:pPr>
        <w:pStyle w:val="Heading1"/>
        <w:pBdr>
          <w:bottom w:val="single" w:color="001489" w:sz="6" w:space="1"/>
        </w:pBdr>
        <w:spacing w:after="120" w:before="240"/>
      </w:pPr>
      <w:r>
        <w:rPr>
          <w:rFonts w:ascii="Arial" w:cs="Arial" w:eastAsia="Arial" w:hAnsi="Arial"/>
          <w:b/>
          <w:bCs/>
          <w:color w:val="001489"/>
          <w:sz w:val="28"/>
          <w:szCs w:val="28"/>
        </w:rPr>
        <w:t xml:space="preserve">Output Fields</w:t>
      </w:r>
    </w:p>
    <w:p>
      <w:pPr>
        <w:spacing w:after="60" w:before="60"/>
      </w:pPr>
      <w:r>
        <w:rPr>
          <w:rFonts w:ascii="Arial" w:cs="Arial" w:eastAsia="Arial" w:hAnsi="Arial"/>
          <w:sz w:val="22"/>
          <w:szCs w:val="22"/>
        </w:rPr>
        <w:t xml:space="preserve">The query produces the following fields per student: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00148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00148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record_type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value 'DA'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District_number / College_number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Fixed values 501 / 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SSN with hyphens removed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year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Fixed value '26'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Male, 2 = Female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birth_date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YYYYMMDD format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opt_in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value '9'</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first_name / last_name / middle_name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Padded to 16 / 30 / 16 characters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Hispanic–MENA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Ethnicity flags derived from person.ethnic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street_address / city / state / zip</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From preferred address, padded as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suffix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Padded to 8 characters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stc_person_id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high_school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 last_name from person record linked via institutions_attend_view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transfer_gpa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Transferable GPA × 100 (e.g., 3.45 → 345)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total_transfer_credits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all qualifying IAI credit hours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ten_credits – fifteen_credits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Credit sums by crs_local_govt_codes (10, 11, 12, 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DA_Number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Blank placeholder field (11 spaces)</w:t>
            </w:r>
          </w:p>
        </w:tc>
      </w:tr>
    </w:tbl>
    <w:p>
      <w:pPr>
        <w:spacing w:after="0" w:before="200"/>
      </w:pPr>
    </w:p>
    <w:p>
      <w:pPr>
        <w:pStyle w:val="Heading1"/>
        <w:pBdr>
          <w:bottom w:val="single" w:color="001489" w:sz="6" w:space="1"/>
        </w:pBdr>
        <w:spacing w:after="120" w:before="240"/>
      </w:pPr>
      <w:r>
        <w:rPr>
          <w:rFonts w:ascii="Arial" w:cs="Arial" w:eastAsia="Arial" w:hAnsi="Arial"/>
          <w:b/>
          <w:bCs/>
          <w:color w:val="001489"/>
          <w:sz w:val="28"/>
          <w:szCs w:val="28"/>
        </w:rPr>
        <w:t xml:space="preserve">Student Selection Logic</w:t>
      </w:r>
    </w:p>
    <w:p>
      <w:pPr>
        <w:spacing w:after="60" w:before="60"/>
      </w:pPr>
      <w:r>
        <w:rPr>
          <w:rFonts w:ascii="Arial" w:cs="Arial" w:eastAsia="Arial" w:hAnsi="Arial"/>
          <w:sz w:val="22"/>
          <w:szCs w:val="22"/>
        </w:rPr>
        <w:t xml:space="preserve">Students are included when ALL of the following conditions are met:</w:t>
      </w:r>
    </w:p>
    <w:p>
      <w:pPr>
        <w:pStyle w:val="ListParagraph"/>
        <w:numPr>
          <w:ilvl w:val="0"/>
          <w:numId w:val="2"/>
        </w:numPr>
        <w:spacing w:after="40" w:before="40"/>
      </w:pPr>
      <w:r>
        <w:rPr>
          <w:rFonts w:ascii="Arial" w:cs="Arial" w:eastAsia="Arial" w:hAnsi="Arial"/>
          <w:sz w:val="22"/>
          <w:szCs w:val="22"/>
        </w:rPr>
        <w:t xml:space="preserve">Enrolled in a course section with sec_local_govt_codes = '11' during terms 2025FA, 2025SU, or 2026SP</w:t>
      </w:r>
    </w:p>
    <w:p>
      <w:pPr>
        <w:pStyle w:val="ListParagraph"/>
        <w:numPr>
          <w:ilvl w:val="0"/>
          <w:numId w:val="2"/>
        </w:numPr>
        <w:spacing w:after="40" w:before="40"/>
      </w:pPr>
      <w:r>
        <w:rPr>
          <w:rFonts w:ascii="Arial" w:cs="Arial" w:eastAsia="Arial" w:hAnsi="Arial"/>
          <w:sz w:val="22"/>
          <w:szCs w:val="22"/>
        </w:rPr>
        <w:t xml:space="preserve">The course carries a crs_standard_articulation_no beginning with 'IAI'</w:t>
      </w:r>
    </w:p>
    <w:p>
      <w:pPr>
        <w:pStyle w:val="ListParagraph"/>
        <w:numPr>
          <w:ilvl w:val="0"/>
          <w:numId w:val="2"/>
        </w:numPr>
        <w:spacing w:after="40" w:before="40"/>
      </w:pPr>
      <w:r>
        <w:rPr>
          <w:rFonts w:ascii="Arial" w:cs="Arial" w:eastAsia="Arial" w:hAnsi="Arial"/>
          <w:sz w:val="22"/>
          <w:szCs w:val="22"/>
        </w:rPr>
        <w:t xml:space="preserve">The academic record passes the grade threshold: stc_cum_contrib_grade_pts &gt; 1, or the record has no term and a verified grade of '49'</w:t>
      </w:r>
    </w:p>
    <w:p>
      <w:pPr>
        <w:pStyle w:val="ListParagraph"/>
        <w:numPr>
          <w:ilvl w:val="0"/>
          <w:numId w:val="2"/>
        </w:numPr>
        <w:spacing w:after="40" w:before="40"/>
      </w:pPr>
      <w:r>
        <w:rPr>
          <w:rFonts w:ascii="Arial" w:cs="Arial" w:eastAsia="Arial" w:hAnsi="Arial"/>
          <w:sz w:val="22"/>
          <w:szCs w:val="22"/>
        </w:rPr>
        <w:t xml:space="preserve">Total qualifying IAI credits across all terms exceed 29.5</w:t>
      </w:r>
    </w:p>
    <w:p>
      <w:pPr>
        <w:spacing w:after="0" w:before="200"/>
      </w:pPr>
    </w:p>
    <w:p>
      <w:pPr>
        <w:pStyle w:val="Heading1"/>
        <w:pBdr>
          <w:bottom w:val="single" w:color="001489" w:sz="6" w:space="1"/>
        </w:pBdr>
        <w:spacing w:after="120" w:before="240"/>
      </w:pPr>
      <w:r>
        <w:rPr>
          <w:rFonts w:ascii="Arial" w:cs="Arial" w:eastAsia="Arial" w:hAnsi="Arial"/>
          <w:b/>
          <w:bCs/>
          <w:color w:val="001489"/>
          <w:sz w:val="28"/>
          <w:szCs w:val="28"/>
        </w:rPr>
        <w:t xml:space="preserve">GPA Calculation</w:t>
      </w:r>
    </w:p>
    <w:p>
      <w:pPr>
        <w:spacing w:after="60" w:before="60"/>
      </w:pPr>
      <w:r>
        <w:rPr>
          <w:rFonts w:ascii="Arial" w:cs="Arial" w:eastAsia="Arial" w:hAnsi="Arial"/>
          <w:sz w:val="22"/>
          <w:szCs w:val="22"/>
        </w:rPr>
        <w:t xml:space="preserve">Transfer GPA is calculated using the standard quality points method, scoped to qualifying IAI rows only:</w:t>
      </w:r>
    </w:p>
    <w:p>
      <w:pPr>
        <w:spacing w:after="0" w:before="80"/>
      </w:pPr>
    </w:p>
    <w:p>
      <w:pPr>
        <w:shd w:fill="F0F0F0" w:val="clear"/>
        <w:spacing w:after="0" w:before="0"/>
        <w:ind w:left="360"/>
      </w:pPr>
      <w:r>
        <w:rPr>
          <w:rFonts w:ascii="Courier New" w:cs="Courier New" w:eastAsia="Courier New" w:hAnsi="Courier New"/>
          <w:color w:val="2D2D2D"/>
          <w:sz w:val="18"/>
          <w:szCs w:val="18"/>
        </w:rPr>
        <w:t xml:space="preserve">transfer_gpa = ROUND(SUM(stc_grade_pts) / NULLIF(SUM(stc_cred), 0), 2) * 100</w:t>
      </w:r>
    </w:p>
    <w:p>
      <w:pPr>
        <w:spacing w:after="0" w:before="80"/>
      </w:pPr>
    </w:p>
    <w:p>
      <w:pPr>
        <w:spacing w:after="60" w:before="60"/>
      </w:pPr>
      <w:r>
        <w:rPr>
          <w:rFonts w:ascii="Arial" w:cs="Arial" w:eastAsia="Arial" w:hAnsi="Arial"/>
          <w:sz w:val="22"/>
          <w:szCs w:val="22"/>
        </w:rPr>
        <w:t xml:space="preserve">Note: stc_grade_pts in Colleague stores pre-multiplied quality points (credit × grade value), not the raw 0–4 grade scale value. Division by total credits produces the correct weighted GPA. The result is multiplied by 100 and stored as an integer (e.g., 3.45 → 345). NULLIF guards against divide-by-zero.</w:t>
      </w:r>
    </w:p>
    <w:p>
      <w:pPr>
        <w:spacing w:after="0" w:before="200"/>
      </w:pPr>
    </w:p>
    <w:p>
      <w:pPr>
        <w:pStyle w:val="Heading1"/>
        <w:pBdr>
          <w:bottom w:val="single" w:color="001489" w:sz="6" w:space="1"/>
        </w:pBdr>
        <w:spacing w:after="120" w:before="240"/>
      </w:pPr>
      <w:r>
        <w:rPr>
          <w:rFonts w:ascii="Arial" w:cs="Arial" w:eastAsia="Arial" w:hAnsi="Arial"/>
          <w:b/>
          <w:bCs/>
          <w:color w:val="001489"/>
          <w:sz w:val="28"/>
          <w:szCs w:val="28"/>
        </w:rPr>
        <w:t xml:space="preserve">High School Resolution</w:t>
      </w:r>
    </w:p>
    <w:p>
      <w:pPr>
        <w:spacing w:after="60" w:before="60"/>
      </w:pPr>
      <w:r>
        <w:rPr>
          <w:rFonts w:ascii="Arial" w:cs="Arial" w:eastAsia="Arial" w:hAnsi="Arial"/>
          <w:sz w:val="22"/>
          <w:szCs w:val="22"/>
        </w:rPr>
        <w:t xml:space="preserve">High school name is retrieved via a three-step join chain:</w:t>
      </w:r>
    </w:p>
    <w:p>
      <w:pPr>
        <w:pStyle w:val="ListParagraph"/>
        <w:numPr>
          <w:ilvl w:val="0"/>
          <w:numId w:val="2"/>
        </w:numPr>
        <w:spacing w:after="40" w:before="40"/>
      </w:pPr>
      <w:r>
        <w:rPr>
          <w:rFonts w:ascii="Arial" w:cs="Arial" w:eastAsia="Arial" w:hAnsi="Arial"/>
          <w:sz w:val="22"/>
          <w:szCs w:val="22"/>
        </w:rPr>
        <w:t xml:space="preserve">custom_insights.institutions_attend_view (iav) links students to institution records via insta_person_id</w:t>
      </w:r>
    </w:p>
    <w:p>
      <w:pPr>
        <w:pStyle w:val="ListParagraph"/>
        <w:numPr>
          <w:ilvl w:val="0"/>
          <w:numId w:val="2"/>
        </w:numPr>
        <w:spacing w:after="40" w:before="40"/>
      </w:pPr>
      <w:r>
        <w:rPr>
          <w:rFonts w:ascii="Arial" w:cs="Arial" w:eastAsia="Arial" w:hAnsi="Arial"/>
          <w:sz w:val="22"/>
          <w:szCs w:val="22"/>
        </w:rPr>
        <w:t xml:space="preserve">A DISTINCT ON subquery selects only the most recent record per student, ordered by institutions_attend_chgdate DESC, preventing fan-out from multiple institution records</w:t>
      </w:r>
    </w:p>
    <w:p>
      <w:pPr>
        <w:pStyle w:val="ListParagraph"/>
        <w:numPr>
          <w:ilvl w:val="0"/>
          <w:numId w:val="2"/>
        </w:numPr>
        <w:spacing w:after="40" w:before="40"/>
      </w:pPr>
      <w:r>
        <w:rPr>
          <w:rFonts w:ascii="Arial" w:cs="Arial" w:eastAsia="Arial" w:hAnsi="Arial"/>
          <w:sz w:val="22"/>
          <w:szCs w:val="22"/>
        </w:rPr>
        <w:t xml:space="preserve">institutions (i) is joined to confirm the institution record exists; inst_type filtering is disabled pending manual review</w:t>
      </w:r>
    </w:p>
    <w:p>
      <w:pPr>
        <w:pStyle w:val="ListParagraph"/>
        <w:numPr>
          <w:ilvl w:val="0"/>
          <w:numId w:val="2"/>
        </w:numPr>
        <w:spacing w:after="40" w:before="40"/>
      </w:pPr>
      <w:r>
        <w:rPr>
          <w:rFonts w:ascii="Arial" w:cs="Arial" w:eastAsia="Arial" w:hAnsi="Arial"/>
          <w:sz w:val="22"/>
          <w:szCs w:val="22"/>
        </w:rPr>
        <w:t xml:space="preserve">A second person alias (ip) retrieves ip.last_name as the school name, reflecting Colleague's design of storing institution names in the person table</w:t>
      </w:r>
    </w:p>
    <w:p>
      <w:pPr>
        <w:spacing w:after="0" w:before="200"/>
      </w:pPr>
    </w:p>
    <w:p>
      <w:pPr>
        <w:pStyle w:val="Heading1"/>
        <w:pBdr>
          <w:bottom w:val="single" w:color="001489" w:sz="6" w:space="1"/>
        </w:pBdr>
        <w:spacing w:after="120" w:before="240"/>
      </w:pPr>
      <w:r>
        <w:rPr>
          <w:rFonts w:ascii="Arial" w:cs="Arial" w:eastAsia="Arial" w:hAnsi="Arial"/>
          <w:b/>
          <w:bCs/>
          <w:color w:val="001489"/>
          <w:sz w:val="28"/>
          <w:szCs w:val="28"/>
        </w:rPr>
        <w:t xml:space="preserve">Known Limitations</w:t>
      </w:r>
    </w:p>
    <w:p>
      <w:pPr>
        <w:pStyle w:val="ListParagraph"/>
        <w:numPr>
          <w:ilvl w:val="0"/>
          <w:numId w:val="2"/>
        </w:numPr>
        <w:spacing w:after="40" w:before="40"/>
      </w:pPr>
      <w:r>
        <w:rPr>
          <w:rFonts w:ascii="Arial" w:cs="Arial" w:eastAsia="Arial" w:hAnsi="Arial"/>
          <w:sz w:val="22"/>
          <w:szCs w:val="22"/>
        </w:rPr>
        <w:t xml:space="preserve">inst_type filter (HSPR, OTHS, HSPB, HOSC) is currently commented out. Students whose most recent institutions_attend record is not a high school type will still appear; high school name will reflect the most recently changed institution regardless of type. Manual review of the high_school column is recommended.</w:t>
      </w:r>
    </w:p>
    <w:p>
      <w:pPr>
        <w:pStyle w:val="ListParagraph"/>
        <w:numPr>
          <w:ilvl w:val="0"/>
          <w:numId w:val="2"/>
        </w:numPr>
        <w:spacing w:after="40" w:before="40"/>
      </w:pPr>
      <w:r>
        <w:rPr>
          <w:rFonts w:ascii="Arial" w:cs="Arial" w:eastAsia="Arial" w:hAnsi="Arial"/>
          <w:sz w:val="22"/>
          <w:szCs w:val="22"/>
        </w:rPr>
        <w:t xml:space="preserve">Students with no preferred address pos = 1 record will be excluded due to the INNER JOIN on address_ls.</w:t>
      </w:r>
    </w:p>
    <w:p>
      <w:pPr>
        <w:pStyle w:val="ListParagraph"/>
        <w:numPr>
          <w:ilvl w:val="0"/>
          <w:numId w:val="2"/>
        </w:numPr>
        <w:spacing w:after="40" w:before="40"/>
      </w:pPr>
      <w:r>
        <w:rPr>
          <w:rFonts w:ascii="Arial" w:cs="Arial" w:eastAsia="Arial" w:hAnsi="Arial"/>
          <w:sz w:val="22"/>
          <w:szCs w:val="22"/>
        </w:rPr>
        <w:t xml:space="preserve">Students with no matching institutions_attend_view record will be excluded due to the INNER JOIN on iav.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8"/>
        <w:szCs w:val="18"/>
      </w:rPr>
      <w:t xml:space="preserve">IAI Transfer Credit Query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01489" w:val="clear"/>
      <w:spacing w:after="120" w:before="120"/>
      <w:ind w:left="120"/>
    </w:pPr>
    <w:r>
      <w:rPr>
        <w:rFonts w:ascii="Arial" w:cs="Arial" w:eastAsia="Arial" w:hAnsi="Arial"/>
        <w:b/>
        <w:bCs/>
        <w:color w:val="FFFFFF"/>
        <w:sz w:val="20"/>
        <w:szCs w:val="20"/>
      </w:rPr>
      <w:t xml:space="preserve">Kaskaskia College  |  Institutional Effectiveness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148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014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2026-06-09T20:33:03.935Z</dcterms:created>
  <dcterms:modified xsi:type="dcterms:W3CDTF">2026-06-09T20:33:03.953Z</dcterms:modified>
</cp:coreProperties>
</file>

<file path=docProps/custom.xml><?xml version="1.0" encoding="utf-8"?>
<Properties xmlns="http://schemas.openxmlformats.org/officeDocument/2006/custom-properties" xmlns:vt="http://schemas.openxmlformats.org/officeDocument/2006/docPropsVTypes"/>
</file>