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4A77D" w14:textId="15682A7A" w:rsidR="5D36E03B" w:rsidRDefault="5D36E03B" w:rsidP="73DA452B">
      <w:pPr>
        <w:rPr>
          <w:rFonts w:ascii="Garamond" w:hAnsi="Garamond" w:cs="Arial"/>
          <w:color w:val="000000" w:themeColor="text1"/>
          <w:sz w:val="20"/>
          <w:szCs w:val="20"/>
        </w:rPr>
      </w:pPr>
      <w:r w:rsidRPr="73DA452B">
        <w:rPr>
          <w:rFonts w:ascii="Garamond" w:hAnsi="Garamond" w:cs="Arial"/>
          <w:color w:val="000000" w:themeColor="text1"/>
          <w:sz w:val="20"/>
          <w:szCs w:val="20"/>
        </w:rPr>
        <w:t>Research Article</w:t>
      </w:r>
    </w:p>
    <w:p w14:paraId="6BEE3BAD" w14:textId="51E1A1DB" w:rsidR="005E302B" w:rsidRPr="00496CF8" w:rsidRDefault="005E302B">
      <w:pPr>
        <w:rPr>
          <w:rFonts w:ascii="Garamond" w:hAnsi="Garamond" w:cs="Arial"/>
          <w:b/>
          <w:bCs/>
          <w:color w:val="000000" w:themeColor="text1"/>
          <w:sz w:val="20"/>
          <w:szCs w:val="20"/>
        </w:rPr>
      </w:pPr>
      <w:r w:rsidRPr="6720167C">
        <w:rPr>
          <w:rFonts w:ascii="Garamond" w:hAnsi="Garamond" w:cs="Arial"/>
          <w:b/>
          <w:bCs/>
          <w:color w:val="000000" w:themeColor="text1"/>
          <w:sz w:val="20"/>
          <w:szCs w:val="20"/>
        </w:rPr>
        <w:t>Program Evaluation using Data Science approaches to associate student grades to course learning      outcomes in Graduate Health Informatics</w:t>
      </w:r>
    </w:p>
    <w:p w14:paraId="5979E8F4" w14:textId="339D4AD6" w:rsidR="1C305C88" w:rsidRDefault="1C305C88" w:rsidP="6720167C">
      <w:pPr>
        <w:rPr>
          <w:rFonts w:ascii="Garamond" w:eastAsia="Garamond" w:hAnsi="Garamond" w:cs="Garamond"/>
          <w:color w:val="000000" w:themeColor="text1"/>
          <w:sz w:val="20"/>
          <w:szCs w:val="20"/>
          <w:vertAlign w:val="superscript"/>
          <w:lang w:val="pt-BR"/>
        </w:rPr>
      </w:pPr>
      <w:proofErr w:type="spellStart"/>
      <w:r w:rsidRPr="6720167C">
        <w:rPr>
          <w:rFonts w:ascii="Garamond" w:hAnsi="Garamond" w:cs="Arial"/>
          <w:b/>
          <w:bCs/>
          <w:color w:val="000000" w:themeColor="text1"/>
          <w:sz w:val="20"/>
          <w:szCs w:val="20"/>
          <w:lang w:val="pt-BR"/>
        </w:rPr>
        <w:t>Akshita</w:t>
      </w:r>
      <w:proofErr w:type="spellEnd"/>
      <w:r w:rsidRPr="6720167C">
        <w:rPr>
          <w:rFonts w:ascii="Garamond" w:hAnsi="Garamond" w:cs="Arial"/>
          <w:b/>
          <w:bCs/>
          <w:color w:val="000000" w:themeColor="text1"/>
          <w:sz w:val="20"/>
          <w:szCs w:val="20"/>
          <w:lang w:val="pt-BR"/>
        </w:rPr>
        <w:t xml:space="preserve"> </w:t>
      </w:r>
      <w:proofErr w:type="spellStart"/>
      <w:r w:rsidRPr="6720167C">
        <w:rPr>
          <w:rFonts w:ascii="Garamond" w:hAnsi="Garamond" w:cs="Arial"/>
          <w:b/>
          <w:bCs/>
          <w:color w:val="000000" w:themeColor="text1"/>
          <w:sz w:val="20"/>
          <w:szCs w:val="20"/>
          <w:lang w:val="pt-BR"/>
        </w:rPr>
        <w:t>Patri</w:t>
      </w:r>
      <w:proofErr w:type="spellEnd"/>
      <w:r w:rsidR="116421F2" w:rsidRPr="73DA452B">
        <w:rPr>
          <w:rFonts w:ascii="Garamond" w:eastAsia="Garamond" w:hAnsi="Garamond" w:cs="Garamond"/>
          <w:color w:val="000000" w:themeColor="text1"/>
          <w:sz w:val="20"/>
          <w:szCs w:val="20"/>
          <w:vertAlign w:val="superscript"/>
          <w:lang w:val="pt-BR"/>
        </w:rPr>
        <w:t xml:space="preserve"> 1</w:t>
      </w:r>
      <w:r w:rsidRPr="6720167C">
        <w:rPr>
          <w:rFonts w:ascii="Garamond" w:hAnsi="Garamond" w:cs="Arial"/>
          <w:b/>
          <w:bCs/>
          <w:color w:val="000000" w:themeColor="text1"/>
          <w:sz w:val="20"/>
          <w:szCs w:val="20"/>
          <w:lang w:val="pt-BR"/>
        </w:rPr>
        <w:t xml:space="preserve">, </w:t>
      </w:r>
      <w:proofErr w:type="spellStart"/>
      <w:r w:rsidRPr="6720167C">
        <w:rPr>
          <w:rFonts w:ascii="Garamond" w:hAnsi="Garamond" w:cs="Arial"/>
          <w:b/>
          <w:bCs/>
          <w:color w:val="000000" w:themeColor="text1"/>
          <w:sz w:val="20"/>
          <w:szCs w:val="20"/>
          <w:lang w:val="pt-BR"/>
        </w:rPr>
        <w:t>Vedasree</w:t>
      </w:r>
      <w:proofErr w:type="spellEnd"/>
      <w:r w:rsidRPr="6720167C">
        <w:rPr>
          <w:rFonts w:ascii="Garamond" w:hAnsi="Garamond" w:cs="Arial"/>
          <w:b/>
          <w:bCs/>
          <w:color w:val="000000" w:themeColor="text1"/>
          <w:sz w:val="20"/>
          <w:szCs w:val="20"/>
          <w:lang w:val="pt-BR"/>
        </w:rPr>
        <w:t xml:space="preserve"> </w:t>
      </w:r>
      <w:proofErr w:type="spellStart"/>
      <w:r w:rsidRPr="6720167C">
        <w:rPr>
          <w:rFonts w:ascii="Garamond" w:hAnsi="Garamond" w:cs="Arial"/>
          <w:b/>
          <w:bCs/>
          <w:color w:val="000000" w:themeColor="text1"/>
          <w:sz w:val="20"/>
          <w:szCs w:val="20"/>
          <w:lang w:val="pt-BR"/>
        </w:rPr>
        <w:t>Yerrabandi</w:t>
      </w:r>
      <w:proofErr w:type="spellEnd"/>
      <w:r w:rsidR="22224EBD" w:rsidRPr="73DA452B">
        <w:rPr>
          <w:rFonts w:ascii="Garamond" w:eastAsia="Garamond" w:hAnsi="Garamond" w:cs="Garamond"/>
          <w:color w:val="000000" w:themeColor="text1"/>
          <w:sz w:val="20"/>
          <w:szCs w:val="20"/>
          <w:vertAlign w:val="superscript"/>
          <w:lang w:val="pt-BR"/>
        </w:rPr>
        <w:t xml:space="preserve"> 1</w:t>
      </w:r>
      <w:r w:rsidRPr="6720167C">
        <w:rPr>
          <w:rFonts w:ascii="Garamond" w:hAnsi="Garamond" w:cs="Arial"/>
          <w:b/>
          <w:bCs/>
          <w:color w:val="000000" w:themeColor="text1"/>
          <w:sz w:val="20"/>
          <w:szCs w:val="20"/>
          <w:lang w:val="pt-BR"/>
        </w:rPr>
        <w:t xml:space="preserve">, Sadia </w:t>
      </w:r>
      <w:proofErr w:type="spellStart"/>
      <w:r w:rsidRPr="6720167C">
        <w:rPr>
          <w:rFonts w:ascii="Garamond" w:hAnsi="Garamond" w:cs="Arial"/>
          <w:b/>
          <w:bCs/>
          <w:color w:val="000000" w:themeColor="text1"/>
          <w:sz w:val="20"/>
          <w:szCs w:val="20"/>
          <w:lang w:val="pt-BR"/>
        </w:rPr>
        <w:t>Afreen</w:t>
      </w:r>
      <w:proofErr w:type="spellEnd"/>
      <w:r w:rsidR="5B6C6BB2" w:rsidRPr="73DA452B">
        <w:rPr>
          <w:rFonts w:ascii="Garamond" w:eastAsia="Garamond" w:hAnsi="Garamond" w:cs="Garamond"/>
          <w:color w:val="000000" w:themeColor="text1"/>
          <w:sz w:val="20"/>
          <w:szCs w:val="20"/>
          <w:vertAlign w:val="superscript"/>
          <w:lang w:val="pt-BR"/>
        </w:rPr>
        <w:t xml:space="preserve"> 1</w:t>
      </w:r>
      <w:r w:rsidRPr="6720167C">
        <w:rPr>
          <w:rFonts w:ascii="Garamond" w:hAnsi="Garamond" w:cs="Arial"/>
          <w:b/>
          <w:bCs/>
          <w:color w:val="000000" w:themeColor="text1"/>
          <w:sz w:val="20"/>
          <w:szCs w:val="20"/>
          <w:lang w:val="pt-BR"/>
        </w:rPr>
        <w:t xml:space="preserve">, </w:t>
      </w:r>
      <w:proofErr w:type="spellStart"/>
      <w:r w:rsidR="2755B256" w:rsidRPr="6720167C">
        <w:rPr>
          <w:rFonts w:ascii="Garamond" w:hAnsi="Garamond" w:cs="Arial"/>
          <w:b/>
          <w:bCs/>
          <w:color w:val="000000" w:themeColor="text1"/>
          <w:sz w:val="20"/>
          <w:szCs w:val="20"/>
          <w:lang w:val="pt-BR"/>
        </w:rPr>
        <w:t>Saptarshi</w:t>
      </w:r>
      <w:proofErr w:type="spellEnd"/>
      <w:r w:rsidR="2755B256" w:rsidRPr="6720167C">
        <w:rPr>
          <w:rFonts w:ascii="Garamond" w:hAnsi="Garamond" w:cs="Arial"/>
          <w:b/>
          <w:bCs/>
          <w:color w:val="000000" w:themeColor="text1"/>
          <w:sz w:val="20"/>
          <w:szCs w:val="20"/>
          <w:lang w:val="pt-BR"/>
        </w:rPr>
        <w:t xml:space="preserve"> </w:t>
      </w:r>
      <w:proofErr w:type="spellStart"/>
      <w:r w:rsidR="2755B256" w:rsidRPr="6720167C">
        <w:rPr>
          <w:rFonts w:ascii="Garamond" w:hAnsi="Garamond" w:cs="Arial"/>
          <w:b/>
          <w:bCs/>
          <w:color w:val="000000" w:themeColor="text1"/>
          <w:sz w:val="20"/>
          <w:szCs w:val="20"/>
          <w:lang w:val="pt-BR"/>
        </w:rPr>
        <w:t>Purkayastha</w:t>
      </w:r>
      <w:proofErr w:type="spellEnd"/>
      <w:r w:rsidR="6E9D6FFC" w:rsidRPr="73DA452B">
        <w:rPr>
          <w:rFonts w:ascii="Garamond" w:eastAsia="Garamond" w:hAnsi="Garamond" w:cs="Garamond"/>
          <w:color w:val="000000" w:themeColor="text1"/>
          <w:sz w:val="20"/>
          <w:szCs w:val="20"/>
          <w:vertAlign w:val="superscript"/>
          <w:lang w:val="pt-BR"/>
        </w:rPr>
        <w:t xml:space="preserve"> 1</w:t>
      </w:r>
    </w:p>
    <w:p w14:paraId="011ED209" w14:textId="52587627" w:rsidR="6E9D6FFC" w:rsidRDefault="6E9D6FFC" w:rsidP="6720167C">
      <w:pPr>
        <w:rPr>
          <w:rFonts w:ascii="Garamond" w:eastAsia="Garamond" w:hAnsi="Garamond" w:cs="Garamond"/>
          <w:color w:val="000000" w:themeColor="text1"/>
          <w:sz w:val="20"/>
          <w:szCs w:val="20"/>
          <w:vertAlign w:val="superscript"/>
          <w:lang w:val="pt-BR"/>
        </w:rPr>
      </w:pPr>
      <w:r w:rsidRPr="73DA452B">
        <w:rPr>
          <w:rFonts w:ascii="Garamond" w:eastAsia="Garamond" w:hAnsi="Garamond" w:cs="Garamond"/>
          <w:color w:val="000000" w:themeColor="text1"/>
          <w:sz w:val="20"/>
          <w:szCs w:val="20"/>
          <w:vertAlign w:val="superscript"/>
          <w:lang w:val="pt-BR"/>
        </w:rPr>
        <w:t xml:space="preserve">1 </w:t>
      </w:r>
      <w:proofErr w:type="spellStart"/>
      <w:r w:rsidRPr="73DA452B">
        <w:rPr>
          <w:rFonts w:ascii="Garamond" w:eastAsia="Garamond" w:hAnsi="Garamond" w:cs="Garamond"/>
          <w:color w:val="000000" w:themeColor="text1"/>
          <w:sz w:val="20"/>
          <w:szCs w:val="20"/>
          <w:vertAlign w:val="superscript"/>
          <w:lang w:val="pt-BR"/>
        </w:rPr>
        <w:t>Dept</w:t>
      </w:r>
      <w:proofErr w:type="spellEnd"/>
      <w:r w:rsidRPr="73DA452B">
        <w:rPr>
          <w:rFonts w:ascii="Garamond" w:eastAsia="Garamond" w:hAnsi="Garamond" w:cs="Garamond"/>
          <w:color w:val="000000" w:themeColor="text1"/>
          <w:sz w:val="20"/>
          <w:szCs w:val="20"/>
          <w:vertAlign w:val="superscript"/>
          <w:lang w:val="pt-BR"/>
        </w:rPr>
        <w:t xml:space="preserve">. </w:t>
      </w:r>
      <w:proofErr w:type="spellStart"/>
      <w:r w:rsidRPr="73DA452B">
        <w:rPr>
          <w:rFonts w:ascii="Garamond" w:eastAsia="Garamond" w:hAnsi="Garamond" w:cs="Garamond"/>
          <w:color w:val="000000" w:themeColor="text1"/>
          <w:sz w:val="20"/>
          <w:szCs w:val="20"/>
          <w:vertAlign w:val="superscript"/>
          <w:lang w:val="pt-BR"/>
        </w:rPr>
        <w:t>of</w:t>
      </w:r>
      <w:proofErr w:type="spellEnd"/>
      <w:r w:rsidRPr="73DA452B">
        <w:rPr>
          <w:rFonts w:ascii="Garamond" w:eastAsia="Garamond" w:hAnsi="Garamond" w:cs="Garamond"/>
          <w:color w:val="000000" w:themeColor="text1"/>
          <w:sz w:val="20"/>
          <w:szCs w:val="20"/>
          <w:vertAlign w:val="superscript"/>
          <w:lang w:val="pt-BR"/>
        </w:rPr>
        <w:t xml:space="preserve"> </w:t>
      </w:r>
      <w:proofErr w:type="spellStart"/>
      <w:r w:rsidRPr="73DA452B">
        <w:rPr>
          <w:rFonts w:ascii="Garamond" w:eastAsia="Garamond" w:hAnsi="Garamond" w:cs="Garamond"/>
          <w:color w:val="000000" w:themeColor="text1"/>
          <w:sz w:val="20"/>
          <w:szCs w:val="20"/>
          <w:vertAlign w:val="superscript"/>
          <w:lang w:val="pt-BR"/>
        </w:rPr>
        <w:t>BioHealth</w:t>
      </w:r>
      <w:proofErr w:type="spellEnd"/>
      <w:r w:rsidRPr="73DA452B">
        <w:rPr>
          <w:rFonts w:ascii="Garamond" w:eastAsia="Garamond" w:hAnsi="Garamond" w:cs="Garamond"/>
          <w:color w:val="000000" w:themeColor="text1"/>
          <w:sz w:val="20"/>
          <w:szCs w:val="20"/>
          <w:vertAlign w:val="superscript"/>
          <w:lang w:val="pt-BR"/>
        </w:rPr>
        <w:t xml:space="preserve"> </w:t>
      </w:r>
      <w:proofErr w:type="spellStart"/>
      <w:r w:rsidRPr="73DA452B">
        <w:rPr>
          <w:rFonts w:ascii="Garamond" w:eastAsia="Garamond" w:hAnsi="Garamond" w:cs="Garamond"/>
          <w:color w:val="000000" w:themeColor="text1"/>
          <w:sz w:val="20"/>
          <w:szCs w:val="20"/>
          <w:vertAlign w:val="superscript"/>
          <w:lang w:val="pt-BR"/>
        </w:rPr>
        <w:t>Informatics</w:t>
      </w:r>
      <w:proofErr w:type="spellEnd"/>
      <w:r w:rsidRPr="73DA452B">
        <w:rPr>
          <w:rFonts w:ascii="Garamond" w:eastAsia="Garamond" w:hAnsi="Garamond" w:cs="Garamond"/>
          <w:color w:val="000000" w:themeColor="text1"/>
          <w:sz w:val="20"/>
          <w:szCs w:val="20"/>
          <w:vertAlign w:val="superscript"/>
          <w:lang w:val="pt-BR"/>
        </w:rPr>
        <w:t xml:space="preserve">, Indiana </w:t>
      </w:r>
      <w:proofErr w:type="spellStart"/>
      <w:r w:rsidRPr="73DA452B">
        <w:rPr>
          <w:rFonts w:ascii="Garamond" w:eastAsia="Garamond" w:hAnsi="Garamond" w:cs="Garamond"/>
          <w:color w:val="000000" w:themeColor="text1"/>
          <w:sz w:val="20"/>
          <w:szCs w:val="20"/>
          <w:vertAlign w:val="superscript"/>
          <w:lang w:val="pt-BR"/>
        </w:rPr>
        <w:t>University</w:t>
      </w:r>
      <w:proofErr w:type="spellEnd"/>
      <w:r w:rsidR="49F901DA" w:rsidRPr="73DA452B">
        <w:rPr>
          <w:rFonts w:ascii="Garamond" w:eastAsia="Garamond" w:hAnsi="Garamond" w:cs="Garamond"/>
          <w:color w:val="000000" w:themeColor="text1"/>
          <w:sz w:val="20"/>
          <w:szCs w:val="20"/>
          <w:vertAlign w:val="superscript"/>
          <w:lang w:val="pt-BR"/>
        </w:rPr>
        <w:t xml:space="preserve">, </w:t>
      </w:r>
      <w:r w:rsidRPr="73DA452B">
        <w:rPr>
          <w:rFonts w:ascii="Garamond" w:eastAsia="Garamond" w:hAnsi="Garamond" w:cs="Garamond"/>
          <w:color w:val="000000" w:themeColor="text1"/>
          <w:sz w:val="20"/>
          <w:szCs w:val="20"/>
          <w:vertAlign w:val="superscript"/>
          <w:lang w:val="pt-BR"/>
        </w:rPr>
        <w:t>Indianapolis,</w:t>
      </w:r>
      <w:r>
        <w:br/>
      </w:r>
      <w:r w:rsidRPr="73DA452B">
        <w:rPr>
          <w:rFonts w:ascii="Garamond" w:eastAsia="Garamond" w:hAnsi="Garamond" w:cs="Garamond"/>
          <w:color w:val="000000" w:themeColor="text1"/>
          <w:sz w:val="20"/>
          <w:szCs w:val="20"/>
          <w:vertAlign w:val="superscript"/>
          <w:lang w:val="pt-BR"/>
        </w:rPr>
        <w:t>Indianapolis, IN</w:t>
      </w:r>
      <w:r w:rsidR="54C83666" w:rsidRPr="73DA452B">
        <w:rPr>
          <w:rFonts w:ascii="Garamond" w:eastAsia="Garamond" w:hAnsi="Garamond" w:cs="Garamond"/>
          <w:color w:val="000000" w:themeColor="text1"/>
          <w:sz w:val="20"/>
          <w:szCs w:val="20"/>
          <w:vertAlign w:val="superscript"/>
          <w:lang w:val="pt-BR"/>
        </w:rPr>
        <w:t>, USA</w:t>
      </w:r>
    </w:p>
    <w:p w14:paraId="16A44836" w14:textId="77777777" w:rsidR="005E302B" w:rsidRPr="00496CF8" w:rsidRDefault="005E302B">
      <w:pPr>
        <w:rPr>
          <w:rFonts w:ascii="Garamond" w:hAnsi="Garamond"/>
          <w:b/>
          <w:bCs/>
          <w:color w:val="000000" w:themeColor="text1"/>
          <w:sz w:val="20"/>
          <w:szCs w:val="20"/>
        </w:rPr>
      </w:pPr>
    </w:p>
    <w:p w14:paraId="43F2F3F9" w14:textId="2A7607C3" w:rsidR="000568FE" w:rsidRPr="00496CF8" w:rsidRDefault="005E302B" w:rsidP="000568FE">
      <w:pPr>
        <w:rPr>
          <w:rFonts w:ascii="Garamond" w:hAnsi="Garamond"/>
          <w:b/>
          <w:bCs/>
          <w:color w:val="4C94D8" w:themeColor="text2" w:themeTint="80"/>
          <w:sz w:val="20"/>
          <w:szCs w:val="20"/>
        </w:rPr>
      </w:pPr>
      <w:r w:rsidRPr="00496CF8">
        <w:rPr>
          <w:rFonts w:ascii="Garamond" w:hAnsi="Garamond"/>
          <w:b/>
          <w:bCs/>
          <w:color w:val="4C94D8" w:themeColor="text2" w:themeTint="80"/>
          <w:sz w:val="20"/>
          <w:szCs w:val="20"/>
        </w:rPr>
        <w:t xml:space="preserve">Abstract </w:t>
      </w:r>
    </w:p>
    <w:p w14:paraId="5A866289" w14:textId="2CEC463B" w:rsidR="000568FE" w:rsidRPr="00496CF8" w:rsidRDefault="000568FE" w:rsidP="000568FE">
      <w:pPr>
        <w:rPr>
          <w:rFonts w:ascii="Garamond" w:hAnsi="Garamond"/>
          <w:color w:val="000000" w:themeColor="text1"/>
          <w:sz w:val="20"/>
          <w:szCs w:val="20"/>
        </w:rPr>
      </w:pPr>
      <w:r w:rsidRPr="6720167C">
        <w:rPr>
          <w:rFonts w:ascii="Garamond" w:hAnsi="Garamond"/>
          <w:b/>
          <w:bCs/>
          <w:color w:val="4C94D8" w:themeColor="text2" w:themeTint="80"/>
          <w:sz w:val="20"/>
          <w:szCs w:val="20"/>
        </w:rPr>
        <w:t>Purpose:</w:t>
      </w:r>
      <w:r w:rsidRPr="6720167C">
        <w:rPr>
          <w:rFonts w:ascii="Garamond" w:hAnsi="Garamond"/>
          <w:color w:val="4C94D8" w:themeColor="text2" w:themeTint="80"/>
          <w:sz w:val="20"/>
          <w:szCs w:val="20"/>
        </w:rPr>
        <w:t xml:space="preserve"> </w:t>
      </w:r>
      <w:r w:rsidRPr="6720167C">
        <w:rPr>
          <w:rFonts w:ascii="Garamond" w:hAnsi="Garamond"/>
          <w:color w:val="000000" w:themeColor="text1"/>
          <w:sz w:val="20"/>
          <w:szCs w:val="20"/>
        </w:rPr>
        <w:t xml:space="preserve">The study </w:t>
      </w:r>
      <w:r w:rsidR="24314449" w:rsidRPr="6720167C">
        <w:rPr>
          <w:rFonts w:ascii="Garamond" w:hAnsi="Garamond"/>
          <w:color w:val="000000" w:themeColor="text1"/>
          <w:sz w:val="20"/>
          <w:szCs w:val="20"/>
        </w:rPr>
        <w:t>a</w:t>
      </w:r>
      <w:r w:rsidRPr="6720167C">
        <w:rPr>
          <w:rFonts w:ascii="Garamond" w:hAnsi="Garamond"/>
          <w:color w:val="000000" w:themeColor="text1"/>
          <w:sz w:val="20"/>
          <w:szCs w:val="20"/>
        </w:rPr>
        <w:t>imed to evaluate student competency in the Health Informatics program at the Department</w:t>
      </w:r>
    </w:p>
    <w:p w14:paraId="707EFBC1" w14:textId="77777777" w:rsidR="000568FE" w:rsidRPr="00496CF8" w:rsidRDefault="000568FE" w:rsidP="000568FE">
      <w:pPr>
        <w:rPr>
          <w:rFonts w:ascii="Garamond" w:hAnsi="Garamond"/>
          <w:color w:val="000000" w:themeColor="text1"/>
          <w:sz w:val="20"/>
          <w:szCs w:val="20"/>
        </w:rPr>
      </w:pPr>
      <w:r w:rsidRPr="00496CF8">
        <w:rPr>
          <w:rFonts w:ascii="Garamond" w:hAnsi="Garamond"/>
          <w:color w:val="000000" w:themeColor="text1"/>
          <w:sz w:val="20"/>
          <w:szCs w:val="20"/>
        </w:rPr>
        <w:t xml:space="preserve">of </w:t>
      </w:r>
      <w:proofErr w:type="spellStart"/>
      <w:r w:rsidRPr="00496CF8">
        <w:rPr>
          <w:rFonts w:ascii="Garamond" w:hAnsi="Garamond"/>
          <w:color w:val="000000" w:themeColor="text1"/>
          <w:sz w:val="20"/>
          <w:szCs w:val="20"/>
        </w:rPr>
        <w:t>BioHealth</w:t>
      </w:r>
      <w:proofErr w:type="spellEnd"/>
      <w:r w:rsidRPr="00496CF8">
        <w:rPr>
          <w:rFonts w:ascii="Garamond" w:hAnsi="Garamond"/>
          <w:color w:val="000000" w:themeColor="text1"/>
          <w:sz w:val="20"/>
          <w:szCs w:val="20"/>
        </w:rPr>
        <w:t xml:space="preserve"> Informatics, Indiana University-Purdue University Indianapolis (IUPUI). Specifically, we sought to</w:t>
      </w:r>
    </w:p>
    <w:p w14:paraId="528D2116" w14:textId="77777777" w:rsidR="000568FE" w:rsidRPr="00496CF8" w:rsidRDefault="000568FE" w:rsidP="000568FE">
      <w:pPr>
        <w:rPr>
          <w:rFonts w:ascii="Garamond" w:hAnsi="Garamond"/>
          <w:color w:val="000000" w:themeColor="text1"/>
          <w:sz w:val="20"/>
          <w:szCs w:val="20"/>
        </w:rPr>
      </w:pPr>
      <w:r w:rsidRPr="00496CF8">
        <w:rPr>
          <w:rFonts w:ascii="Garamond" w:hAnsi="Garamond"/>
          <w:color w:val="000000" w:themeColor="text1"/>
          <w:sz w:val="20"/>
          <w:szCs w:val="20"/>
        </w:rPr>
        <w:t>determine the alignment of course assessments with learning objectives and to identify areas for improvement to</w:t>
      </w:r>
    </w:p>
    <w:p w14:paraId="0B3B1A25" w14:textId="77777777" w:rsidR="000568FE" w:rsidRPr="00496CF8" w:rsidRDefault="000568FE" w:rsidP="000568FE">
      <w:pPr>
        <w:rPr>
          <w:rFonts w:ascii="Garamond" w:hAnsi="Garamond"/>
          <w:color w:val="000000" w:themeColor="text1"/>
          <w:sz w:val="20"/>
          <w:szCs w:val="20"/>
        </w:rPr>
      </w:pPr>
      <w:r w:rsidRPr="3414491E">
        <w:rPr>
          <w:rFonts w:ascii="Garamond" w:hAnsi="Garamond"/>
          <w:color w:val="000000" w:themeColor="text1"/>
          <w:sz w:val="20"/>
          <w:szCs w:val="20"/>
        </w:rPr>
        <w:t>enhance student achievement of these objectives.</w:t>
      </w:r>
    </w:p>
    <w:p w14:paraId="166888E7" w14:textId="3DCE4CC9" w:rsidR="3414491E" w:rsidRDefault="3414491E" w:rsidP="3414491E">
      <w:pPr>
        <w:rPr>
          <w:rFonts w:ascii="Garamond" w:hAnsi="Garamond"/>
          <w:color w:val="000000" w:themeColor="text1"/>
          <w:sz w:val="20"/>
          <w:szCs w:val="20"/>
        </w:rPr>
      </w:pPr>
    </w:p>
    <w:p w14:paraId="7566A60D" w14:textId="77777777" w:rsidR="000568FE" w:rsidRPr="00496CF8" w:rsidRDefault="000568FE" w:rsidP="000568FE">
      <w:pPr>
        <w:rPr>
          <w:rFonts w:ascii="Garamond" w:hAnsi="Garamond"/>
          <w:color w:val="000000" w:themeColor="text1"/>
          <w:sz w:val="20"/>
          <w:szCs w:val="20"/>
        </w:rPr>
      </w:pPr>
      <w:r w:rsidRPr="00496CF8">
        <w:rPr>
          <w:rFonts w:ascii="Garamond" w:hAnsi="Garamond"/>
          <w:b/>
          <w:bCs/>
          <w:color w:val="4C94D8" w:themeColor="text2" w:themeTint="80"/>
          <w:sz w:val="20"/>
          <w:szCs w:val="20"/>
        </w:rPr>
        <w:t>Methods:</w:t>
      </w:r>
      <w:r w:rsidRPr="00496CF8">
        <w:rPr>
          <w:rFonts w:ascii="Garamond" w:hAnsi="Garamond"/>
          <w:color w:val="4C94D8" w:themeColor="text2" w:themeTint="80"/>
          <w:sz w:val="20"/>
          <w:szCs w:val="20"/>
        </w:rPr>
        <w:t xml:space="preserve"> </w:t>
      </w:r>
      <w:r w:rsidRPr="00496CF8">
        <w:rPr>
          <w:rFonts w:ascii="Garamond" w:hAnsi="Garamond"/>
          <w:color w:val="000000" w:themeColor="text1"/>
          <w:sz w:val="20"/>
          <w:szCs w:val="20"/>
        </w:rPr>
        <w:t>We analyzed data from over 300 Health Informatics students enrolled between 2017 and 2021.</w:t>
      </w:r>
    </w:p>
    <w:p w14:paraId="7DFD2BCB" w14:textId="77777777" w:rsidR="000568FE" w:rsidRPr="00496CF8" w:rsidRDefault="000568FE" w:rsidP="000568FE">
      <w:pPr>
        <w:rPr>
          <w:rFonts w:ascii="Garamond" w:hAnsi="Garamond"/>
          <w:color w:val="000000" w:themeColor="text1"/>
          <w:sz w:val="20"/>
          <w:szCs w:val="20"/>
        </w:rPr>
      </w:pPr>
      <w:r w:rsidRPr="00496CF8">
        <w:rPr>
          <w:rFonts w:ascii="Garamond" w:hAnsi="Garamond"/>
          <w:color w:val="000000" w:themeColor="text1"/>
          <w:sz w:val="20"/>
          <w:szCs w:val="20"/>
        </w:rPr>
        <w:t>Instructors aligned course assessments with learning objectives to assess student competency in specific topics.</w:t>
      </w:r>
    </w:p>
    <w:p w14:paraId="7485FA50" w14:textId="77777777" w:rsidR="000568FE" w:rsidRPr="00496CF8" w:rsidRDefault="000568FE" w:rsidP="000568FE">
      <w:pPr>
        <w:rPr>
          <w:rFonts w:ascii="Garamond" w:hAnsi="Garamond"/>
          <w:color w:val="000000" w:themeColor="text1"/>
          <w:sz w:val="20"/>
          <w:szCs w:val="20"/>
        </w:rPr>
      </w:pPr>
      <w:r w:rsidRPr="00496CF8">
        <w:rPr>
          <w:rFonts w:ascii="Garamond" w:hAnsi="Garamond"/>
          <w:color w:val="000000" w:themeColor="text1"/>
          <w:sz w:val="20"/>
          <w:szCs w:val="20"/>
        </w:rPr>
        <w:t>A comprehensive data-driven approach was employed to objectively discuss potential assessment modifications,</w:t>
      </w:r>
    </w:p>
    <w:p w14:paraId="52E0BABC" w14:textId="77777777" w:rsidR="000568FE" w:rsidRPr="00496CF8" w:rsidRDefault="000568FE" w:rsidP="000568FE">
      <w:pPr>
        <w:rPr>
          <w:rFonts w:ascii="Garamond" w:hAnsi="Garamond"/>
          <w:color w:val="000000" w:themeColor="text1"/>
          <w:sz w:val="20"/>
          <w:szCs w:val="20"/>
        </w:rPr>
      </w:pPr>
      <w:r w:rsidRPr="00496CF8">
        <w:rPr>
          <w:rFonts w:ascii="Garamond" w:hAnsi="Garamond"/>
          <w:color w:val="000000" w:themeColor="text1"/>
          <w:sz w:val="20"/>
          <w:szCs w:val="20"/>
        </w:rPr>
        <w:t>course learning outcomes, and teaching methods with instructors.</w:t>
      </w:r>
    </w:p>
    <w:p w14:paraId="5610BD6C" w14:textId="77777777" w:rsidR="000568FE" w:rsidRPr="00496CF8" w:rsidRDefault="000568FE" w:rsidP="000568FE">
      <w:pPr>
        <w:rPr>
          <w:rFonts w:ascii="Garamond" w:hAnsi="Garamond"/>
          <w:color w:val="000000" w:themeColor="text1"/>
          <w:sz w:val="20"/>
          <w:szCs w:val="20"/>
        </w:rPr>
      </w:pPr>
    </w:p>
    <w:p w14:paraId="126898E3" w14:textId="77777777" w:rsidR="000568FE" w:rsidRPr="00496CF8" w:rsidRDefault="000568FE" w:rsidP="000568FE">
      <w:pPr>
        <w:rPr>
          <w:rFonts w:ascii="Garamond" w:hAnsi="Garamond"/>
          <w:color w:val="000000" w:themeColor="text1"/>
          <w:sz w:val="20"/>
          <w:szCs w:val="20"/>
        </w:rPr>
      </w:pPr>
      <w:r w:rsidRPr="00496CF8">
        <w:rPr>
          <w:rFonts w:ascii="Garamond" w:hAnsi="Garamond"/>
          <w:b/>
          <w:bCs/>
          <w:color w:val="4C94D8" w:themeColor="text2" w:themeTint="80"/>
          <w:sz w:val="20"/>
          <w:szCs w:val="20"/>
        </w:rPr>
        <w:t>Results:</w:t>
      </w:r>
      <w:r w:rsidRPr="00496CF8">
        <w:rPr>
          <w:rFonts w:ascii="Garamond" w:hAnsi="Garamond"/>
          <w:color w:val="4C94D8" w:themeColor="text2" w:themeTint="80"/>
          <w:sz w:val="20"/>
          <w:szCs w:val="20"/>
        </w:rPr>
        <w:t xml:space="preserve"> </w:t>
      </w:r>
      <w:r w:rsidRPr="00496CF8">
        <w:rPr>
          <w:rFonts w:ascii="Garamond" w:hAnsi="Garamond"/>
          <w:color w:val="000000" w:themeColor="text1"/>
          <w:sz w:val="20"/>
          <w:szCs w:val="20"/>
        </w:rPr>
        <w:t>Our findings indicated that, on average, 74% of students met the course learning objectives. The</w:t>
      </w:r>
    </w:p>
    <w:p w14:paraId="51BE0718" w14:textId="77777777" w:rsidR="000568FE" w:rsidRPr="00496CF8" w:rsidRDefault="000568FE" w:rsidP="000568FE">
      <w:pPr>
        <w:rPr>
          <w:rFonts w:ascii="Garamond" w:hAnsi="Garamond"/>
          <w:color w:val="000000" w:themeColor="text1"/>
          <w:sz w:val="20"/>
          <w:szCs w:val="20"/>
        </w:rPr>
      </w:pPr>
      <w:r w:rsidRPr="00496CF8">
        <w:rPr>
          <w:rFonts w:ascii="Garamond" w:hAnsi="Garamond"/>
          <w:color w:val="000000" w:themeColor="text1"/>
          <w:sz w:val="20"/>
          <w:szCs w:val="20"/>
        </w:rPr>
        <w:t>analysis was presented in a Program Review and Assessment Committee (PRAC) report, which highlighted</w:t>
      </w:r>
    </w:p>
    <w:p w14:paraId="0222FA44" w14:textId="77777777" w:rsidR="000568FE" w:rsidRPr="00496CF8" w:rsidRDefault="000568FE" w:rsidP="000568FE">
      <w:pPr>
        <w:rPr>
          <w:rFonts w:ascii="Garamond" w:hAnsi="Garamond"/>
          <w:color w:val="000000" w:themeColor="text1"/>
          <w:sz w:val="20"/>
          <w:szCs w:val="20"/>
        </w:rPr>
      </w:pPr>
      <w:r w:rsidRPr="00496CF8">
        <w:rPr>
          <w:rFonts w:ascii="Garamond" w:hAnsi="Garamond"/>
          <w:color w:val="000000" w:themeColor="text1"/>
          <w:sz w:val="20"/>
          <w:szCs w:val="20"/>
        </w:rPr>
        <w:t>areas for improvement and provided valuable insights for enhancing the Health Informatics program.</w:t>
      </w:r>
    </w:p>
    <w:p w14:paraId="4BEAF749" w14:textId="77777777" w:rsidR="000568FE" w:rsidRPr="00496CF8" w:rsidRDefault="000568FE" w:rsidP="000568FE">
      <w:pPr>
        <w:rPr>
          <w:rFonts w:ascii="Garamond" w:hAnsi="Garamond"/>
          <w:color w:val="000000" w:themeColor="text1"/>
          <w:sz w:val="20"/>
          <w:szCs w:val="20"/>
        </w:rPr>
      </w:pPr>
    </w:p>
    <w:p w14:paraId="12E7AE51" w14:textId="77777777" w:rsidR="000568FE" w:rsidRPr="00496CF8" w:rsidRDefault="000568FE" w:rsidP="000568FE">
      <w:pPr>
        <w:rPr>
          <w:rFonts w:ascii="Garamond" w:hAnsi="Garamond"/>
          <w:color w:val="000000" w:themeColor="text1"/>
          <w:sz w:val="20"/>
          <w:szCs w:val="20"/>
        </w:rPr>
      </w:pPr>
      <w:r w:rsidRPr="00496CF8">
        <w:rPr>
          <w:rFonts w:ascii="Garamond" w:hAnsi="Garamond"/>
          <w:b/>
          <w:bCs/>
          <w:color w:val="4C94D8" w:themeColor="text2" w:themeTint="80"/>
          <w:sz w:val="20"/>
          <w:szCs w:val="20"/>
        </w:rPr>
        <w:t>Conclusion:</w:t>
      </w:r>
      <w:r w:rsidRPr="00496CF8">
        <w:rPr>
          <w:rFonts w:ascii="Garamond" w:hAnsi="Garamond"/>
          <w:color w:val="4C94D8" w:themeColor="text2" w:themeTint="80"/>
          <w:sz w:val="20"/>
          <w:szCs w:val="20"/>
        </w:rPr>
        <w:t xml:space="preserve"> </w:t>
      </w:r>
      <w:r w:rsidRPr="00496CF8">
        <w:rPr>
          <w:rFonts w:ascii="Garamond" w:hAnsi="Garamond"/>
          <w:color w:val="000000" w:themeColor="text1"/>
          <w:sz w:val="20"/>
          <w:szCs w:val="20"/>
        </w:rPr>
        <w:t>This study underscores the importance of assessing student competencies and aligning course</w:t>
      </w:r>
    </w:p>
    <w:p w14:paraId="5D1701F6" w14:textId="77777777" w:rsidR="000568FE" w:rsidRPr="00496CF8" w:rsidRDefault="000568FE" w:rsidP="000568FE">
      <w:pPr>
        <w:rPr>
          <w:rFonts w:ascii="Garamond" w:hAnsi="Garamond"/>
          <w:color w:val="000000" w:themeColor="text1"/>
          <w:sz w:val="20"/>
          <w:szCs w:val="20"/>
        </w:rPr>
      </w:pPr>
      <w:r w:rsidRPr="00496CF8">
        <w:rPr>
          <w:rFonts w:ascii="Garamond" w:hAnsi="Garamond"/>
          <w:color w:val="000000" w:themeColor="text1"/>
          <w:sz w:val="20"/>
          <w:szCs w:val="20"/>
        </w:rPr>
        <w:t>objectives with assessments. By identifying areas for improvement and implementing changes, we aim to</w:t>
      </w:r>
    </w:p>
    <w:p w14:paraId="56B33579" w14:textId="77777777" w:rsidR="000568FE" w:rsidRPr="00496CF8" w:rsidRDefault="000568FE" w:rsidP="000568FE">
      <w:pPr>
        <w:rPr>
          <w:rFonts w:ascii="Garamond" w:hAnsi="Garamond"/>
          <w:color w:val="000000" w:themeColor="text1"/>
          <w:sz w:val="20"/>
          <w:szCs w:val="20"/>
        </w:rPr>
      </w:pPr>
      <w:r w:rsidRPr="00496CF8">
        <w:rPr>
          <w:rFonts w:ascii="Garamond" w:hAnsi="Garamond"/>
          <w:color w:val="000000" w:themeColor="text1"/>
          <w:sz w:val="20"/>
          <w:szCs w:val="20"/>
        </w:rPr>
        <w:t>increase the percentage of students achieving at least 80% of the course learning objectives to 80% or higher.</w:t>
      </w:r>
    </w:p>
    <w:p w14:paraId="34174D82" w14:textId="77777777" w:rsidR="000568FE" w:rsidRPr="00496CF8" w:rsidRDefault="000568FE" w:rsidP="000568FE">
      <w:pPr>
        <w:rPr>
          <w:rFonts w:ascii="Garamond" w:hAnsi="Garamond"/>
          <w:color w:val="000000" w:themeColor="text1"/>
          <w:sz w:val="20"/>
          <w:szCs w:val="20"/>
        </w:rPr>
      </w:pPr>
      <w:r w:rsidRPr="00496CF8">
        <w:rPr>
          <w:rFonts w:ascii="Garamond" w:hAnsi="Garamond"/>
          <w:color w:val="000000" w:themeColor="text1"/>
          <w:sz w:val="20"/>
          <w:szCs w:val="20"/>
        </w:rPr>
        <w:t>Regular program reviews are essential for ensuring that the program meets the needs of its students and can</w:t>
      </w:r>
    </w:p>
    <w:p w14:paraId="7D0532F0" w14:textId="77777777" w:rsidR="000568FE" w:rsidRPr="00496CF8" w:rsidRDefault="000568FE" w:rsidP="000568FE">
      <w:pPr>
        <w:rPr>
          <w:rFonts w:ascii="Garamond" w:hAnsi="Garamond"/>
          <w:color w:val="000000" w:themeColor="text1"/>
          <w:sz w:val="20"/>
          <w:szCs w:val="20"/>
        </w:rPr>
      </w:pPr>
      <w:r w:rsidRPr="00496CF8">
        <w:rPr>
          <w:rFonts w:ascii="Garamond" w:hAnsi="Garamond"/>
          <w:color w:val="000000" w:themeColor="text1"/>
          <w:sz w:val="20"/>
          <w:szCs w:val="20"/>
        </w:rPr>
        <w:t>serve as a model for other programs seeking to perform quantitative program assessments.</w:t>
      </w:r>
    </w:p>
    <w:p w14:paraId="4902918A" w14:textId="77777777" w:rsidR="000568FE" w:rsidRPr="00496CF8" w:rsidRDefault="000568FE" w:rsidP="000568FE">
      <w:pPr>
        <w:rPr>
          <w:rFonts w:ascii="Garamond" w:hAnsi="Garamond"/>
          <w:color w:val="000000" w:themeColor="text1"/>
          <w:sz w:val="20"/>
          <w:szCs w:val="20"/>
        </w:rPr>
      </w:pPr>
    </w:p>
    <w:p w14:paraId="4B8022AA" w14:textId="77777777" w:rsidR="000568FE" w:rsidRPr="00496CF8" w:rsidRDefault="000568FE" w:rsidP="000568FE">
      <w:pPr>
        <w:rPr>
          <w:rFonts w:ascii="Garamond" w:hAnsi="Garamond"/>
          <w:b/>
          <w:bCs/>
          <w:color w:val="4C94D8" w:themeColor="text2" w:themeTint="80"/>
          <w:sz w:val="20"/>
          <w:szCs w:val="20"/>
        </w:rPr>
      </w:pPr>
      <w:r w:rsidRPr="00496CF8">
        <w:rPr>
          <w:rFonts w:ascii="Garamond" w:hAnsi="Garamond"/>
          <w:b/>
          <w:bCs/>
          <w:color w:val="4C94D8" w:themeColor="text2" w:themeTint="80"/>
          <w:sz w:val="20"/>
          <w:szCs w:val="20"/>
        </w:rPr>
        <w:t>Keywords</w:t>
      </w:r>
    </w:p>
    <w:p w14:paraId="2A1B22D9" w14:textId="26B00C5D" w:rsidR="00D35CF5" w:rsidRPr="00496CF8" w:rsidRDefault="02D630B0" w:rsidP="000568FE">
      <w:pPr>
        <w:rPr>
          <w:rFonts w:ascii="Garamond" w:hAnsi="Garamond"/>
          <w:color w:val="000000" w:themeColor="text1"/>
          <w:sz w:val="20"/>
          <w:szCs w:val="20"/>
        </w:rPr>
      </w:pPr>
      <w:r w:rsidRPr="73DA452B">
        <w:rPr>
          <w:rFonts w:ascii="Garamond" w:hAnsi="Garamond"/>
          <w:color w:val="000000" w:themeColor="text1"/>
          <w:sz w:val="20"/>
          <w:szCs w:val="20"/>
        </w:rPr>
        <w:t xml:space="preserve">Competencies; </w:t>
      </w:r>
      <w:r w:rsidR="000568FE" w:rsidRPr="00496CF8">
        <w:rPr>
          <w:rFonts w:ascii="Garamond" w:hAnsi="Garamond"/>
          <w:color w:val="000000" w:themeColor="text1"/>
          <w:sz w:val="20"/>
          <w:szCs w:val="20"/>
        </w:rPr>
        <w:t>Health Informatics</w:t>
      </w:r>
      <w:r w:rsidR="5DEA1B18" w:rsidRPr="73DA452B">
        <w:rPr>
          <w:rFonts w:ascii="Garamond" w:hAnsi="Garamond"/>
          <w:color w:val="000000" w:themeColor="text1"/>
          <w:sz w:val="20"/>
          <w:szCs w:val="20"/>
        </w:rPr>
        <w:t>;</w:t>
      </w:r>
      <w:r w:rsidR="000568FE" w:rsidRPr="00496CF8">
        <w:rPr>
          <w:rFonts w:ascii="Garamond" w:hAnsi="Garamond"/>
          <w:color w:val="000000" w:themeColor="text1"/>
          <w:sz w:val="20"/>
          <w:szCs w:val="20"/>
        </w:rPr>
        <w:t xml:space="preserve"> Learning Objectives</w:t>
      </w:r>
      <w:r w:rsidR="591078A8" w:rsidRPr="73DA452B">
        <w:rPr>
          <w:rFonts w:ascii="Garamond" w:hAnsi="Garamond"/>
          <w:color w:val="000000" w:themeColor="text1"/>
          <w:sz w:val="20"/>
          <w:szCs w:val="20"/>
        </w:rPr>
        <w:t>;</w:t>
      </w:r>
      <w:r w:rsidR="000568FE" w:rsidRPr="00496CF8">
        <w:rPr>
          <w:rFonts w:ascii="Garamond" w:hAnsi="Garamond"/>
          <w:color w:val="000000" w:themeColor="text1"/>
          <w:sz w:val="20"/>
          <w:szCs w:val="20"/>
        </w:rPr>
        <w:t xml:space="preserve"> Program </w:t>
      </w:r>
      <w:proofErr w:type="gramStart"/>
      <w:r w:rsidR="000568FE" w:rsidRPr="00496CF8">
        <w:rPr>
          <w:rFonts w:ascii="Garamond" w:hAnsi="Garamond"/>
          <w:color w:val="000000" w:themeColor="text1"/>
          <w:sz w:val="20"/>
          <w:szCs w:val="20"/>
        </w:rPr>
        <w:t>assessment</w:t>
      </w:r>
      <w:r w:rsidR="020E9651" w:rsidRPr="73DA452B">
        <w:rPr>
          <w:rFonts w:ascii="Garamond" w:hAnsi="Garamond"/>
          <w:color w:val="000000" w:themeColor="text1"/>
          <w:sz w:val="20"/>
          <w:szCs w:val="20"/>
        </w:rPr>
        <w:t>;</w:t>
      </w:r>
      <w:proofErr w:type="gramEnd"/>
      <w:r w:rsidR="020E9651" w:rsidRPr="73DA452B">
        <w:rPr>
          <w:rFonts w:ascii="Garamond" w:hAnsi="Garamond"/>
          <w:color w:val="000000" w:themeColor="text1"/>
          <w:sz w:val="20"/>
          <w:szCs w:val="20"/>
        </w:rPr>
        <w:t xml:space="preserve"> </w:t>
      </w:r>
    </w:p>
    <w:p w14:paraId="501D2B56" w14:textId="77777777" w:rsidR="00F77CE1" w:rsidRPr="00496CF8" w:rsidRDefault="006F0E54" w:rsidP="006F0E54">
      <w:pPr>
        <w:rPr>
          <w:rFonts w:ascii="Garamond" w:hAnsi="Garamond"/>
          <w:b/>
          <w:bCs/>
          <w:color w:val="4C94D8" w:themeColor="text2" w:themeTint="80"/>
          <w:sz w:val="20"/>
          <w:szCs w:val="20"/>
        </w:rPr>
      </w:pPr>
      <w:r w:rsidRPr="00496CF8">
        <w:rPr>
          <w:rFonts w:ascii="Garamond" w:hAnsi="Garamond"/>
          <w:color w:val="000000" w:themeColor="text1"/>
          <w:sz w:val="20"/>
          <w:szCs w:val="20"/>
        </w:rPr>
        <w:br/>
      </w:r>
      <w:r w:rsidRPr="00496CF8">
        <w:rPr>
          <w:rFonts w:ascii="Garamond" w:hAnsi="Garamond"/>
          <w:b/>
          <w:bCs/>
          <w:color w:val="4C94D8" w:themeColor="text2" w:themeTint="80"/>
          <w:sz w:val="20"/>
          <w:szCs w:val="20"/>
        </w:rPr>
        <w:t>Introduction</w:t>
      </w:r>
    </w:p>
    <w:p w14:paraId="0E466056" w14:textId="1D7B11A1" w:rsidR="006F0E54" w:rsidRPr="00496CF8" w:rsidRDefault="706F3481" w:rsidP="6720167C">
      <w:pPr>
        <w:rPr>
          <w:rFonts w:ascii="Garamond" w:hAnsi="Garamond"/>
          <w:b/>
          <w:bCs/>
          <w:color w:val="000000" w:themeColor="text1"/>
          <w:sz w:val="20"/>
          <w:szCs w:val="20"/>
        </w:rPr>
      </w:pPr>
      <w:r w:rsidRPr="6720167C">
        <w:rPr>
          <w:rFonts w:ascii="Garamond" w:hAnsi="Garamond"/>
          <w:b/>
          <w:bCs/>
          <w:color w:val="000000" w:themeColor="text1"/>
          <w:sz w:val="20"/>
          <w:szCs w:val="20"/>
        </w:rPr>
        <w:t>Background/Rationale</w:t>
      </w:r>
    </w:p>
    <w:p w14:paraId="36B167AC" w14:textId="757C698E" w:rsidR="006F0E54" w:rsidRPr="00496CF8" w:rsidRDefault="006F0E54" w:rsidP="3414491E">
      <w:pPr>
        <w:rPr>
          <w:rFonts w:ascii="Garamond" w:hAnsi="Garamond"/>
          <w:color w:val="000000" w:themeColor="text1"/>
          <w:sz w:val="20"/>
          <w:szCs w:val="20"/>
        </w:rPr>
      </w:pPr>
      <w:r w:rsidRPr="6720167C">
        <w:rPr>
          <w:rFonts w:ascii="Garamond" w:hAnsi="Garamond"/>
          <w:color w:val="000000" w:themeColor="text1"/>
          <w:sz w:val="20"/>
          <w:szCs w:val="20"/>
        </w:rPr>
        <w:t>The dynamic field of Health Informatics (HI), which blends healthcare, information technology, and social sciences,</w:t>
      </w:r>
      <w:r w:rsidR="31E31EA0"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is rapidly expanding, with the intent to enhance patient outcomes and healthcare delivery [1]. To equip students to</w:t>
      </w:r>
      <w:r w:rsidR="706F3481">
        <w:br/>
      </w:r>
      <w:r w:rsidRPr="6720167C">
        <w:rPr>
          <w:rFonts w:ascii="Garamond" w:hAnsi="Garamond"/>
          <w:color w:val="000000" w:themeColor="text1"/>
          <w:sz w:val="20"/>
          <w:szCs w:val="20"/>
        </w:rPr>
        <w:lastRenderedPageBreak/>
        <w:t>confront multifaceted healthcare challenges using technology and data, graduate programs in HI are gaining momentum [2]. As with any graduate program, it is essential to evaluate the effectiveness of Health Informatics programs to</w:t>
      </w:r>
      <w:r w:rsidR="048A5C67"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ensure that it meets the needs of students and employers.</w:t>
      </w:r>
    </w:p>
    <w:p w14:paraId="0539104C" w14:textId="38BEC239" w:rsidR="006F0E54" w:rsidRPr="00496CF8" w:rsidRDefault="006F0E54" w:rsidP="6720167C">
      <w:pPr>
        <w:rPr>
          <w:rFonts w:ascii="Garamond" w:hAnsi="Garamond"/>
          <w:color w:val="000000" w:themeColor="text1"/>
          <w:sz w:val="20"/>
          <w:szCs w:val="20"/>
        </w:rPr>
      </w:pPr>
      <w:r>
        <w:br/>
      </w:r>
      <w:r w:rsidRPr="6720167C">
        <w:rPr>
          <w:rFonts w:ascii="Garamond" w:hAnsi="Garamond"/>
          <w:color w:val="000000" w:themeColor="text1"/>
          <w:sz w:val="20"/>
          <w:szCs w:val="20"/>
        </w:rPr>
        <w:t>Graduate programs play a pivotal role in higher education, offering specialized knowledge and skills to those seeking</w:t>
      </w:r>
      <w:r w:rsidR="66CD379B"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to advance their expertise. Program evaluation is not only crucial for satisfying student and stakeholder needs, but</w:t>
      </w:r>
      <w:r w:rsidR="002469A7"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also</w:t>
      </w:r>
      <w:r w:rsidR="6B919F83"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for highlighting potential areas for improvement [3]. Traditional evaluation methods primarily depend on</w:t>
      </w:r>
      <w:r w:rsidR="002469A7"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surveys,</w:t>
      </w:r>
      <w:r w:rsidR="6D1E38AD" w:rsidRPr="6720167C">
        <w:rPr>
          <w:rFonts w:ascii="Garamond" w:hAnsi="Garamond"/>
          <w:color w:val="000000" w:themeColor="text1"/>
          <w:sz w:val="20"/>
          <w:szCs w:val="20"/>
        </w:rPr>
        <w:t xml:space="preserve"> i</w:t>
      </w:r>
      <w:r w:rsidRPr="6720167C">
        <w:rPr>
          <w:rFonts w:ascii="Garamond" w:hAnsi="Garamond"/>
          <w:color w:val="000000" w:themeColor="text1"/>
          <w:sz w:val="20"/>
          <w:szCs w:val="20"/>
        </w:rPr>
        <w:t>nterviews, and other qualitative techniques. While these can yield significant insights, they can be time-consuming</w:t>
      </w:r>
      <w:r w:rsidR="4C2FF556"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and potentially fail to comprehend the full complexity of program outcomes. Data science approaches, such as machine</w:t>
      </w:r>
      <w:r w:rsidR="002469A7">
        <w:t xml:space="preserve"> </w:t>
      </w:r>
      <w:r w:rsidRPr="6720167C">
        <w:rPr>
          <w:rFonts w:ascii="Garamond" w:hAnsi="Garamond"/>
          <w:color w:val="000000" w:themeColor="text1"/>
          <w:sz w:val="20"/>
          <w:szCs w:val="20"/>
        </w:rPr>
        <w:t>learning and predictive analytics, have emerged as promising alternatives for program evaluation [4]. These approaches</w:t>
      </w:r>
      <w:r w:rsidR="002469A7">
        <w:t xml:space="preserve"> </w:t>
      </w:r>
      <w:r w:rsidRPr="6720167C">
        <w:rPr>
          <w:rFonts w:ascii="Garamond" w:hAnsi="Garamond"/>
          <w:color w:val="000000" w:themeColor="text1"/>
          <w:sz w:val="20"/>
          <w:szCs w:val="20"/>
        </w:rPr>
        <w:t>enable the analysis of large datasets to identify patterns and trends that may be difficult to detect using traditional</w:t>
      </w:r>
      <w:r w:rsidR="002469A7">
        <w:t xml:space="preserve"> </w:t>
      </w:r>
      <w:r w:rsidRPr="6720167C">
        <w:rPr>
          <w:rFonts w:ascii="Garamond" w:hAnsi="Garamond"/>
          <w:color w:val="000000" w:themeColor="text1"/>
          <w:sz w:val="20"/>
          <w:szCs w:val="20"/>
        </w:rPr>
        <w:t>methods. In recent years, data science approaches have emerged as a powerful tool for evaluating graduate programs</w:t>
      </w:r>
      <w:r w:rsidR="002469A7">
        <w:t xml:space="preserve"> </w:t>
      </w:r>
      <w:r w:rsidRPr="6720167C">
        <w:rPr>
          <w:rFonts w:ascii="Garamond" w:hAnsi="Garamond"/>
          <w:color w:val="000000" w:themeColor="text1"/>
          <w:sz w:val="20"/>
          <w:szCs w:val="20"/>
        </w:rPr>
        <w:t>[5]. By leveraging advanced analytical techniques and large datasets, data science approaches can provide insights</w:t>
      </w:r>
      <w:r w:rsidR="002469A7">
        <w:t xml:space="preserve"> </w:t>
      </w:r>
      <w:r w:rsidRPr="6720167C">
        <w:rPr>
          <w:rFonts w:ascii="Garamond" w:hAnsi="Garamond"/>
          <w:color w:val="000000" w:themeColor="text1"/>
          <w:sz w:val="20"/>
          <w:szCs w:val="20"/>
        </w:rPr>
        <w:t>into program effectiveness, student outcomes, and the impact of interventions [6].</w:t>
      </w:r>
      <w:r>
        <w:br/>
      </w:r>
    </w:p>
    <w:p w14:paraId="1D10C83D" w14:textId="699F58C1" w:rsidR="006F0E54" w:rsidRPr="00496CF8" w:rsidRDefault="59AD4792" w:rsidP="6720167C">
      <w:pPr>
        <w:rPr>
          <w:rFonts w:ascii="Garamond" w:hAnsi="Garamond"/>
          <w:b/>
          <w:bCs/>
          <w:color w:val="000000" w:themeColor="text1"/>
          <w:sz w:val="20"/>
          <w:szCs w:val="20"/>
        </w:rPr>
      </w:pPr>
      <w:r w:rsidRPr="6720167C">
        <w:rPr>
          <w:rFonts w:ascii="Garamond" w:hAnsi="Garamond"/>
          <w:b/>
          <w:bCs/>
          <w:color w:val="000000" w:themeColor="text1"/>
          <w:sz w:val="20"/>
          <w:szCs w:val="20"/>
        </w:rPr>
        <w:t>Objective</w:t>
      </w:r>
    </w:p>
    <w:p w14:paraId="48F4F714" w14:textId="50792C6B" w:rsidR="006F0E54" w:rsidRPr="00496CF8" w:rsidRDefault="006F0E54" w:rsidP="006F0E54">
      <w:pPr>
        <w:rPr>
          <w:rFonts w:ascii="Garamond" w:hAnsi="Garamond"/>
          <w:color w:val="000000" w:themeColor="text1"/>
          <w:sz w:val="20"/>
          <w:szCs w:val="20"/>
        </w:rPr>
      </w:pPr>
      <w:r w:rsidRPr="6720167C">
        <w:rPr>
          <w:rFonts w:ascii="Garamond" w:hAnsi="Garamond"/>
          <w:color w:val="000000" w:themeColor="text1"/>
          <w:sz w:val="20"/>
          <w:szCs w:val="20"/>
        </w:rPr>
        <w:t>This paper delivers the results of a study on the competencies of graduate Health Informatics students at Indiana</w:t>
      </w:r>
      <w:r>
        <w:br/>
      </w:r>
      <w:r w:rsidRPr="6720167C">
        <w:rPr>
          <w:rFonts w:ascii="Garamond" w:hAnsi="Garamond"/>
          <w:color w:val="000000" w:themeColor="text1"/>
          <w:sz w:val="20"/>
          <w:szCs w:val="20"/>
        </w:rPr>
        <w:t xml:space="preserve">University-Purdue University Indianapolis (IUPUI) Department of </w:t>
      </w:r>
      <w:proofErr w:type="spellStart"/>
      <w:r w:rsidRPr="6720167C">
        <w:rPr>
          <w:rFonts w:ascii="Garamond" w:hAnsi="Garamond"/>
          <w:color w:val="000000" w:themeColor="text1"/>
          <w:sz w:val="20"/>
          <w:szCs w:val="20"/>
        </w:rPr>
        <w:t>BioHealth</w:t>
      </w:r>
      <w:proofErr w:type="spellEnd"/>
      <w:r w:rsidRPr="6720167C">
        <w:rPr>
          <w:rFonts w:ascii="Garamond" w:hAnsi="Garamond"/>
          <w:color w:val="000000" w:themeColor="text1"/>
          <w:sz w:val="20"/>
          <w:szCs w:val="20"/>
        </w:rPr>
        <w:t xml:space="preserve"> Informatics, within the </w:t>
      </w:r>
      <w:proofErr w:type="spellStart"/>
      <w:r w:rsidRPr="6720167C">
        <w:rPr>
          <w:rFonts w:ascii="Garamond" w:hAnsi="Garamond"/>
          <w:color w:val="000000" w:themeColor="text1"/>
          <w:sz w:val="20"/>
          <w:szCs w:val="20"/>
        </w:rPr>
        <w:t>Luddy</w:t>
      </w:r>
      <w:proofErr w:type="spellEnd"/>
      <w:r w:rsidRPr="6720167C">
        <w:rPr>
          <w:rFonts w:ascii="Garamond" w:hAnsi="Garamond"/>
          <w:color w:val="000000" w:themeColor="text1"/>
          <w:sz w:val="20"/>
          <w:szCs w:val="20"/>
        </w:rPr>
        <w:t xml:space="preserve"> School</w:t>
      </w:r>
      <w:r w:rsidR="371E462F"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of Informatics, Computing, and Engineering. Our research focused on the correlation between course objectives and</w:t>
      </w:r>
      <w:r w:rsidR="002469A7">
        <w:t xml:space="preserve"> </w:t>
      </w:r>
      <w:r w:rsidRPr="6720167C">
        <w:rPr>
          <w:rFonts w:ascii="Garamond" w:hAnsi="Garamond"/>
          <w:color w:val="000000" w:themeColor="text1"/>
          <w:sz w:val="20"/>
          <w:szCs w:val="20"/>
        </w:rPr>
        <w:t>learning outcomes, using data from over 300 students from 2017-2021. The evaluation allowed us to measure the</w:t>
      </w:r>
      <w:r w:rsidR="002469A7">
        <w:t xml:space="preserve"> </w:t>
      </w:r>
      <w:r w:rsidRPr="6720167C">
        <w:rPr>
          <w:rFonts w:ascii="Garamond" w:hAnsi="Garamond"/>
          <w:color w:val="000000" w:themeColor="text1"/>
          <w:sz w:val="20"/>
          <w:szCs w:val="20"/>
        </w:rPr>
        <w:t>percentage of students who met the course learning objectives and detect areas of the program that need improvement.</w:t>
      </w:r>
      <w:r w:rsidR="002469A7">
        <w:t xml:space="preserve"> </w:t>
      </w:r>
      <w:r w:rsidRPr="6720167C">
        <w:rPr>
          <w:rFonts w:ascii="Garamond" w:hAnsi="Garamond"/>
          <w:color w:val="000000" w:themeColor="text1"/>
          <w:sz w:val="20"/>
          <w:szCs w:val="20"/>
        </w:rPr>
        <w:t>The findings suggest enhancing assessments, course learning outcomes, and pedagogy. The study highlights the</w:t>
      </w:r>
      <w:r w:rsidR="002469A7">
        <w:t xml:space="preserve"> </w:t>
      </w:r>
      <w:r w:rsidRPr="6720167C">
        <w:rPr>
          <w:rFonts w:ascii="Garamond" w:hAnsi="Garamond"/>
          <w:color w:val="000000" w:themeColor="text1"/>
          <w:sz w:val="20"/>
          <w:szCs w:val="20"/>
        </w:rPr>
        <w:t>importance of analyzing student competencies, aligning course objectives with assessments, and conducting regular</w:t>
      </w:r>
      <w:r w:rsidR="003F69DC" w:rsidRPr="6720167C">
        <w:rPr>
          <w:rFonts w:ascii="Garamond" w:hAnsi="Garamond"/>
          <w:color w:val="000000" w:themeColor="text1"/>
          <w:sz w:val="20"/>
          <w:szCs w:val="20"/>
        </w:rPr>
        <w:t xml:space="preserve"> program reviews.</w:t>
      </w:r>
    </w:p>
    <w:p w14:paraId="4ACF9B48" w14:textId="77777777" w:rsidR="00F77CE1" w:rsidRPr="00496CF8" w:rsidRDefault="00F77CE1" w:rsidP="006F0E54">
      <w:pPr>
        <w:rPr>
          <w:rFonts w:ascii="Garamond" w:hAnsi="Garamond"/>
          <w:color w:val="000000" w:themeColor="text1"/>
          <w:sz w:val="20"/>
          <w:szCs w:val="20"/>
        </w:rPr>
      </w:pPr>
    </w:p>
    <w:p w14:paraId="6CA16922" w14:textId="77777777" w:rsidR="00DE1490" w:rsidRPr="00496CF8" w:rsidRDefault="00DE1490" w:rsidP="00DE1490">
      <w:pPr>
        <w:rPr>
          <w:rFonts w:ascii="Garamond" w:hAnsi="Garamond"/>
          <w:color w:val="4C94D8" w:themeColor="text2" w:themeTint="80"/>
          <w:sz w:val="20"/>
          <w:szCs w:val="20"/>
        </w:rPr>
      </w:pPr>
      <w:r w:rsidRPr="00496CF8">
        <w:rPr>
          <w:rFonts w:ascii="Garamond" w:hAnsi="Garamond"/>
          <w:color w:val="4C94D8" w:themeColor="text2" w:themeTint="80"/>
          <w:sz w:val="20"/>
          <w:szCs w:val="20"/>
        </w:rPr>
        <w:t>Program description</w:t>
      </w:r>
    </w:p>
    <w:p w14:paraId="2B5716E1" w14:textId="39C6B07C" w:rsidR="00B83EF6" w:rsidRPr="00496CF8" w:rsidRDefault="00DE1490" w:rsidP="00DE1490">
      <w:pPr>
        <w:rPr>
          <w:rFonts w:ascii="Garamond" w:hAnsi="Garamond"/>
          <w:color w:val="000000" w:themeColor="text1"/>
          <w:sz w:val="20"/>
          <w:szCs w:val="20"/>
        </w:rPr>
      </w:pPr>
      <w:r>
        <w:br/>
      </w:r>
      <w:r w:rsidRPr="3414491E">
        <w:rPr>
          <w:rFonts w:ascii="Garamond" w:hAnsi="Garamond"/>
          <w:color w:val="000000" w:themeColor="text1"/>
          <w:sz w:val="20"/>
          <w:szCs w:val="20"/>
        </w:rPr>
        <w:t>The Master of Science in Health Informatics (MS in HI) at IUPUI is a comprehensive, 36-credit-hour program, providing multidisciplinary knowledge that impacts the health, safety, and efficiency of those involved in the healthcare</w:t>
      </w:r>
      <w:r w:rsidR="16F07950"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system. The MS in HI program and its preceding Bachelor of Science in Health Information Management (BS in HIM)</w:t>
      </w:r>
      <w:r w:rsidR="002469A7"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program are both accredited by CAHIIM. This distinct BS-MS-PhD pathway is one of only five such fully accredited</w:t>
      </w:r>
      <w:r w:rsidR="002469A7"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pathways nationwide. Alongside the Bachelor of Science in Biomedical Informatics program (with tracks in Health</w:t>
      </w:r>
      <w:r w:rsidR="002469A7"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Informatics and Bioinformatics), this pathway stands unique in the Midwest and across the United States.</w:t>
      </w:r>
      <w:r>
        <w:br/>
      </w:r>
      <w:r w:rsidRPr="3414491E">
        <w:rPr>
          <w:rFonts w:ascii="Garamond" w:hAnsi="Garamond"/>
          <w:color w:val="000000" w:themeColor="text1"/>
          <w:sz w:val="20"/>
          <w:szCs w:val="20"/>
        </w:rPr>
        <w:t>Our graduates are at the forefront of medical technology, driving the creation of electronic health records and</w:t>
      </w:r>
      <w:r w:rsidR="002469A7"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clinical</w:t>
      </w:r>
      <w:r w:rsidR="002469A7"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information systems, safeguarding the privacy and security of health data, and supporting clinical teams in harnessing</w:t>
      </w:r>
      <w:r w:rsidR="002469A7"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digital devices and emerging technologies to reach more patients. They are actively involved in diverse projects across</w:t>
      </w:r>
      <w:r w:rsidR="002469A7"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hospitals, doctors’ offices, insurance companies, government agencies, and health IT software companies. As the</w:t>
      </w:r>
      <w:r w:rsidR="002469A7"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adoption of Electronic Health Records (EHRs) has escalated, and healthcare provider reimbursement is increasingly</w:t>
      </w:r>
      <w:r w:rsidR="002469A7"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tied to the demonstrable quality of care, the demand for our graduates has seen a notable surge in recent years.</w:t>
      </w:r>
      <w:r>
        <w:br/>
      </w:r>
      <w:r w:rsidRPr="3414491E">
        <w:rPr>
          <w:rFonts w:ascii="Garamond" w:hAnsi="Garamond"/>
          <w:color w:val="000000" w:themeColor="text1"/>
          <w:sz w:val="20"/>
          <w:szCs w:val="20"/>
        </w:rPr>
        <w:t>The MS in HI program offers both fully online and on-campus delivery formats. The program includes two accelerated</w:t>
      </w:r>
      <w:r w:rsidR="002469A7"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degree pathways, one from the BS in Health Information Management (4+1 degree), and another from BS degrees in</w:t>
      </w:r>
      <w:r w:rsidR="002469A7"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Biology, Public Health, or Health &amp; Human Sciences.</w:t>
      </w:r>
    </w:p>
    <w:p w14:paraId="44F6C846" w14:textId="77777777" w:rsidR="00B83EF6" w:rsidRPr="00496CF8" w:rsidRDefault="00DE1490" w:rsidP="00DE1490">
      <w:pPr>
        <w:rPr>
          <w:rFonts w:ascii="Garamond" w:hAnsi="Garamond"/>
          <w:color w:val="000000" w:themeColor="text1"/>
          <w:sz w:val="20"/>
          <w:szCs w:val="20"/>
        </w:rPr>
      </w:pPr>
      <w:r w:rsidRPr="00496CF8">
        <w:rPr>
          <w:rFonts w:ascii="Garamond" w:hAnsi="Garamond"/>
          <w:color w:val="000000" w:themeColor="text1"/>
          <w:sz w:val="20"/>
          <w:szCs w:val="20"/>
        </w:rPr>
        <w:t xml:space="preserve"> The program further encompasses five graduate certificate</w:t>
      </w:r>
      <w:r w:rsidR="00B83EF6"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programs:</w:t>
      </w:r>
      <w:r w:rsidRPr="00496CF8">
        <w:rPr>
          <w:rFonts w:ascii="Garamond" w:hAnsi="Garamond"/>
          <w:color w:val="000000" w:themeColor="text1"/>
          <w:sz w:val="20"/>
          <w:szCs w:val="20"/>
        </w:rPr>
        <w:br/>
        <w:t>1. Clinical Informatics.</w:t>
      </w:r>
      <w:r w:rsidRPr="00496CF8">
        <w:rPr>
          <w:rFonts w:ascii="Garamond" w:hAnsi="Garamond"/>
          <w:color w:val="000000" w:themeColor="text1"/>
          <w:sz w:val="20"/>
          <w:szCs w:val="20"/>
        </w:rPr>
        <w:br/>
        <w:t>2. Public Health.</w:t>
      </w:r>
      <w:r w:rsidRPr="00496CF8">
        <w:rPr>
          <w:rFonts w:ascii="Garamond" w:hAnsi="Garamond"/>
          <w:color w:val="000000" w:themeColor="text1"/>
          <w:sz w:val="20"/>
          <w:szCs w:val="20"/>
        </w:rPr>
        <w:br/>
        <w:t>3. Health Information Management and Exchange.</w:t>
      </w:r>
      <w:r w:rsidRPr="00496CF8">
        <w:rPr>
          <w:rFonts w:ascii="Garamond" w:hAnsi="Garamond"/>
          <w:color w:val="000000" w:themeColor="text1"/>
          <w:sz w:val="20"/>
          <w:szCs w:val="20"/>
        </w:rPr>
        <w:br/>
      </w:r>
      <w:r w:rsidRPr="00496CF8">
        <w:rPr>
          <w:rFonts w:ascii="Garamond" w:hAnsi="Garamond"/>
          <w:color w:val="000000" w:themeColor="text1"/>
          <w:sz w:val="20"/>
          <w:szCs w:val="20"/>
        </w:rPr>
        <w:lastRenderedPageBreak/>
        <w:t>4. Health Information Security.</w:t>
      </w:r>
      <w:r w:rsidRPr="00496CF8">
        <w:rPr>
          <w:rFonts w:ascii="Garamond" w:hAnsi="Garamond"/>
          <w:color w:val="000000" w:themeColor="text1"/>
          <w:sz w:val="20"/>
          <w:szCs w:val="20"/>
        </w:rPr>
        <w:br/>
        <w:t>5. Health Information Systems Architecture.</w:t>
      </w:r>
    </w:p>
    <w:p w14:paraId="79F4FF94" w14:textId="77777777" w:rsidR="00B83EF6" w:rsidRPr="00496CF8" w:rsidRDefault="00B83EF6" w:rsidP="00DE1490">
      <w:pPr>
        <w:rPr>
          <w:rFonts w:ascii="Garamond" w:hAnsi="Garamond"/>
          <w:color w:val="000000" w:themeColor="text1"/>
          <w:sz w:val="20"/>
          <w:szCs w:val="20"/>
        </w:rPr>
      </w:pPr>
    </w:p>
    <w:p w14:paraId="18086D97" w14:textId="77777777" w:rsidR="00B83EF6" w:rsidRPr="00496CF8" w:rsidRDefault="00DE1490" w:rsidP="00DE1490">
      <w:pPr>
        <w:rPr>
          <w:rFonts w:ascii="Garamond" w:hAnsi="Garamond"/>
          <w:color w:val="000000" w:themeColor="text1"/>
          <w:sz w:val="20"/>
          <w:szCs w:val="20"/>
        </w:rPr>
      </w:pPr>
      <w:r w:rsidRPr="00496CF8">
        <w:rPr>
          <w:rFonts w:ascii="Garamond" w:hAnsi="Garamond"/>
          <w:color w:val="000000" w:themeColor="text1"/>
          <w:sz w:val="20"/>
          <w:szCs w:val="20"/>
        </w:rPr>
        <w:br/>
      </w:r>
      <w:r w:rsidRPr="00496CF8">
        <w:rPr>
          <w:rFonts w:ascii="Garamond" w:hAnsi="Garamond"/>
          <w:color w:val="4C94D8" w:themeColor="text2" w:themeTint="80"/>
          <w:sz w:val="20"/>
          <w:szCs w:val="20"/>
        </w:rPr>
        <w:t>Program structure</w:t>
      </w:r>
      <w:r w:rsidR="00B83EF6" w:rsidRPr="00496CF8">
        <w:rPr>
          <w:rFonts w:ascii="Garamond" w:hAnsi="Garamond"/>
          <w:color w:val="4C94D8" w:themeColor="text2" w:themeTint="80"/>
          <w:sz w:val="20"/>
          <w:szCs w:val="20"/>
        </w:rPr>
        <w:t>:</w:t>
      </w:r>
    </w:p>
    <w:p w14:paraId="43531D2B" w14:textId="469541BC" w:rsidR="00005490" w:rsidRDefault="00DE1490" w:rsidP="00DE1490">
      <w:pPr>
        <w:rPr>
          <w:rFonts w:ascii="Garamond" w:hAnsi="Garamond"/>
          <w:color w:val="000000" w:themeColor="text1"/>
          <w:sz w:val="20"/>
          <w:szCs w:val="20"/>
        </w:rPr>
      </w:pPr>
      <w:r>
        <w:br/>
      </w:r>
      <w:r w:rsidRPr="3414491E">
        <w:rPr>
          <w:rFonts w:ascii="Garamond" w:hAnsi="Garamond"/>
          <w:color w:val="000000" w:themeColor="text1"/>
          <w:sz w:val="20"/>
          <w:szCs w:val="20"/>
        </w:rPr>
        <w:t>The 36-credit hours are split into 12 courses of 3 credit hours with at least 1 core and 2 electives that can be taken as</w:t>
      </w:r>
      <w:r w:rsidR="6CCA29CE"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variable credits ranging from 1-3 in a semester. 7 core courses cover a broad range of competencies, and the analysi</w:t>
      </w:r>
      <w:r w:rsidR="74509A51" w:rsidRPr="3414491E">
        <w:rPr>
          <w:rFonts w:ascii="Garamond" w:hAnsi="Garamond"/>
          <w:color w:val="000000" w:themeColor="text1"/>
          <w:sz w:val="20"/>
          <w:szCs w:val="20"/>
        </w:rPr>
        <w:t xml:space="preserve">s </w:t>
      </w:r>
      <w:r w:rsidRPr="3414491E">
        <w:rPr>
          <w:rFonts w:ascii="Garamond" w:hAnsi="Garamond"/>
          <w:color w:val="000000" w:themeColor="text1"/>
          <w:sz w:val="20"/>
          <w:szCs w:val="20"/>
        </w:rPr>
        <w:t xml:space="preserve">presented in the paper is on these courses. </w:t>
      </w:r>
    </w:p>
    <w:p w14:paraId="4B778666" w14:textId="38201F07" w:rsidR="00DE1490" w:rsidRPr="00496CF8" w:rsidRDefault="00DE1490" w:rsidP="00DE1490">
      <w:pPr>
        <w:rPr>
          <w:rFonts w:ascii="Garamond" w:hAnsi="Garamond"/>
          <w:color w:val="000000" w:themeColor="text1"/>
          <w:sz w:val="20"/>
          <w:szCs w:val="20"/>
        </w:rPr>
      </w:pPr>
      <w:r w:rsidRPr="00496CF8">
        <w:rPr>
          <w:rFonts w:ascii="Garamond" w:hAnsi="Garamond"/>
          <w:color w:val="000000" w:themeColor="text1"/>
          <w:sz w:val="20"/>
          <w:szCs w:val="20"/>
        </w:rPr>
        <w:br/>
        <w:t>• INFO-I 501: Includes analyzing research and data, designing efficient programs, investigating questions, and</w:t>
      </w:r>
      <w:r w:rsidRPr="00496CF8">
        <w:rPr>
          <w:rFonts w:ascii="Garamond" w:hAnsi="Garamond"/>
          <w:color w:val="000000" w:themeColor="text1"/>
          <w:sz w:val="20"/>
          <w:szCs w:val="20"/>
        </w:rPr>
        <w:br/>
        <w:t>employing machine learning techniques.</w:t>
      </w:r>
      <w:r w:rsidRPr="00496CF8">
        <w:rPr>
          <w:rFonts w:ascii="Garamond" w:hAnsi="Garamond"/>
          <w:color w:val="000000" w:themeColor="text1"/>
          <w:sz w:val="20"/>
          <w:szCs w:val="20"/>
        </w:rPr>
        <w:br/>
        <w:t>• INFO-B 505: Teaches project management for computer-based knowledge-work projects, covering terminology,</w:t>
      </w:r>
      <w:r w:rsidRPr="00496CF8">
        <w:rPr>
          <w:rFonts w:ascii="Garamond" w:hAnsi="Garamond"/>
          <w:color w:val="000000" w:themeColor="text1"/>
          <w:sz w:val="20"/>
          <w:szCs w:val="20"/>
        </w:rPr>
        <w:br/>
        <w:t>techniques, and technologies. It emphasizes productive team dynamics and optional professional certification.</w:t>
      </w:r>
      <w:r w:rsidRPr="00496CF8">
        <w:rPr>
          <w:rFonts w:ascii="Garamond" w:hAnsi="Garamond"/>
          <w:color w:val="000000" w:themeColor="text1"/>
          <w:sz w:val="20"/>
          <w:szCs w:val="20"/>
        </w:rPr>
        <w:br/>
        <w:t>• INFO-B 518: Teaches students to analyze biomedical data, using statistical methods to solve cutting-edge prob-</w:t>
      </w:r>
      <w:r w:rsidRPr="00496CF8">
        <w:rPr>
          <w:rFonts w:ascii="Garamond" w:hAnsi="Garamond"/>
          <w:color w:val="000000" w:themeColor="text1"/>
          <w:sz w:val="20"/>
          <w:szCs w:val="20"/>
        </w:rPr>
        <w:br/>
      </w:r>
      <w:proofErr w:type="spellStart"/>
      <w:r w:rsidRPr="00496CF8">
        <w:rPr>
          <w:rFonts w:ascii="Garamond" w:hAnsi="Garamond"/>
          <w:color w:val="000000" w:themeColor="text1"/>
          <w:sz w:val="20"/>
          <w:szCs w:val="20"/>
        </w:rPr>
        <w:t>lems</w:t>
      </w:r>
      <w:proofErr w:type="spellEnd"/>
      <w:r w:rsidRPr="00496CF8">
        <w:rPr>
          <w:rFonts w:ascii="Garamond" w:hAnsi="Garamond"/>
          <w:color w:val="000000" w:themeColor="text1"/>
          <w:sz w:val="20"/>
          <w:szCs w:val="20"/>
        </w:rPr>
        <w:t xml:space="preserve"> in genomics, proteomics, and health data.</w:t>
      </w:r>
      <w:r w:rsidRPr="00496CF8">
        <w:rPr>
          <w:rFonts w:ascii="Garamond" w:hAnsi="Garamond"/>
          <w:color w:val="000000" w:themeColor="text1"/>
          <w:sz w:val="20"/>
          <w:szCs w:val="20"/>
        </w:rPr>
        <w:br/>
        <w:t>• INFO-B 530: Covers Health Informatics fundamentals and how computer technology enhances healthcare</w:t>
      </w:r>
      <w:r w:rsidRPr="00496CF8">
        <w:rPr>
          <w:rFonts w:ascii="Garamond" w:hAnsi="Garamond"/>
          <w:color w:val="000000" w:themeColor="text1"/>
          <w:sz w:val="20"/>
          <w:szCs w:val="20"/>
        </w:rPr>
        <w:br/>
        <w:t>research and practice. It explores informatics principles for communication systems, clinical decisions, and</w:t>
      </w:r>
      <w:r w:rsidRPr="00496CF8">
        <w:rPr>
          <w:rFonts w:ascii="Garamond" w:hAnsi="Garamond"/>
          <w:color w:val="000000" w:themeColor="text1"/>
          <w:sz w:val="20"/>
          <w:szCs w:val="20"/>
        </w:rPr>
        <w:br/>
        <w:t>evidence-based medicine.</w:t>
      </w:r>
    </w:p>
    <w:p w14:paraId="3910C8F2" w14:textId="77777777" w:rsidR="001943E5" w:rsidRPr="00496CF8" w:rsidRDefault="001943E5" w:rsidP="00DE1490">
      <w:pPr>
        <w:rPr>
          <w:rFonts w:ascii="Garamond" w:hAnsi="Garamond"/>
          <w:color w:val="000000" w:themeColor="text1"/>
          <w:sz w:val="20"/>
          <w:szCs w:val="20"/>
        </w:rPr>
      </w:pPr>
    </w:p>
    <w:p w14:paraId="2EC87E6F" w14:textId="33F6A4CC" w:rsidR="001943E5" w:rsidRPr="00496CF8" w:rsidRDefault="00AF7EFE" w:rsidP="00DE1490">
      <w:pPr>
        <w:rPr>
          <w:rFonts w:ascii="Garamond" w:hAnsi="Garamond"/>
          <w:color w:val="000000" w:themeColor="text1"/>
          <w:sz w:val="20"/>
          <w:szCs w:val="20"/>
        </w:rPr>
      </w:pPr>
      <w:r w:rsidRPr="00496CF8">
        <w:rPr>
          <w:rFonts w:ascii="Garamond" w:hAnsi="Garamond"/>
          <w:noProof/>
          <w:color w:val="000000" w:themeColor="text1"/>
          <w:sz w:val="20"/>
          <w:szCs w:val="20"/>
        </w:rPr>
        <w:drawing>
          <wp:inline distT="0" distB="0" distL="0" distR="0" wp14:anchorId="181CFF80" wp14:editId="6734A9F6">
            <wp:extent cx="5943600" cy="3338195"/>
            <wp:effectExtent l="0" t="0" r="0" b="1905"/>
            <wp:docPr id="569257014" name="Picture 1" descr="A table of research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57014" name="Picture 1" descr="A table of research pap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14:paraId="436BE26D" w14:textId="77973A36" w:rsidR="00DE1490" w:rsidRPr="00496CF8" w:rsidRDefault="001C6B2F" w:rsidP="00DE1490">
      <w:pPr>
        <w:rPr>
          <w:rFonts w:ascii="Garamond" w:hAnsi="Garamond"/>
          <w:color w:val="000000" w:themeColor="text1"/>
          <w:sz w:val="20"/>
          <w:szCs w:val="20"/>
        </w:rPr>
      </w:pPr>
      <w:r w:rsidRPr="00496CF8">
        <w:rPr>
          <w:rFonts w:ascii="Garamond" w:hAnsi="Garamond"/>
          <w:color w:val="000000" w:themeColor="text1"/>
          <w:sz w:val="20"/>
          <w:szCs w:val="20"/>
        </w:rPr>
        <w:t>• INFO-B 535: Covers human-computer interface, health care decision support, system selection, project management, system evaluation, regulatory policies, economic impacts, and future trends.</w:t>
      </w:r>
      <w:r w:rsidRPr="00496CF8">
        <w:rPr>
          <w:rFonts w:ascii="Garamond" w:hAnsi="Garamond"/>
          <w:color w:val="000000" w:themeColor="text1"/>
          <w:sz w:val="20"/>
          <w:szCs w:val="20"/>
        </w:rPr>
        <w:br/>
        <w:t>• INFO-B 581: Helps students explore the design process of data standards, including domain analysis, medical</w:t>
      </w:r>
      <w:r w:rsidRPr="00496CF8">
        <w:rPr>
          <w:rFonts w:ascii="Garamond" w:hAnsi="Garamond"/>
          <w:color w:val="000000" w:themeColor="text1"/>
          <w:sz w:val="20"/>
          <w:szCs w:val="20"/>
        </w:rPr>
        <w:br/>
        <w:t>terminology, conceptualization, modeling, and common methods and tools.</w:t>
      </w:r>
      <w:r w:rsidRPr="00496CF8">
        <w:rPr>
          <w:rFonts w:ascii="Garamond" w:hAnsi="Garamond"/>
          <w:color w:val="000000" w:themeColor="text1"/>
          <w:sz w:val="20"/>
          <w:szCs w:val="20"/>
        </w:rPr>
        <w:br/>
        <w:t>• INFO-B 642: Covers design principles, math foundations, clinical vocabularies, legal/ethical issues, patient-</w:t>
      </w:r>
      <w:r w:rsidRPr="00496CF8">
        <w:rPr>
          <w:rFonts w:ascii="Garamond" w:hAnsi="Garamond"/>
          <w:color w:val="000000" w:themeColor="text1"/>
          <w:sz w:val="20"/>
          <w:szCs w:val="20"/>
        </w:rPr>
        <w:br/>
        <w:t>centered clinical decision support systems, and applications in clinical practice.</w:t>
      </w:r>
    </w:p>
    <w:p w14:paraId="5645F3E0" w14:textId="77777777" w:rsidR="00627D5D" w:rsidRPr="00496CF8" w:rsidRDefault="00627D5D" w:rsidP="00627D5D">
      <w:pPr>
        <w:rPr>
          <w:rFonts w:ascii="Garamond" w:hAnsi="Garamond"/>
          <w:color w:val="4C94D8" w:themeColor="text2" w:themeTint="80"/>
          <w:sz w:val="20"/>
          <w:szCs w:val="20"/>
        </w:rPr>
      </w:pPr>
      <w:r w:rsidRPr="00496CF8">
        <w:rPr>
          <w:rFonts w:ascii="Garamond" w:hAnsi="Garamond"/>
          <w:color w:val="4C94D8" w:themeColor="text2" w:themeTint="80"/>
          <w:sz w:val="20"/>
          <w:szCs w:val="20"/>
        </w:rPr>
        <w:t>Program characteristics</w:t>
      </w:r>
    </w:p>
    <w:p w14:paraId="66471C13" w14:textId="5F7D520D" w:rsidR="00627D5D" w:rsidRPr="00496CF8" w:rsidRDefault="00627D5D" w:rsidP="00627D5D">
      <w:pPr>
        <w:rPr>
          <w:rFonts w:ascii="Garamond" w:hAnsi="Garamond"/>
          <w:color w:val="000000" w:themeColor="text1"/>
          <w:sz w:val="20"/>
          <w:szCs w:val="20"/>
        </w:rPr>
      </w:pPr>
      <w:r w:rsidRPr="00496CF8">
        <w:rPr>
          <w:rFonts w:ascii="Garamond" w:hAnsi="Garamond"/>
          <w:color w:val="000000" w:themeColor="text1"/>
          <w:sz w:val="20"/>
          <w:szCs w:val="20"/>
        </w:rPr>
        <w:lastRenderedPageBreak/>
        <w:t>The MS in Health Informatics program has grown tremendously in the last 10 years. As seen in Figure 1a, the</w:t>
      </w:r>
      <w:r w:rsidR="00005490">
        <w:rPr>
          <w:rFonts w:ascii="Garamond" w:hAnsi="Garamond"/>
          <w:color w:val="000000" w:themeColor="text1"/>
          <w:sz w:val="20"/>
          <w:szCs w:val="20"/>
        </w:rPr>
        <w:t xml:space="preserve"> </w:t>
      </w:r>
      <w:r w:rsidRPr="00496CF8">
        <w:rPr>
          <w:rFonts w:ascii="Garamond" w:hAnsi="Garamond"/>
          <w:color w:val="000000" w:themeColor="text1"/>
          <w:sz w:val="20"/>
          <w:szCs w:val="20"/>
        </w:rPr>
        <w:t>program</w:t>
      </w:r>
      <w:r w:rsidR="00005490">
        <w:rPr>
          <w:rFonts w:ascii="Garamond" w:hAnsi="Garamond"/>
          <w:color w:val="000000" w:themeColor="text1"/>
          <w:sz w:val="20"/>
          <w:szCs w:val="20"/>
        </w:rPr>
        <w:t xml:space="preserve"> </w:t>
      </w:r>
      <w:r w:rsidRPr="00496CF8">
        <w:rPr>
          <w:rFonts w:ascii="Garamond" w:hAnsi="Garamond"/>
          <w:color w:val="000000" w:themeColor="text1"/>
          <w:sz w:val="20"/>
          <w:szCs w:val="20"/>
        </w:rPr>
        <w:t>had steady growth until 2018 and showed rapid growth in the last 3 years. From equal gender distribution, now the</w:t>
      </w:r>
      <w:r w:rsidR="00005490">
        <w:rPr>
          <w:rFonts w:ascii="Garamond" w:hAnsi="Garamond"/>
          <w:color w:val="000000" w:themeColor="text1"/>
          <w:sz w:val="20"/>
          <w:szCs w:val="20"/>
        </w:rPr>
        <w:t xml:space="preserve"> </w:t>
      </w:r>
      <w:r w:rsidRPr="00496CF8">
        <w:rPr>
          <w:rFonts w:ascii="Garamond" w:hAnsi="Garamond"/>
          <w:color w:val="000000" w:themeColor="text1"/>
          <w:sz w:val="20"/>
          <w:szCs w:val="20"/>
        </w:rPr>
        <w:t xml:space="preserve">program has more than double the number of female students compared to male students. This is </w:t>
      </w:r>
      <w:proofErr w:type="gramStart"/>
      <w:r w:rsidRPr="00496CF8">
        <w:rPr>
          <w:rFonts w:ascii="Garamond" w:hAnsi="Garamond"/>
          <w:color w:val="000000" w:themeColor="text1"/>
          <w:sz w:val="20"/>
          <w:szCs w:val="20"/>
        </w:rPr>
        <w:t>similar to</w:t>
      </w:r>
      <w:proofErr w:type="gramEnd"/>
      <w:r w:rsidRPr="00496CF8">
        <w:rPr>
          <w:rFonts w:ascii="Garamond" w:hAnsi="Garamond"/>
          <w:color w:val="000000" w:themeColor="text1"/>
          <w:sz w:val="20"/>
          <w:szCs w:val="20"/>
        </w:rPr>
        <w:t xml:space="preserve"> the trend</w:t>
      </w:r>
      <w:r w:rsidR="00005490">
        <w:rPr>
          <w:rFonts w:ascii="Garamond" w:hAnsi="Garamond"/>
          <w:color w:val="000000" w:themeColor="text1"/>
          <w:sz w:val="20"/>
          <w:szCs w:val="20"/>
        </w:rPr>
        <w:t xml:space="preserve"> </w:t>
      </w:r>
      <w:r w:rsidRPr="00496CF8">
        <w:rPr>
          <w:rFonts w:ascii="Garamond" w:hAnsi="Garamond"/>
          <w:color w:val="000000" w:themeColor="text1"/>
          <w:sz w:val="20"/>
          <w:szCs w:val="20"/>
        </w:rPr>
        <w:t>seen in other HI graduate programs in the US, but the ratio 2:1 female-male ratio is not as skewed in other programs.</w:t>
      </w:r>
    </w:p>
    <w:p w14:paraId="26E9B257" w14:textId="3577E5D6" w:rsidR="00627D5D" w:rsidRPr="00496CF8" w:rsidRDefault="00627D5D" w:rsidP="00627D5D">
      <w:pPr>
        <w:rPr>
          <w:rFonts w:ascii="Garamond" w:hAnsi="Garamond"/>
          <w:color w:val="000000" w:themeColor="text1"/>
          <w:sz w:val="20"/>
          <w:szCs w:val="20"/>
        </w:rPr>
      </w:pPr>
      <w:r w:rsidRPr="3414491E">
        <w:rPr>
          <w:rFonts w:ascii="Garamond" w:hAnsi="Garamond"/>
          <w:color w:val="000000" w:themeColor="text1"/>
          <w:sz w:val="20"/>
          <w:szCs w:val="20"/>
        </w:rPr>
        <w:t>Figure 1b shows the race/ethnicity distribution of the student body. The racial and ethnic distribution of the program</w:t>
      </w:r>
      <w:r w:rsidR="00005490"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is also uncommon among many other HI graduate programs in the nation. While a large percentage of international</w:t>
      </w:r>
      <w:r w:rsidR="00005490"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 xml:space="preserve">students is common in many programs, until 2018, the program had a </w:t>
      </w:r>
      <w:proofErr w:type="gramStart"/>
      <w:r w:rsidRPr="3414491E">
        <w:rPr>
          <w:rFonts w:ascii="Garamond" w:hAnsi="Garamond"/>
          <w:color w:val="000000" w:themeColor="text1"/>
          <w:sz w:val="20"/>
          <w:szCs w:val="20"/>
        </w:rPr>
        <w:t>fairly large</w:t>
      </w:r>
      <w:proofErr w:type="gramEnd"/>
      <w:r w:rsidRPr="3414491E">
        <w:rPr>
          <w:rFonts w:ascii="Garamond" w:hAnsi="Garamond"/>
          <w:color w:val="000000" w:themeColor="text1"/>
          <w:sz w:val="20"/>
          <w:szCs w:val="20"/>
        </w:rPr>
        <w:t xml:space="preserve"> White and</w:t>
      </w:r>
      <w:r w:rsidR="16F30ABD"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Hispani</w:t>
      </w:r>
      <w:r w:rsidR="00005490" w:rsidRPr="3414491E">
        <w:rPr>
          <w:rFonts w:ascii="Garamond" w:hAnsi="Garamond"/>
          <w:color w:val="000000" w:themeColor="text1"/>
          <w:sz w:val="20"/>
          <w:szCs w:val="20"/>
        </w:rPr>
        <w:t>c</w:t>
      </w:r>
      <w:r w:rsidRPr="3414491E">
        <w:rPr>
          <w:rFonts w:ascii="Garamond" w:hAnsi="Garamond"/>
          <w:color w:val="000000" w:themeColor="text1"/>
          <w:sz w:val="20"/>
          <w:szCs w:val="20"/>
        </w:rPr>
        <w:t>/Latino student</w:t>
      </w:r>
      <w:r w:rsidR="00005490"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body. Due to the large international student interest in the last 3 years, the ratio of White and Hispanic/Latino students</w:t>
      </w:r>
      <w:r w:rsidR="00005490"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has rapidly decreased. Like the Health Informatics discipline, our program struggled to attract African American</w:t>
      </w:r>
      <w:r w:rsidR="00005490"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students. Hopefully, with concerted DEI efforts, more African American students will join our program.</w:t>
      </w:r>
    </w:p>
    <w:p w14:paraId="6E6B6C2C" w14:textId="77777777" w:rsidR="00627D5D" w:rsidRPr="00496CF8" w:rsidRDefault="00627D5D" w:rsidP="00627D5D">
      <w:pPr>
        <w:rPr>
          <w:rFonts w:ascii="Garamond" w:hAnsi="Garamond"/>
          <w:color w:val="4C94D8" w:themeColor="text2" w:themeTint="80"/>
          <w:sz w:val="20"/>
          <w:szCs w:val="20"/>
        </w:rPr>
      </w:pPr>
      <w:r w:rsidRPr="00496CF8">
        <w:rPr>
          <w:rFonts w:ascii="Garamond" w:hAnsi="Garamond"/>
          <w:color w:val="4C94D8" w:themeColor="text2" w:themeTint="80"/>
          <w:sz w:val="20"/>
          <w:szCs w:val="20"/>
        </w:rPr>
        <w:t>Curricular philosophy</w:t>
      </w:r>
    </w:p>
    <w:p w14:paraId="5AE924E4" w14:textId="4A7E6260" w:rsidR="00CC3D44" w:rsidRDefault="00627D5D" w:rsidP="00CC3D44">
      <w:pPr>
        <w:rPr>
          <w:rFonts w:ascii="Garamond" w:hAnsi="Garamond"/>
          <w:color w:val="000000" w:themeColor="text1"/>
          <w:sz w:val="20"/>
          <w:szCs w:val="20"/>
        </w:rPr>
      </w:pPr>
      <w:r w:rsidRPr="3414491E">
        <w:rPr>
          <w:rFonts w:ascii="Garamond" w:hAnsi="Garamond"/>
          <w:color w:val="000000" w:themeColor="text1"/>
          <w:sz w:val="20"/>
          <w:szCs w:val="20"/>
        </w:rPr>
        <w:t>Our curriculum is closely aligned with the HI discipline curriculum requirements defined by the CAHIIM</w:t>
      </w:r>
      <w:r w:rsidR="00005490"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accreditation</w:t>
      </w:r>
      <w:r w:rsidR="00444434"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requirements. We have undergone a curricular review for the accreditation, which has helped align our program</w:t>
      </w:r>
      <w:r w:rsidR="00444434"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outcomes with the CAHIIM/AMIA accepted HI core competencies. The curricular design philosophy for health</w:t>
      </w:r>
      <w:r w:rsidR="00444434"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informatics competencies recognizes that healthcare is becoming increasingly data-</w:t>
      </w:r>
      <w:r w:rsidR="00755490" w:rsidRPr="3414491E">
        <w:rPr>
          <w:rFonts w:ascii="Garamond" w:hAnsi="Garamond"/>
          <w:color w:val="000000" w:themeColor="text1"/>
          <w:sz w:val="20"/>
          <w:szCs w:val="20"/>
        </w:rPr>
        <w:t>driven,</w:t>
      </w:r>
      <w:r w:rsidRPr="3414491E">
        <w:rPr>
          <w:rFonts w:ascii="Garamond" w:hAnsi="Garamond"/>
          <w:color w:val="000000" w:themeColor="text1"/>
          <w:sz w:val="20"/>
          <w:szCs w:val="20"/>
        </w:rPr>
        <w:t xml:space="preserve"> and that health informatics</w:t>
      </w:r>
      <w:r w:rsidR="00444434"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plays a critical role in leveraging data to improve patient outcomes and healthcare delivery. The</w:t>
      </w:r>
      <w:r w:rsidR="48FA248F"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philosophy aims to</w:t>
      </w:r>
      <w:r w:rsidR="00CC3D44" w:rsidRPr="3414491E">
        <w:rPr>
          <w:rFonts w:ascii="Garamond" w:hAnsi="Garamond"/>
          <w:color w:val="000000" w:themeColor="text1"/>
          <w:sz w:val="20"/>
          <w:szCs w:val="20"/>
        </w:rPr>
        <w:t xml:space="preserve"> equip students with the knowledge, skills, and competencies necessary to effectively manage and analyze health data,</w:t>
      </w:r>
      <w:r w:rsidR="00755490" w:rsidRPr="3414491E">
        <w:rPr>
          <w:rFonts w:ascii="Garamond" w:hAnsi="Garamond"/>
        </w:rPr>
        <w:t xml:space="preserve"> </w:t>
      </w:r>
      <w:r w:rsidR="00CC3D44" w:rsidRPr="3414491E">
        <w:rPr>
          <w:rFonts w:ascii="Garamond" w:hAnsi="Garamond"/>
          <w:color w:val="000000" w:themeColor="text1"/>
          <w:sz w:val="20"/>
          <w:szCs w:val="20"/>
        </w:rPr>
        <w:t>design and implement health information systems and use technology to improve clinical decision-making and patient</w:t>
      </w:r>
      <w:r w:rsidR="00CC3D44" w:rsidRPr="3414491E">
        <w:rPr>
          <w:rFonts w:ascii="Garamond" w:hAnsi="Garamond"/>
        </w:rPr>
        <w:t xml:space="preserve"> </w:t>
      </w:r>
      <w:r w:rsidR="00CC3D44" w:rsidRPr="3414491E">
        <w:rPr>
          <w:rFonts w:ascii="Garamond" w:hAnsi="Garamond"/>
          <w:color w:val="000000" w:themeColor="text1"/>
          <w:sz w:val="20"/>
          <w:szCs w:val="20"/>
        </w:rPr>
        <w:t>care.</w:t>
      </w:r>
    </w:p>
    <w:p w14:paraId="258DC587" w14:textId="3D3917EB" w:rsidR="003F5E97" w:rsidRPr="00496CF8" w:rsidRDefault="003F5E97" w:rsidP="00627D5D">
      <w:pPr>
        <w:rPr>
          <w:rFonts w:ascii="Garamond" w:hAnsi="Garamond"/>
          <w:color w:val="000000" w:themeColor="text1"/>
          <w:sz w:val="20"/>
          <w:szCs w:val="20"/>
        </w:rPr>
      </w:pPr>
    </w:p>
    <w:p w14:paraId="2592264C" w14:textId="1F478E30" w:rsidR="0060193E" w:rsidRPr="00496CF8" w:rsidRDefault="0060193E" w:rsidP="00627D5D">
      <w:pPr>
        <w:rPr>
          <w:rFonts w:ascii="Garamond" w:hAnsi="Garamond"/>
          <w:color w:val="000000" w:themeColor="text1"/>
          <w:sz w:val="20"/>
          <w:szCs w:val="20"/>
        </w:rPr>
      </w:pPr>
    </w:p>
    <w:p w14:paraId="5565F363" w14:textId="77777777" w:rsidR="00DF6594" w:rsidRPr="00496CF8" w:rsidRDefault="0060193E" w:rsidP="00627D5D">
      <w:pPr>
        <w:rPr>
          <w:rFonts w:ascii="Garamond" w:hAnsi="Garamond"/>
          <w:color w:val="000000" w:themeColor="text1"/>
          <w:sz w:val="20"/>
          <w:szCs w:val="20"/>
        </w:rPr>
      </w:pPr>
      <w:r w:rsidRPr="00496CF8">
        <w:rPr>
          <w:rFonts w:ascii="Garamond" w:hAnsi="Garamond"/>
          <w:noProof/>
          <w:color w:val="000000" w:themeColor="text1"/>
          <w:sz w:val="20"/>
          <w:szCs w:val="20"/>
        </w:rPr>
        <w:drawing>
          <wp:anchor distT="0" distB="0" distL="114300" distR="114300" simplePos="0" relativeHeight="251658240" behindDoc="0" locked="0" layoutInCell="1" allowOverlap="1" wp14:anchorId="7FEC1BE9" wp14:editId="1CB858D5">
            <wp:simplePos x="0" y="0"/>
            <wp:positionH relativeFrom="column">
              <wp:posOffset>-79828</wp:posOffset>
            </wp:positionH>
            <wp:positionV relativeFrom="paragraph">
              <wp:posOffset>442843</wp:posOffset>
            </wp:positionV>
            <wp:extent cx="2690283" cy="1574800"/>
            <wp:effectExtent l="0" t="0" r="2540" b="0"/>
            <wp:wrapSquare wrapText="bothSides"/>
            <wp:docPr id="983683446" name="Picture 2"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83446" name="Picture 2" descr="A graph with numbers and a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0283" cy="1574800"/>
                    </a:xfrm>
                    <a:prstGeom prst="rect">
                      <a:avLst/>
                    </a:prstGeom>
                  </pic:spPr>
                </pic:pic>
              </a:graphicData>
            </a:graphic>
          </wp:anchor>
        </w:drawing>
      </w:r>
      <w:r w:rsidRPr="00496CF8">
        <w:rPr>
          <w:rFonts w:ascii="Garamond" w:hAnsi="Garamond"/>
          <w:noProof/>
          <w:color w:val="000000" w:themeColor="text1"/>
          <w:sz w:val="20"/>
          <w:szCs w:val="20"/>
        </w:rPr>
        <w:drawing>
          <wp:inline distT="0" distB="0" distL="0" distR="0" wp14:anchorId="1131D9A1" wp14:editId="3AD3298B">
            <wp:extent cx="2317657" cy="2144278"/>
            <wp:effectExtent l="0" t="0" r="0" b="1905"/>
            <wp:docPr id="399410127" name="Picture 4" descr="A graph of ethnic distribution over last 10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10127" name="Picture 4" descr="A graph of ethnic distribution over last 10 ye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7657" cy="2144278"/>
                    </a:xfrm>
                    <a:prstGeom prst="rect">
                      <a:avLst/>
                    </a:prstGeom>
                  </pic:spPr>
                </pic:pic>
              </a:graphicData>
            </a:graphic>
          </wp:inline>
        </w:drawing>
      </w:r>
    </w:p>
    <w:p w14:paraId="5C6DF7DF" w14:textId="77777777" w:rsidR="00CC3D44" w:rsidRDefault="001F3CCE" w:rsidP="00627D5D">
      <w:pPr>
        <w:rPr>
          <w:rFonts w:ascii="Garamond" w:hAnsi="Garamond"/>
          <w:color w:val="000000" w:themeColor="text1"/>
          <w:sz w:val="20"/>
          <w:szCs w:val="20"/>
        </w:rPr>
      </w:pPr>
      <w:r w:rsidRPr="00496CF8">
        <w:rPr>
          <w:rFonts w:ascii="Garamond" w:hAnsi="Garamond"/>
          <w:b/>
          <w:bCs/>
          <w:color w:val="000000" w:themeColor="text1"/>
          <w:sz w:val="20"/>
          <w:szCs w:val="20"/>
        </w:rPr>
        <w:t>Figure 1:</w:t>
      </w:r>
      <w:r w:rsidRPr="00496CF8">
        <w:rPr>
          <w:rFonts w:ascii="Garamond" w:hAnsi="Garamond"/>
          <w:color w:val="000000" w:themeColor="text1"/>
          <w:sz w:val="20"/>
          <w:szCs w:val="20"/>
        </w:rPr>
        <w:t xml:space="preserve"> </w:t>
      </w:r>
      <w:r w:rsidR="005401A8" w:rsidRPr="00496CF8">
        <w:rPr>
          <w:rFonts w:ascii="Garamond" w:hAnsi="Garamond"/>
          <w:color w:val="000000" w:themeColor="text1"/>
          <w:sz w:val="20"/>
          <w:szCs w:val="20"/>
        </w:rPr>
        <w:t xml:space="preserve">(a) Gender of students in MS HI program       </w:t>
      </w:r>
      <w:proofErr w:type="gramStart"/>
      <w:r w:rsidR="005401A8" w:rsidRPr="00496CF8">
        <w:rPr>
          <w:rFonts w:ascii="Garamond" w:hAnsi="Garamond"/>
          <w:color w:val="000000" w:themeColor="text1"/>
          <w:sz w:val="20"/>
          <w:szCs w:val="20"/>
        </w:rPr>
        <w:t xml:space="preserve">  </w:t>
      </w:r>
      <w:r w:rsidR="0020688D" w:rsidRPr="00496CF8">
        <w:rPr>
          <w:rFonts w:ascii="Garamond" w:hAnsi="Garamond"/>
          <w:color w:val="000000" w:themeColor="text1"/>
          <w:sz w:val="20"/>
          <w:szCs w:val="20"/>
        </w:rPr>
        <w:t xml:space="preserve"> (</w:t>
      </w:r>
      <w:proofErr w:type="gramEnd"/>
      <w:r w:rsidR="00CF2E1F" w:rsidRPr="00496CF8">
        <w:rPr>
          <w:rFonts w:ascii="Garamond" w:hAnsi="Garamond"/>
          <w:color w:val="000000" w:themeColor="text1"/>
          <w:sz w:val="20"/>
          <w:szCs w:val="20"/>
        </w:rPr>
        <w:t>b) Ethnicity of students in MS HI program</w:t>
      </w:r>
    </w:p>
    <w:p w14:paraId="4925E576" w14:textId="1240F88B" w:rsidR="0020688D" w:rsidRPr="00496CF8" w:rsidRDefault="002C0B4C" w:rsidP="00627D5D">
      <w:pPr>
        <w:rPr>
          <w:rFonts w:ascii="Garamond" w:hAnsi="Garamond"/>
          <w:color w:val="000000" w:themeColor="text1"/>
          <w:sz w:val="20"/>
          <w:szCs w:val="20"/>
        </w:rPr>
      </w:pPr>
      <w:r w:rsidRPr="00496CF8">
        <w:rPr>
          <w:rFonts w:ascii="Garamond" w:hAnsi="Garamond"/>
          <w:color w:val="000000" w:themeColor="text1"/>
          <w:sz w:val="20"/>
          <w:szCs w:val="20"/>
        </w:rPr>
        <w:t>Some key elements of the philosophy include:</w:t>
      </w:r>
      <w:r w:rsidRPr="00496CF8">
        <w:rPr>
          <w:rFonts w:ascii="Garamond" w:hAnsi="Garamond"/>
        </w:rPr>
        <w:br/>
      </w:r>
      <w:r w:rsidRPr="00496CF8">
        <w:rPr>
          <w:rFonts w:ascii="Garamond" w:hAnsi="Garamond"/>
          <w:color w:val="000000" w:themeColor="text1"/>
          <w:sz w:val="20"/>
          <w:szCs w:val="20"/>
        </w:rPr>
        <w:t>• Using technology to improve patient outcomes: The philosophy emphasizes using technology to collect, manage,</w:t>
      </w:r>
      <w:r w:rsidR="007B46B1">
        <w:rPr>
          <w:rFonts w:ascii="Garamond" w:hAnsi="Garamond"/>
          <w:color w:val="000000" w:themeColor="text1"/>
          <w:sz w:val="20"/>
          <w:szCs w:val="20"/>
        </w:rPr>
        <w:t xml:space="preserve"> </w:t>
      </w:r>
      <w:r w:rsidRPr="00496CF8">
        <w:rPr>
          <w:rFonts w:ascii="Garamond" w:hAnsi="Garamond"/>
          <w:color w:val="000000" w:themeColor="text1"/>
          <w:sz w:val="20"/>
          <w:szCs w:val="20"/>
        </w:rPr>
        <w:t>and analyze health data to improve patient outcomes, reduce costs, and enhance the quality of care.</w:t>
      </w:r>
      <w:r w:rsidRPr="00496CF8">
        <w:rPr>
          <w:rFonts w:ascii="Garamond" w:hAnsi="Garamond"/>
        </w:rPr>
        <w:br/>
      </w:r>
      <w:r w:rsidRPr="00496CF8">
        <w:rPr>
          <w:rFonts w:ascii="Garamond" w:hAnsi="Garamond"/>
          <w:color w:val="000000" w:themeColor="text1"/>
          <w:sz w:val="20"/>
          <w:szCs w:val="20"/>
        </w:rPr>
        <w:t>• An interdisciplinary approach: Health informatics draws on principles and practices from multiple disciplines,</w:t>
      </w:r>
      <w:r w:rsidRPr="00496CF8">
        <w:rPr>
          <w:rFonts w:ascii="Garamond" w:hAnsi="Garamond"/>
        </w:rPr>
        <w:br/>
      </w:r>
      <w:r w:rsidRPr="00496CF8">
        <w:rPr>
          <w:rFonts w:ascii="Garamond" w:hAnsi="Garamond"/>
          <w:color w:val="000000" w:themeColor="text1"/>
          <w:sz w:val="20"/>
          <w:szCs w:val="20"/>
        </w:rPr>
        <w:t xml:space="preserve">including health sciences, computer science, information technology, and management. </w:t>
      </w:r>
      <w:r w:rsidR="6E870B8C" w:rsidRPr="00496CF8">
        <w:rPr>
          <w:rFonts w:ascii="Garamond" w:hAnsi="Garamond"/>
          <w:color w:val="000000" w:themeColor="text1"/>
          <w:sz w:val="20"/>
          <w:szCs w:val="20"/>
        </w:rPr>
        <w:t>Philosophy</w:t>
      </w:r>
      <w:r w:rsidRPr="00496CF8">
        <w:rPr>
          <w:rFonts w:ascii="Garamond" w:hAnsi="Garamond"/>
          <w:color w:val="000000" w:themeColor="text1"/>
          <w:sz w:val="20"/>
          <w:szCs w:val="20"/>
        </w:rPr>
        <w:t xml:space="preserve"> recognizes the importance of this interdisciplinary approach and seeks to provide students with a comprehensive understanding of these fields.</w:t>
      </w:r>
      <w:r w:rsidRPr="00496CF8">
        <w:rPr>
          <w:rFonts w:ascii="Garamond" w:hAnsi="Garamond"/>
        </w:rPr>
        <w:br/>
      </w:r>
      <w:r w:rsidRPr="00496CF8">
        <w:rPr>
          <w:rFonts w:ascii="Garamond" w:hAnsi="Garamond"/>
          <w:color w:val="000000" w:themeColor="text1"/>
          <w:sz w:val="20"/>
          <w:szCs w:val="20"/>
        </w:rPr>
        <w:t>• Flexibility and customization: The curricular design philosophy for health informatics competencies recognizes</w:t>
      </w:r>
      <w:r w:rsidRPr="00496CF8">
        <w:rPr>
          <w:rFonts w:ascii="Garamond" w:hAnsi="Garamond"/>
        </w:rPr>
        <w:br/>
      </w:r>
      <w:r w:rsidRPr="00496CF8">
        <w:rPr>
          <w:rFonts w:ascii="Garamond" w:hAnsi="Garamond"/>
          <w:color w:val="000000" w:themeColor="text1"/>
          <w:sz w:val="20"/>
          <w:szCs w:val="20"/>
        </w:rPr>
        <w:t>that different healthcare settings and populations have unique needs and challenges with continuous changes in</w:t>
      </w:r>
      <w:r w:rsidRPr="00496CF8">
        <w:rPr>
          <w:rFonts w:ascii="Garamond" w:hAnsi="Garamond"/>
        </w:rPr>
        <w:br/>
      </w:r>
      <w:r w:rsidRPr="00496CF8">
        <w:rPr>
          <w:rFonts w:ascii="Garamond" w:hAnsi="Garamond"/>
          <w:color w:val="000000" w:themeColor="text1"/>
          <w:sz w:val="20"/>
          <w:szCs w:val="20"/>
        </w:rPr>
        <w:t>policies and legislative changes for health systems. As such, it is designed to be flexible and customizable to</w:t>
      </w:r>
      <w:r w:rsidRPr="00496CF8">
        <w:rPr>
          <w:rFonts w:ascii="Garamond" w:hAnsi="Garamond"/>
        </w:rPr>
        <w:br/>
      </w:r>
      <w:r w:rsidRPr="00496CF8">
        <w:rPr>
          <w:rFonts w:ascii="Garamond" w:hAnsi="Garamond"/>
          <w:color w:val="000000" w:themeColor="text1"/>
          <w:sz w:val="20"/>
          <w:szCs w:val="20"/>
        </w:rPr>
        <w:t>meet these needs.</w:t>
      </w:r>
      <w:r w:rsidRPr="00496CF8">
        <w:rPr>
          <w:rFonts w:ascii="Garamond" w:hAnsi="Garamond"/>
        </w:rPr>
        <w:br/>
      </w:r>
      <w:r w:rsidRPr="00496CF8">
        <w:rPr>
          <w:rFonts w:ascii="Garamond" w:hAnsi="Garamond"/>
          <w:color w:val="000000" w:themeColor="text1"/>
          <w:sz w:val="20"/>
          <w:szCs w:val="20"/>
        </w:rPr>
        <w:lastRenderedPageBreak/>
        <w:t>• Emphasis on ethics and privacy: The philosophy recognizes the importance of ethical considerations and patient</w:t>
      </w:r>
      <w:r w:rsidRPr="00496CF8">
        <w:rPr>
          <w:rFonts w:ascii="Garamond" w:hAnsi="Garamond"/>
        </w:rPr>
        <w:br/>
      </w:r>
      <w:r w:rsidRPr="00496CF8">
        <w:rPr>
          <w:rFonts w:ascii="Garamond" w:hAnsi="Garamond"/>
          <w:color w:val="000000" w:themeColor="text1"/>
          <w:sz w:val="20"/>
          <w:szCs w:val="20"/>
        </w:rPr>
        <w:t>privacy in health informatics. It emphasizes the need for students to understand and adhere to relevant ethical</w:t>
      </w:r>
      <w:r w:rsidRPr="00496CF8">
        <w:rPr>
          <w:rFonts w:ascii="Garamond" w:hAnsi="Garamond"/>
        </w:rPr>
        <w:br/>
      </w:r>
      <w:r w:rsidRPr="00496CF8">
        <w:rPr>
          <w:rFonts w:ascii="Garamond" w:hAnsi="Garamond"/>
          <w:color w:val="000000" w:themeColor="text1"/>
          <w:sz w:val="20"/>
          <w:szCs w:val="20"/>
        </w:rPr>
        <w:t>and legal standards in their work.</w:t>
      </w:r>
      <w:r w:rsidRPr="00496CF8">
        <w:rPr>
          <w:rFonts w:ascii="Garamond" w:hAnsi="Garamond"/>
        </w:rPr>
        <w:br/>
      </w:r>
      <w:r w:rsidRPr="00496CF8">
        <w:rPr>
          <w:rFonts w:ascii="Garamond" w:hAnsi="Garamond"/>
          <w:color w:val="000000" w:themeColor="text1"/>
          <w:sz w:val="20"/>
          <w:szCs w:val="20"/>
        </w:rPr>
        <w:t>• Emphasis on lifelong learning: The philosophy recognizes that healthcare is constantly evolving and that health</w:t>
      </w:r>
      <w:r w:rsidRPr="00496CF8">
        <w:rPr>
          <w:rFonts w:ascii="Garamond" w:hAnsi="Garamond"/>
        </w:rPr>
        <w:br/>
      </w:r>
      <w:r w:rsidRPr="00496CF8">
        <w:rPr>
          <w:rFonts w:ascii="Garamond" w:hAnsi="Garamond"/>
          <w:color w:val="000000" w:themeColor="text1"/>
          <w:sz w:val="20"/>
          <w:szCs w:val="20"/>
        </w:rPr>
        <w:t>informatics professionals must be prepared to continually update their skills and knowledge. As such, it emphasizes the importance of lifelong learning and provides opportunities for ongoing professional development.</w:t>
      </w:r>
      <w:r w:rsidRPr="00496CF8">
        <w:rPr>
          <w:rFonts w:ascii="Garamond" w:hAnsi="Garamond"/>
        </w:rPr>
        <w:br/>
      </w:r>
      <w:r w:rsidRPr="00496CF8">
        <w:rPr>
          <w:rFonts w:ascii="Garamond" w:hAnsi="Garamond"/>
          <w:color w:val="000000" w:themeColor="text1"/>
          <w:sz w:val="20"/>
          <w:szCs w:val="20"/>
        </w:rPr>
        <w:t>We strive to offer a comprehensive yet deep preparation that touches the field’s fundamental methodological and</w:t>
      </w:r>
      <w:r w:rsidRPr="00496CF8">
        <w:rPr>
          <w:rFonts w:ascii="Garamond" w:hAnsi="Garamond"/>
        </w:rPr>
        <w:br/>
      </w:r>
      <w:r w:rsidRPr="00496CF8">
        <w:rPr>
          <w:rFonts w:ascii="Garamond" w:hAnsi="Garamond"/>
          <w:color w:val="000000" w:themeColor="text1"/>
          <w:sz w:val="20"/>
          <w:szCs w:val="20"/>
        </w:rPr>
        <w:t>theoretical areas, emphasizing the professional knowledge needed to succeed in the industry and selected research and</w:t>
      </w:r>
      <w:r w:rsidR="007B46B1">
        <w:rPr>
          <w:rFonts w:ascii="Garamond" w:hAnsi="Garamond"/>
        </w:rPr>
        <w:t xml:space="preserve"> </w:t>
      </w:r>
      <w:r w:rsidRPr="00496CF8">
        <w:rPr>
          <w:rFonts w:ascii="Garamond" w:hAnsi="Garamond"/>
          <w:color w:val="000000" w:themeColor="text1"/>
          <w:sz w:val="20"/>
          <w:szCs w:val="20"/>
        </w:rPr>
        <w:t>application areas connected to the strengths of our faculty.</w:t>
      </w:r>
    </w:p>
    <w:p w14:paraId="6DE135A7" w14:textId="2AED712E" w:rsidR="0037048D" w:rsidRPr="00496CF8" w:rsidRDefault="0037048D" w:rsidP="00627D5D">
      <w:pPr>
        <w:rPr>
          <w:rFonts w:ascii="Garamond" w:hAnsi="Garamond"/>
          <w:color w:val="000000" w:themeColor="text1"/>
          <w:sz w:val="18"/>
          <w:szCs w:val="18"/>
        </w:rPr>
      </w:pPr>
      <w:r w:rsidRPr="00496CF8">
        <w:rPr>
          <w:rFonts w:ascii="Garamond" w:hAnsi="Garamond"/>
          <w:color w:val="000000" w:themeColor="text1"/>
          <w:sz w:val="18"/>
          <w:szCs w:val="18"/>
        </w:rPr>
        <w:t xml:space="preserve">                    </w:t>
      </w:r>
      <w:r w:rsidR="00F22CBC" w:rsidRPr="00496CF8">
        <w:rPr>
          <w:rFonts w:ascii="Garamond" w:hAnsi="Garamond"/>
          <w:noProof/>
          <w:color w:val="000000" w:themeColor="text1"/>
          <w:sz w:val="18"/>
          <w:szCs w:val="18"/>
        </w:rPr>
        <w:drawing>
          <wp:inline distT="0" distB="0" distL="0" distR="0" wp14:anchorId="458C1EFC" wp14:editId="32BAADB9">
            <wp:extent cx="1774301" cy="1543414"/>
            <wp:effectExtent l="0" t="0" r="3810" b="6350"/>
            <wp:docPr id="1999932839"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32839" name="Picture 3"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7216" cy="1659033"/>
                    </a:xfrm>
                    <a:prstGeom prst="rect">
                      <a:avLst/>
                    </a:prstGeom>
                  </pic:spPr>
                </pic:pic>
              </a:graphicData>
            </a:graphic>
          </wp:inline>
        </w:drawing>
      </w:r>
      <w:r w:rsidRPr="00496CF8">
        <w:rPr>
          <w:rFonts w:ascii="Garamond" w:hAnsi="Garamond"/>
          <w:color w:val="000000" w:themeColor="text1"/>
          <w:sz w:val="18"/>
          <w:szCs w:val="18"/>
        </w:rPr>
        <w:t xml:space="preserve">                 </w:t>
      </w:r>
      <w:r w:rsidR="00F22CBC" w:rsidRPr="00496CF8">
        <w:rPr>
          <w:rFonts w:ascii="Garamond" w:hAnsi="Garamond"/>
          <w:color w:val="000000" w:themeColor="text1"/>
          <w:sz w:val="18"/>
          <w:szCs w:val="18"/>
        </w:rPr>
        <w:t xml:space="preserve">               </w:t>
      </w:r>
      <w:r w:rsidRPr="00496CF8">
        <w:rPr>
          <w:rFonts w:ascii="Garamond" w:hAnsi="Garamond"/>
          <w:noProof/>
          <w:color w:val="000000" w:themeColor="text1"/>
          <w:sz w:val="18"/>
          <w:szCs w:val="18"/>
        </w:rPr>
        <w:drawing>
          <wp:inline distT="0" distB="0" distL="0" distR="0" wp14:anchorId="6CC424B5" wp14:editId="37566729">
            <wp:extent cx="1716088" cy="1712316"/>
            <wp:effectExtent l="0" t="0" r="0" b="2540"/>
            <wp:docPr id="1867682384" name="Picture 2" descr="A circular diagram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82384" name="Picture 2" descr="A circular diagram with different colo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8840" cy="1784908"/>
                    </a:xfrm>
                    <a:prstGeom prst="rect">
                      <a:avLst/>
                    </a:prstGeom>
                  </pic:spPr>
                </pic:pic>
              </a:graphicData>
            </a:graphic>
          </wp:inline>
        </w:drawing>
      </w:r>
    </w:p>
    <w:p w14:paraId="2D3BA249" w14:textId="606D61EF" w:rsidR="008823DE" w:rsidRPr="00496CF8" w:rsidRDefault="00F22CBC" w:rsidP="00F22CBC">
      <w:pPr>
        <w:rPr>
          <w:rFonts w:ascii="Garamond" w:hAnsi="Garamond"/>
          <w:color w:val="000000" w:themeColor="text1"/>
          <w:sz w:val="18"/>
          <w:szCs w:val="18"/>
        </w:rPr>
      </w:pPr>
      <w:r w:rsidRPr="00496CF8">
        <w:rPr>
          <w:rFonts w:ascii="Garamond" w:hAnsi="Garamond"/>
          <w:b/>
          <w:bCs/>
          <w:color w:val="000000" w:themeColor="text1"/>
          <w:sz w:val="18"/>
          <w:szCs w:val="18"/>
        </w:rPr>
        <w:t xml:space="preserve">      </w:t>
      </w:r>
      <w:r w:rsidR="00E33F8F" w:rsidRPr="00496CF8">
        <w:rPr>
          <w:rFonts w:ascii="Garamond" w:hAnsi="Garamond"/>
          <w:b/>
          <w:bCs/>
          <w:color w:val="000000" w:themeColor="text1"/>
          <w:sz w:val="18"/>
          <w:szCs w:val="18"/>
        </w:rPr>
        <w:t xml:space="preserve">Figure 2. </w:t>
      </w:r>
      <w:r w:rsidR="00E33F8F" w:rsidRPr="00496CF8">
        <w:rPr>
          <w:rFonts w:ascii="Garamond" w:hAnsi="Garamond"/>
          <w:color w:val="000000" w:themeColor="text1"/>
          <w:sz w:val="18"/>
          <w:szCs w:val="18"/>
        </w:rPr>
        <w:t>Health Informatics Competencies</w:t>
      </w:r>
      <w:r w:rsidRPr="00496CF8">
        <w:rPr>
          <w:rFonts w:ascii="Garamond" w:hAnsi="Garamond"/>
          <w:color w:val="000000" w:themeColor="text1"/>
          <w:sz w:val="18"/>
          <w:szCs w:val="18"/>
        </w:rPr>
        <w:t xml:space="preserve">                  </w:t>
      </w:r>
      <w:r w:rsidR="008823DE" w:rsidRPr="00496CF8">
        <w:rPr>
          <w:rFonts w:ascii="Garamond" w:hAnsi="Garamond"/>
          <w:b/>
          <w:bCs/>
          <w:color w:val="000000" w:themeColor="text1"/>
          <w:sz w:val="18"/>
          <w:szCs w:val="18"/>
        </w:rPr>
        <w:t xml:space="preserve">Figure </w:t>
      </w:r>
      <w:r w:rsidRPr="00496CF8">
        <w:rPr>
          <w:rFonts w:ascii="Garamond" w:hAnsi="Garamond"/>
          <w:b/>
          <w:bCs/>
          <w:color w:val="000000" w:themeColor="text1"/>
          <w:sz w:val="18"/>
          <w:szCs w:val="18"/>
        </w:rPr>
        <w:t>3</w:t>
      </w:r>
      <w:r w:rsidR="008823DE" w:rsidRPr="00496CF8">
        <w:rPr>
          <w:rFonts w:ascii="Garamond" w:hAnsi="Garamond"/>
          <w:b/>
          <w:bCs/>
          <w:color w:val="000000" w:themeColor="text1"/>
          <w:sz w:val="18"/>
          <w:szCs w:val="18"/>
        </w:rPr>
        <w:t>:</w:t>
      </w:r>
      <w:r w:rsidR="008823DE" w:rsidRPr="00496CF8">
        <w:rPr>
          <w:rFonts w:ascii="Garamond" w:hAnsi="Garamond"/>
          <w:color w:val="000000" w:themeColor="text1"/>
          <w:sz w:val="18"/>
          <w:szCs w:val="18"/>
        </w:rPr>
        <w:t xml:space="preserve"> Linkage of Core courses and Program Learning Outcomes</w:t>
      </w:r>
    </w:p>
    <w:p w14:paraId="6C90951A" w14:textId="77777777" w:rsidR="002A7BBB" w:rsidRPr="00496CF8" w:rsidRDefault="002A7BBB" w:rsidP="0037048D">
      <w:pPr>
        <w:jc w:val="center"/>
        <w:rPr>
          <w:rFonts w:ascii="Garamond" w:hAnsi="Garamond"/>
          <w:color w:val="000000" w:themeColor="text1"/>
          <w:sz w:val="20"/>
          <w:szCs w:val="20"/>
        </w:rPr>
      </w:pPr>
    </w:p>
    <w:p w14:paraId="24372BC1" w14:textId="77777777" w:rsidR="002A7BBB" w:rsidRPr="00496CF8" w:rsidRDefault="002A7BBB" w:rsidP="002A7BBB">
      <w:pPr>
        <w:rPr>
          <w:rFonts w:ascii="Garamond" w:hAnsi="Garamond"/>
          <w:color w:val="4C94D8" w:themeColor="text2" w:themeTint="80"/>
          <w:sz w:val="20"/>
          <w:szCs w:val="20"/>
        </w:rPr>
      </w:pPr>
      <w:r w:rsidRPr="00496CF8">
        <w:rPr>
          <w:rFonts w:ascii="Garamond" w:hAnsi="Garamond"/>
          <w:color w:val="4C94D8" w:themeColor="text2" w:themeTint="80"/>
          <w:sz w:val="20"/>
          <w:szCs w:val="20"/>
        </w:rPr>
        <w:t>1.4 Program Learning Outcomes</w:t>
      </w:r>
    </w:p>
    <w:p w14:paraId="173A7229" w14:textId="42550ECB" w:rsidR="002A7BBB" w:rsidRPr="00496CF8" w:rsidRDefault="002A7BBB" w:rsidP="002A7BBB">
      <w:pPr>
        <w:rPr>
          <w:rFonts w:ascii="Garamond" w:hAnsi="Garamond"/>
          <w:color w:val="000000" w:themeColor="text1"/>
          <w:sz w:val="20"/>
          <w:szCs w:val="20"/>
        </w:rPr>
      </w:pPr>
      <w:r w:rsidRPr="00496CF8">
        <w:rPr>
          <w:rFonts w:ascii="Garamond" w:hAnsi="Garamond"/>
          <w:color w:val="000000" w:themeColor="text1"/>
          <w:sz w:val="20"/>
          <w:szCs w:val="20"/>
        </w:rPr>
        <w:t>We have taken a data science approach to evaluate the courses.</w:t>
      </w:r>
      <w:r w:rsidR="00CD2BBC"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We analyze the curriculum by relating the Program Outcomes</w:t>
      </w:r>
      <w:r w:rsidR="00CD2BBC"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(PO) with the Course Learning Outcomes from the 6 core courses</w:t>
      </w:r>
      <w:r w:rsidR="00CD2BBC"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and then map the outcomes and any missing gaps to achieve the</w:t>
      </w:r>
      <w:r w:rsidR="00CD2BBC"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CAHIIM</w:t>
      </w:r>
      <w:r w:rsidR="00CD2BBC"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competencies. The following are our Program Learning</w:t>
      </w:r>
      <w:r w:rsidR="00CD2BBC"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Outcomes, with Figure 3 showing the linkages between the core</w:t>
      </w:r>
      <w:r w:rsidR="00CD2BBC"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courses and Program Learning Outcomes.:</w:t>
      </w:r>
    </w:p>
    <w:p w14:paraId="78F52DB4" w14:textId="29EECABE" w:rsidR="005235CF" w:rsidRPr="00496CF8" w:rsidRDefault="005235CF" w:rsidP="005235CF">
      <w:pPr>
        <w:rPr>
          <w:rFonts w:ascii="Garamond" w:hAnsi="Garamond"/>
          <w:color w:val="000000" w:themeColor="text1"/>
          <w:sz w:val="20"/>
          <w:szCs w:val="20"/>
        </w:rPr>
      </w:pPr>
      <w:r w:rsidRPr="00496CF8">
        <w:rPr>
          <w:rFonts w:ascii="Garamond" w:hAnsi="Garamond"/>
          <w:color w:val="000000" w:themeColor="text1"/>
          <w:sz w:val="20"/>
          <w:szCs w:val="20"/>
        </w:rPr>
        <w:t>1. PO1: Analyze problems: Analyze, understand, abstract,</w:t>
      </w:r>
      <w:r w:rsidR="003F4629"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and model a specific biomedical problem regarding its data,</w:t>
      </w:r>
      <w:r w:rsidR="0097109A">
        <w:rPr>
          <w:rFonts w:ascii="Garamond" w:hAnsi="Garamond"/>
          <w:color w:val="000000" w:themeColor="text1"/>
          <w:sz w:val="20"/>
          <w:szCs w:val="20"/>
        </w:rPr>
        <w:t xml:space="preserve"> </w:t>
      </w:r>
      <w:r w:rsidRPr="00496CF8">
        <w:rPr>
          <w:rFonts w:ascii="Garamond" w:hAnsi="Garamond"/>
          <w:color w:val="000000" w:themeColor="text1"/>
          <w:sz w:val="20"/>
          <w:szCs w:val="20"/>
        </w:rPr>
        <w:t>information, and knowledge components.</w:t>
      </w:r>
    </w:p>
    <w:p w14:paraId="181ED274" w14:textId="6BF8CA24" w:rsidR="005235CF" w:rsidRPr="00496CF8" w:rsidRDefault="005235CF" w:rsidP="005235CF">
      <w:pPr>
        <w:rPr>
          <w:rFonts w:ascii="Garamond" w:hAnsi="Garamond"/>
          <w:color w:val="000000" w:themeColor="text1"/>
          <w:sz w:val="20"/>
          <w:szCs w:val="20"/>
        </w:rPr>
      </w:pPr>
      <w:r w:rsidRPr="3414491E">
        <w:rPr>
          <w:rFonts w:ascii="Garamond" w:hAnsi="Garamond"/>
          <w:color w:val="000000" w:themeColor="text1"/>
          <w:sz w:val="20"/>
          <w:szCs w:val="20"/>
        </w:rPr>
        <w:t>2. PO2: Produce solutions: Use the analysis to identify and</w:t>
      </w:r>
      <w:r w:rsidR="003F4629"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understand the space of possible solutions and generate</w:t>
      </w:r>
      <w:r w:rsidR="3D0194FD"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designs that capture essential aspects of solutions and their</w:t>
      </w:r>
      <w:r w:rsidR="003F4629"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components.</w:t>
      </w:r>
    </w:p>
    <w:p w14:paraId="35A9F21F" w14:textId="4DF14C3B" w:rsidR="005235CF" w:rsidRPr="00496CF8" w:rsidRDefault="005235CF" w:rsidP="005235CF">
      <w:pPr>
        <w:rPr>
          <w:rFonts w:ascii="Garamond" w:hAnsi="Garamond"/>
          <w:color w:val="000000" w:themeColor="text1"/>
          <w:sz w:val="20"/>
          <w:szCs w:val="20"/>
        </w:rPr>
      </w:pPr>
      <w:r w:rsidRPr="00496CF8">
        <w:rPr>
          <w:rFonts w:ascii="Garamond" w:hAnsi="Garamond"/>
          <w:color w:val="000000" w:themeColor="text1"/>
          <w:sz w:val="20"/>
          <w:szCs w:val="20"/>
        </w:rPr>
        <w:t>3. PO3: Implement, evaluate, and refine: Carry out the solution</w:t>
      </w:r>
      <w:r w:rsidR="003F4629"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(including obtaining necessary resources and managing</w:t>
      </w:r>
      <w:r w:rsidR="0097109A">
        <w:rPr>
          <w:rFonts w:ascii="Garamond" w:hAnsi="Garamond"/>
          <w:color w:val="000000" w:themeColor="text1"/>
          <w:sz w:val="20"/>
          <w:szCs w:val="20"/>
        </w:rPr>
        <w:t xml:space="preserve"> </w:t>
      </w:r>
      <w:r w:rsidRPr="00496CF8">
        <w:rPr>
          <w:rFonts w:ascii="Garamond" w:hAnsi="Garamond"/>
          <w:color w:val="000000" w:themeColor="text1"/>
          <w:sz w:val="20"/>
          <w:szCs w:val="20"/>
        </w:rPr>
        <w:t>projects), evaluate it, and iteratively improve the solution.</w:t>
      </w:r>
    </w:p>
    <w:p w14:paraId="6A40BC2C" w14:textId="5980AA86" w:rsidR="005235CF" w:rsidRPr="00496CF8" w:rsidRDefault="005235CF" w:rsidP="005235CF">
      <w:pPr>
        <w:rPr>
          <w:rFonts w:ascii="Garamond" w:hAnsi="Garamond"/>
          <w:color w:val="000000" w:themeColor="text1"/>
          <w:sz w:val="20"/>
          <w:szCs w:val="20"/>
        </w:rPr>
      </w:pPr>
      <w:r w:rsidRPr="3414491E">
        <w:rPr>
          <w:rFonts w:ascii="Garamond" w:hAnsi="Garamond"/>
          <w:color w:val="000000" w:themeColor="text1"/>
          <w:sz w:val="20"/>
          <w:szCs w:val="20"/>
        </w:rPr>
        <w:t>4. PO4: Innovate: Create new theories, typologies, frameworks,</w:t>
      </w:r>
      <w:r w:rsidR="003F4629" w:rsidRPr="3414491E">
        <w:rPr>
          <w:rFonts w:ascii="Garamond" w:hAnsi="Garamond"/>
          <w:color w:val="000000" w:themeColor="text1"/>
          <w:sz w:val="20"/>
          <w:szCs w:val="20"/>
        </w:rPr>
        <w:t xml:space="preserve"> r</w:t>
      </w:r>
      <w:r w:rsidRPr="3414491E">
        <w:rPr>
          <w:rFonts w:ascii="Garamond" w:hAnsi="Garamond"/>
          <w:color w:val="000000" w:themeColor="text1"/>
          <w:sz w:val="20"/>
          <w:szCs w:val="20"/>
        </w:rPr>
        <w:t>epresentations, methods, and processes to address</w:t>
      </w:r>
      <w:r w:rsidR="095ECF2B"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biomedical informatics problems.</w:t>
      </w:r>
    </w:p>
    <w:p w14:paraId="5242BB10" w14:textId="23FFF839" w:rsidR="005235CF" w:rsidRPr="00496CF8" w:rsidRDefault="005235CF" w:rsidP="005235CF">
      <w:pPr>
        <w:rPr>
          <w:rFonts w:ascii="Garamond" w:hAnsi="Garamond"/>
          <w:color w:val="000000" w:themeColor="text1"/>
          <w:sz w:val="20"/>
          <w:szCs w:val="20"/>
        </w:rPr>
      </w:pPr>
      <w:r w:rsidRPr="00496CF8">
        <w:rPr>
          <w:rFonts w:ascii="Garamond" w:hAnsi="Garamond"/>
          <w:color w:val="000000" w:themeColor="text1"/>
          <w:sz w:val="20"/>
          <w:szCs w:val="20"/>
        </w:rPr>
        <w:t>5. PO5: Work collaboratively: Team effectively with partners</w:t>
      </w:r>
      <w:r w:rsidR="003F4629"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within and across disciplines.</w:t>
      </w:r>
    </w:p>
    <w:p w14:paraId="38E3094E" w14:textId="3349D3EB" w:rsidR="005235CF" w:rsidRPr="00496CF8" w:rsidRDefault="005235CF" w:rsidP="005235CF">
      <w:pPr>
        <w:rPr>
          <w:rFonts w:ascii="Garamond" w:hAnsi="Garamond"/>
          <w:color w:val="000000" w:themeColor="text1"/>
          <w:sz w:val="20"/>
          <w:szCs w:val="20"/>
        </w:rPr>
      </w:pPr>
      <w:r w:rsidRPr="3414491E">
        <w:rPr>
          <w:rFonts w:ascii="Garamond" w:hAnsi="Garamond"/>
          <w:color w:val="000000" w:themeColor="text1"/>
          <w:sz w:val="20"/>
          <w:szCs w:val="20"/>
        </w:rPr>
        <w:t>6. PO6: Understand the fundamentals of the field in the context</w:t>
      </w:r>
      <w:r w:rsidR="003F4629"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of the effective use of biomedical data, information,</w:t>
      </w:r>
      <w:r w:rsidR="46EB1C52"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and knowledge.</w:t>
      </w:r>
    </w:p>
    <w:p w14:paraId="26D31AB0" w14:textId="73B2ABBE" w:rsidR="005235CF" w:rsidRPr="00496CF8" w:rsidRDefault="005235CF" w:rsidP="005235CF">
      <w:pPr>
        <w:rPr>
          <w:rFonts w:ascii="Garamond" w:hAnsi="Garamond"/>
          <w:color w:val="000000" w:themeColor="text1"/>
          <w:sz w:val="20"/>
          <w:szCs w:val="20"/>
        </w:rPr>
      </w:pPr>
      <w:r w:rsidRPr="00496CF8">
        <w:rPr>
          <w:rFonts w:ascii="Garamond" w:hAnsi="Garamond"/>
          <w:color w:val="000000" w:themeColor="text1"/>
          <w:sz w:val="20"/>
          <w:szCs w:val="20"/>
        </w:rPr>
        <w:t>7. PO7: For substantive problems related to scientific inquiry,</w:t>
      </w:r>
      <w:r w:rsidR="003F4629"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problem-solving, and decision-making, apply, analyze, evaluate,</w:t>
      </w:r>
      <w:r w:rsidR="003F4629"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and create solutions based on biomedical informatics</w:t>
      </w:r>
      <w:r w:rsidR="003F4629"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approaches.</w:t>
      </w:r>
    </w:p>
    <w:p w14:paraId="19086776" w14:textId="2F2EC10A" w:rsidR="005235CF" w:rsidRPr="00496CF8" w:rsidRDefault="005235CF" w:rsidP="005235CF">
      <w:pPr>
        <w:rPr>
          <w:rFonts w:ascii="Garamond" w:hAnsi="Garamond"/>
          <w:color w:val="000000" w:themeColor="text1"/>
          <w:sz w:val="20"/>
          <w:szCs w:val="20"/>
        </w:rPr>
      </w:pPr>
      <w:r w:rsidRPr="3414491E">
        <w:rPr>
          <w:rFonts w:ascii="Garamond" w:hAnsi="Garamond"/>
          <w:color w:val="000000" w:themeColor="text1"/>
          <w:sz w:val="20"/>
          <w:szCs w:val="20"/>
        </w:rPr>
        <w:t>8. PO8: Apply, analyze, evaluate, and relate biomedical information,</w:t>
      </w:r>
      <w:r w:rsidR="003F4629"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concepts, and models spanning molecules to</w:t>
      </w:r>
      <w:r w:rsidR="4DDC21FA" w:rsidRPr="3414491E">
        <w:rPr>
          <w:rFonts w:ascii="Garamond" w:hAnsi="Garamond"/>
          <w:color w:val="000000" w:themeColor="text1"/>
          <w:sz w:val="20"/>
          <w:szCs w:val="20"/>
        </w:rPr>
        <w:t xml:space="preserve"> </w:t>
      </w:r>
      <w:r w:rsidRPr="3414491E">
        <w:rPr>
          <w:rFonts w:ascii="Garamond" w:hAnsi="Garamond"/>
          <w:color w:val="000000" w:themeColor="text1"/>
          <w:sz w:val="20"/>
          <w:szCs w:val="20"/>
        </w:rPr>
        <w:t>individuals to populations.</w:t>
      </w:r>
    </w:p>
    <w:p w14:paraId="2BA42288" w14:textId="11FA9794" w:rsidR="005235CF" w:rsidRPr="00496CF8" w:rsidRDefault="005235CF" w:rsidP="005235CF">
      <w:pPr>
        <w:rPr>
          <w:rFonts w:ascii="Garamond" w:hAnsi="Garamond"/>
          <w:color w:val="000000" w:themeColor="text1"/>
          <w:sz w:val="20"/>
          <w:szCs w:val="20"/>
        </w:rPr>
      </w:pPr>
      <w:r w:rsidRPr="00496CF8">
        <w:rPr>
          <w:rFonts w:ascii="Garamond" w:hAnsi="Garamond"/>
          <w:color w:val="000000" w:themeColor="text1"/>
          <w:sz w:val="20"/>
          <w:szCs w:val="20"/>
        </w:rPr>
        <w:t>9. PO9: Analyze and evaluate complex biomedical informatics</w:t>
      </w:r>
      <w:r w:rsidR="003F4629"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problems in terms of data, information, and knowledge.</w:t>
      </w:r>
    </w:p>
    <w:p w14:paraId="3142C1D2" w14:textId="7DD2A841" w:rsidR="005235CF" w:rsidRPr="00496CF8" w:rsidRDefault="005235CF" w:rsidP="005235CF">
      <w:pPr>
        <w:rPr>
          <w:rFonts w:ascii="Garamond" w:hAnsi="Garamond"/>
          <w:color w:val="000000" w:themeColor="text1"/>
          <w:sz w:val="20"/>
          <w:szCs w:val="20"/>
        </w:rPr>
      </w:pPr>
      <w:r w:rsidRPr="00496CF8">
        <w:rPr>
          <w:rFonts w:ascii="Garamond" w:hAnsi="Garamond"/>
          <w:color w:val="000000" w:themeColor="text1"/>
          <w:sz w:val="20"/>
          <w:szCs w:val="20"/>
        </w:rPr>
        <w:t>10. PO10: Apply, analyze, and create data structures, algorithms,</w:t>
      </w:r>
      <w:r w:rsidR="003F4629"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programming, mathematics, statistics.’</w:t>
      </w:r>
    </w:p>
    <w:p w14:paraId="2C0055B3" w14:textId="77777777" w:rsidR="00EA063D" w:rsidRPr="00496CF8" w:rsidRDefault="005235CF" w:rsidP="00EA063D">
      <w:pPr>
        <w:rPr>
          <w:rFonts w:ascii="Garamond" w:hAnsi="Garamond"/>
          <w:color w:val="000000" w:themeColor="text1"/>
          <w:sz w:val="20"/>
          <w:szCs w:val="20"/>
        </w:rPr>
      </w:pPr>
      <w:r w:rsidRPr="00496CF8">
        <w:rPr>
          <w:rFonts w:ascii="Garamond" w:hAnsi="Garamond"/>
          <w:color w:val="000000" w:themeColor="text1"/>
          <w:sz w:val="20"/>
          <w:szCs w:val="20"/>
        </w:rPr>
        <w:lastRenderedPageBreak/>
        <w:t>11. PO11: Apply, analyze, and create technological approaches</w:t>
      </w:r>
      <w:r w:rsidR="00EA063D" w:rsidRPr="00496CF8">
        <w:rPr>
          <w:rFonts w:ascii="Garamond" w:hAnsi="Garamond"/>
          <w:color w:val="000000" w:themeColor="text1"/>
          <w:sz w:val="20"/>
          <w:szCs w:val="20"/>
        </w:rPr>
        <w:t xml:space="preserve"> in the context of biomedical problems.</w:t>
      </w:r>
    </w:p>
    <w:p w14:paraId="41E60E9E" w14:textId="290D4F8D" w:rsidR="0053448F" w:rsidRPr="00496CF8" w:rsidRDefault="00EA063D" w:rsidP="00EA063D">
      <w:pPr>
        <w:rPr>
          <w:rFonts w:ascii="Garamond" w:hAnsi="Garamond"/>
          <w:color w:val="000000" w:themeColor="text1"/>
          <w:sz w:val="20"/>
          <w:szCs w:val="20"/>
        </w:rPr>
      </w:pPr>
      <w:r w:rsidRPr="00496CF8">
        <w:rPr>
          <w:rFonts w:ascii="Garamond" w:hAnsi="Garamond"/>
          <w:color w:val="000000" w:themeColor="text1"/>
          <w:sz w:val="20"/>
          <w:szCs w:val="20"/>
        </w:rPr>
        <w:t>12. PO12: Apply and evaluate methods of inquiry and criteria for selecting and using algorithms, techniques, and methods to solve substantive health informatics problems.</w:t>
      </w:r>
    </w:p>
    <w:p w14:paraId="4191A94A" w14:textId="77777777" w:rsidR="00C711BB" w:rsidRPr="00496CF8" w:rsidRDefault="00C711BB" w:rsidP="00EA063D">
      <w:pPr>
        <w:rPr>
          <w:rFonts w:ascii="Garamond" w:hAnsi="Garamond"/>
          <w:color w:val="000000" w:themeColor="text1"/>
          <w:sz w:val="20"/>
          <w:szCs w:val="20"/>
        </w:rPr>
      </w:pPr>
    </w:p>
    <w:p w14:paraId="59662516" w14:textId="3F8DD6FD" w:rsidR="00EC282C" w:rsidRPr="00496CF8" w:rsidRDefault="00EC282C" w:rsidP="00EA063D">
      <w:pPr>
        <w:rPr>
          <w:rFonts w:ascii="Garamond" w:hAnsi="Garamond"/>
          <w:color w:val="4C94D8" w:themeColor="text2" w:themeTint="80"/>
          <w:sz w:val="20"/>
          <w:szCs w:val="20"/>
        </w:rPr>
      </w:pPr>
      <w:r w:rsidRPr="00496CF8">
        <w:rPr>
          <w:rFonts w:ascii="Garamond" w:hAnsi="Garamond"/>
          <w:b/>
          <w:bCs/>
          <w:color w:val="4C94D8" w:themeColor="text2" w:themeTint="80"/>
          <w:sz w:val="20"/>
          <w:szCs w:val="20"/>
        </w:rPr>
        <w:t xml:space="preserve">Methods </w:t>
      </w:r>
    </w:p>
    <w:p w14:paraId="31009AB3" w14:textId="5B88A9CA" w:rsidR="00EC282C" w:rsidRPr="00496CF8" w:rsidRDefault="53942E13" w:rsidP="6720167C">
      <w:pPr>
        <w:rPr>
          <w:rFonts w:ascii="Garamond" w:hAnsi="Garamond"/>
          <w:sz w:val="20"/>
          <w:szCs w:val="20"/>
        </w:rPr>
      </w:pPr>
      <w:r w:rsidRPr="6720167C">
        <w:rPr>
          <w:rFonts w:ascii="Garamond" w:hAnsi="Garamond"/>
          <w:color w:val="4C94D8" w:themeColor="text2" w:themeTint="80"/>
          <w:sz w:val="20"/>
          <w:szCs w:val="20"/>
        </w:rPr>
        <w:t xml:space="preserve">Ethics statement: </w:t>
      </w:r>
      <w:r w:rsidRPr="6720167C">
        <w:rPr>
          <w:rFonts w:ascii="Garamond" w:hAnsi="Garamond"/>
          <w:sz w:val="20"/>
          <w:szCs w:val="20"/>
        </w:rPr>
        <w:t xml:space="preserve">This was not a study with human </w:t>
      </w:r>
      <w:r w:rsidR="5CCF46EA" w:rsidRPr="6720167C">
        <w:rPr>
          <w:rFonts w:ascii="Garamond" w:hAnsi="Garamond"/>
          <w:sz w:val="20"/>
          <w:szCs w:val="20"/>
        </w:rPr>
        <w:t xml:space="preserve">subjects; therefore, neither approval by the institutional board nor </w:t>
      </w:r>
      <w:r w:rsidR="0A522F8A" w:rsidRPr="6720167C">
        <w:rPr>
          <w:rFonts w:ascii="Garamond" w:hAnsi="Garamond"/>
          <w:sz w:val="20"/>
          <w:szCs w:val="20"/>
        </w:rPr>
        <w:t>obtainment of the informed consent was required</w:t>
      </w:r>
    </w:p>
    <w:p w14:paraId="4CBF363B" w14:textId="3F4764AC" w:rsidR="00EC282C" w:rsidRPr="00496CF8" w:rsidRDefault="00BD061E" w:rsidP="00EA063D">
      <w:pPr>
        <w:rPr>
          <w:rFonts w:ascii="Garamond" w:hAnsi="Garamond"/>
          <w:color w:val="000000" w:themeColor="text1"/>
          <w:sz w:val="20"/>
          <w:szCs w:val="20"/>
        </w:rPr>
      </w:pPr>
      <w:r w:rsidRPr="6720167C">
        <w:rPr>
          <w:rFonts w:ascii="Garamond" w:hAnsi="Garamond"/>
          <w:color w:val="4C94D8" w:themeColor="text2" w:themeTint="80"/>
          <w:sz w:val="20"/>
          <w:szCs w:val="20"/>
        </w:rPr>
        <w:t xml:space="preserve">Study Design: </w:t>
      </w:r>
      <w:r w:rsidRPr="6720167C">
        <w:rPr>
          <w:rFonts w:ascii="Garamond" w:hAnsi="Garamond"/>
          <w:color w:val="000000" w:themeColor="text1"/>
          <w:sz w:val="20"/>
          <w:szCs w:val="20"/>
        </w:rPr>
        <w:t xml:space="preserve">This study follows a descriptive </w:t>
      </w:r>
      <w:r w:rsidR="008404D2" w:rsidRPr="6720167C">
        <w:rPr>
          <w:rFonts w:ascii="Garamond" w:hAnsi="Garamond"/>
          <w:color w:val="000000" w:themeColor="text1"/>
          <w:sz w:val="20"/>
          <w:szCs w:val="20"/>
        </w:rPr>
        <w:t>analysis.</w:t>
      </w:r>
    </w:p>
    <w:p w14:paraId="2A851591" w14:textId="77777777" w:rsidR="00450C46" w:rsidRPr="00496CF8" w:rsidRDefault="00450C46" w:rsidP="00450C46">
      <w:pPr>
        <w:rPr>
          <w:rFonts w:ascii="Garamond" w:hAnsi="Garamond"/>
          <w:color w:val="4C94D8" w:themeColor="text2" w:themeTint="80"/>
          <w:sz w:val="20"/>
          <w:szCs w:val="20"/>
        </w:rPr>
      </w:pPr>
      <w:r w:rsidRPr="00496CF8">
        <w:rPr>
          <w:rFonts w:ascii="Garamond" w:hAnsi="Garamond"/>
          <w:color w:val="4C94D8" w:themeColor="text2" w:themeTint="80"/>
          <w:sz w:val="20"/>
          <w:szCs w:val="20"/>
        </w:rPr>
        <w:t>2.1 Data Collection</w:t>
      </w:r>
    </w:p>
    <w:p w14:paraId="2563FE28" w14:textId="1515FC61" w:rsidR="00450C46" w:rsidRPr="00496CF8" w:rsidRDefault="00450C46" w:rsidP="00450C46">
      <w:pPr>
        <w:rPr>
          <w:rFonts w:ascii="Garamond" w:hAnsi="Garamond"/>
          <w:color w:val="000000" w:themeColor="text1"/>
          <w:sz w:val="20"/>
          <w:szCs w:val="20"/>
        </w:rPr>
      </w:pPr>
      <w:r w:rsidRPr="00496CF8">
        <w:rPr>
          <w:rFonts w:ascii="Garamond" w:hAnsi="Garamond"/>
          <w:color w:val="000000" w:themeColor="text1"/>
          <w:sz w:val="20"/>
          <w:szCs w:val="20"/>
        </w:rPr>
        <w:t>To evaluate student competencies in specific Health Informatics</w:t>
      </w:r>
      <w:r w:rsidR="00F70A54"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topics, we contacted instructors. They were asked to indicate</w:t>
      </w:r>
      <w:r w:rsidR="00F70A54"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which assignments or quizzes</w:t>
      </w:r>
      <w:r w:rsidR="00F70A54"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were used to measure student understanding</w:t>
      </w:r>
      <w:r w:rsidR="00F70A54" w:rsidRPr="00496CF8">
        <w:rPr>
          <w:rFonts w:ascii="Garamond" w:hAnsi="Garamond"/>
          <w:color w:val="000000" w:themeColor="text1"/>
          <w:sz w:val="20"/>
          <w:szCs w:val="20"/>
        </w:rPr>
        <w:t xml:space="preserve"> as </w:t>
      </w:r>
      <w:r w:rsidRPr="00496CF8">
        <w:rPr>
          <w:rFonts w:ascii="Garamond" w:hAnsi="Garamond"/>
          <w:color w:val="000000" w:themeColor="text1"/>
          <w:sz w:val="20"/>
          <w:szCs w:val="20"/>
        </w:rPr>
        <w:t>per the course learning objectives. To aid the process,</w:t>
      </w:r>
      <w:r w:rsidR="00384677"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we shared a</w:t>
      </w:r>
      <w:r w:rsidR="00384677"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Word document with a table containing each learning</w:t>
      </w:r>
      <w:r w:rsidR="00384677"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outcome, sourced from the university website. Instructors</w:t>
      </w:r>
      <w:r w:rsidR="00384677"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were then asked to identify the correlation between assessments</w:t>
      </w:r>
      <w:r w:rsidR="00384677"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and learning objectives by mapping outcomes to corresponding</w:t>
      </w:r>
      <w:r w:rsidR="00384677"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assignments/quizzes.</w:t>
      </w:r>
    </w:p>
    <w:p w14:paraId="081A15D5" w14:textId="77777777" w:rsidR="00450C46" w:rsidRPr="00496CF8" w:rsidRDefault="00450C46" w:rsidP="00450C46">
      <w:pPr>
        <w:rPr>
          <w:rFonts w:ascii="Garamond" w:hAnsi="Garamond"/>
          <w:color w:val="000000" w:themeColor="text1"/>
          <w:sz w:val="20"/>
          <w:szCs w:val="20"/>
        </w:rPr>
      </w:pPr>
      <w:r w:rsidRPr="00496CF8">
        <w:rPr>
          <w:rFonts w:ascii="Garamond" w:hAnsi="Garamond"/>
          <w:color w:val="4C94D8" w:themeColor="text2" w:themeTint="80"/>
          <w:sz w:val="20"/>
          <w:szCs w:val="20"/>
        </w:rPr>
        <w:t>2.2 Data Preprocessing</w:t>
      </w:r>
    </w:p>
    <w:p w14:paraId="2B635919" w14:textId="55575CD9" w:rsidR="00450C46" w:rsidRPr="00496CF8" w:rsidRDefault="00450C46" w:rsidP="00450C46">
      <w:pPr>
        <w:rPr>
          <w:rFonts w:ascii="Garamond" w:hAnsi="Garamond"/>
          <w:color w:val="000000" w:themeColor="text1"/>
          <w:sz w:val="20"/>
          <w:szCs w:val="20"/>
        </w:rPr>
      </w:pPr>
      <w:r w:rsidRPr="00496CF8">
        <w:rPr>
          <w:rFonts w:ascii="Garamond" w:hAnsi="Garamond"/>
          <w:color w:val="000000" w:themeColor="text1"/>
          <w:sz w:val="20"/>
          <w:szCs w:val="20"/>
        </w:rPr>
        <w:t>After receiving inputs from instructors, we connected the course</w:t>
      </w:r>
      <w:r w:rsidR="00384677"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learning outcomes (CLO) to various assessments like assignments,</w:t>
      </w:r>
      <w:r w:rsidR="00384677"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discussions, quizzes, projects, etc. This enabled us to pinpoint</w:t>
      </w:r>
      <w:r w:rsidR="00384677"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assessments employed to measure specific topics. Next, student</w:t>
      </w:r>
      <w:r w:rsidR="00384677"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grades on these assessments were analyzed to gauge their competencies.</w:t>
      </w:r>
      <w:r w:rsidR="0002599D"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To ensure student privacy, we anonymized the data</w:t>
      </w:r>
      <w:r w:rsidR="003E1107"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and shuffled the rows to eliminate any name-based or grade-based</w:t>
      </w:r>
      <w:r w:rsidR="0002599D"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sorting. Data cleaning was performed to exclude null values, and</w:t>
      </w:r>
      <w:r w:rsidR="004C486A"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the dataset was divided into semesters using a naming convention.</w:t>
      </w:r>
      <w:r w:rsidR="0002599D"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Each row in the dataset represents a student and their final course</w:t>
      </w:r>
      <w:r w:rsidR="0002599D"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grade, with a specific column for the CLO. Our analysis focused</w:t>
      </w:r>
      <w:r w:rsidR="0002599D"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on calculating the percentage of students scoring above 80% for</w:t>
      </w:r>
      <w:r w:rsidR="0002599D"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each CLO in every semester. While maintaining privacy, data was</w:t>
      </w:r>
      <w:r w:rsidR="004A3864"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presented semester-wise, covering Fall 2020, Spring 2021, Fall 2021,</w:t>
      </w:r>
      <w:r w:rsidR="004A3864"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Spring 2022, and Fall 2022.</w:t>
      </w:r>
    </w:p>
    <w:p w14:paraId="1D5DE635" w14:textId="77777777" w:rsidR="00450C46" w:rsidRPr="00496CF8" w:rsidRDefault="00450C46" w:rsidP="00450C46">
      <w:pPr>
        <w:rPr>
          <w:rFonts w:ascii="Garamond" w:hAnsi="Garamond"/>
          <w:color w:val="4C94D8" w:themeColor="text2" w:themeTint="80"/>
          <w:sz w:val="20"/>
          <w:szCs w:val="20"/>
        </w:rPr>
      </w:pPr>
      <w:r w:rsidRPr="00496CF8">
        <w:rPr>
          <w:rFonts w:ascii="Garamond" w:hAnsi="Garamond"/>
          <w:color w:val="4C94D8" w:themeColor="text2" w:themeTint="80"/>
          <w:sz w:val="20"/>
          <w:szCs w:val="20"/>
        </w:rPr>
        <w:t>2.3 Exploratory Data Analysis</w:t>
      </w:r>
    </w:p>
    <w:p w14:paraId="2B28E80A" w14:textId="689CC790" w:rsidR="00450C46" w:rsidRPr="00496CF8" w:rsidRDefault="00450C46" w:rsidP="00450C46">
      <w:pPr>
        <w:rPr>
          <w:rFonts w:ascii="Garamond" w:hAnsi="Garamond"/>
          <w:color w:val="000000" w:themeColor="text1"/>
          <w:sz w:val="20"/>
          <w:szCs w:val="20"/>
        </w:rPr>
      </w:pPr>
      <w:r w:rsidRPr="00496CF8">
        <w:rPr>
          <w:rFonts w:ascii="Garamond" w:hAnsi="Garamond"/>
          <w:color w:val="000000" w:themeColor="text1"/>
          <w:sz w:val="20"/>
          <w:szCs w:val="20"/>
        </w:rPr>
        <w:t>We carried out exploratory data analysis (EDA) for each learning</w:t>
      </w:r>
      <w:r w:rsidR="004A3864"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outcome to understand grade distribution and identify trends.</w:t>
      </w:r>
      <w:r w:rsidR="004A3864"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We</w:t>
      </w:r>
      <w:r w:rsidR="004A3864"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employed descriptive statistics, including mean, median, standard</w:t>
      </w:r>
      <w:r w:rsidR="004A3864"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deviation, and quartiles, to examine grade distribution. Visualization</w:t>
      </w:r>
      <w:r w:rsidR="004A3864"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tools such as bar charts were utilized to identify potential</w:t>
      </w:r>
      <w:r w:rsidR="004A3864"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trends within a specific course’s learning objectives. This analysis</w:t>
      </w:r>
      <w:r w:rsidR="004A3864"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enabled us to spot areas of student strengths and areas needing</w:t>
      </w:r>
      <w:r w:rsidR="004A3864"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improvement.</w:t>
      </w:r>
    </w:p>
    <w:p w14:paraId="585F4FD4" w14:textId="40607235" w:rsidR="00D2606F" w:rsidRPr="00496CF8" w:rsidRDefault="00450C46" w:rsidP="00450C46">
      <w:pPr>
        <w:rPr>
          <w:rFonts w:ascii="Garamond" w:hAnsi="Garamond"/>
          <w:color w:val="000000" w:themeColor="text1"/>
          <w:sz w:val="20"/>
          <w:szCs w:val="20"/>
        </w:rPr>
      </w:pPr>
      <w:r w:rsidRPr="6720167C">
        <w:rPr>
          <w:rFonts w:ascii="Garamond" w:hAnsi="Garamond"/>
          <w:color w:val="000000" w:themeColor="text1"/>
          <w:sz w:val="20"/>
          <w:szCs w:val="20"/>
        </w:rPr>
        <w:t>Correlation Mapping: A correlation mapping was performed</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to discern the relationship between each CLO and the final grade.</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The correlation table displayed correlation coefficients between</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each CLO and the final grade, with the latter being the dependent</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variable. This process helped identify the most significant CLOs</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influencing the final grade, and those needing further attention.</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For B530, the final grades showed a strong positive correlation</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of either 0.9 or 0.91 with all the CLOs. In B505, the final grades</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exhibited a stronger positive correlation ranging from ≥ 0.89 to</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 0.91, with the highest correlation of 0.91 observed for multiple</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CLOs. In I501, the final grades displayed a stronger positive correlation</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ranging from≥ 0.9 to≤ 0.94, with the highest correlation</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of 0.94 found for specific CLOs. For B535, the final grade showed</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a uniform strong positive correlation of 0.9 with all the CLOs. In</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B518, the final grade exhibited a strong positive correlation, with</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a coefficient of 0.94 for multiple CLOs. B581 showed a stronger</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positive correlation of 0.91 or 0.92 between the final grades and the</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CLOs. Lastly, in B642, the final grades displayed highly positive</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correlations of either 0.95 or 0.94 with the CLOs. Many of these</w:t>
      </w:r>
      <w:r w:rsidR="004A3864"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were milestone assignments in the course, or after the program</w:t>
      </w:r>
      <w:r w:rsidR="00D2606F"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review, they were made to be milestone assignments.</w:t>
      </w:r>
      <w:r w:rsidR="00D2606F"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 xml:space="preserve">The correlations we performed </w:t>
      </w:r>
      <w:r w:rsidR="026CCEEA" w:rsidRPr="6720167C">
        <w:rPr>
          <w:rFonts w:ascii="Garamond" w:hAnsi="Garamond"/>
          <w:color w:val="000000" w:themeColor="text1"/>
          <w:sz w:val="20"/>
          <w:szCs w:val="20"/>
        </w:rPr>
        <w:t>highlight</w:t>
      </w:r>
      <w:r w:rsidRPr="6720167C">
        <w:rPr>
          <w:rFonts w:ascii="Garamond" w:hAnsi="Garamond"/>
          <w:color w:val="000000" w:themeColor="text1"/>
          <w:sz w:val="20"/>
          <w:szCs w:val="20"/>
        </w:rPr>
        <w:t xml:space="preserve"> the importance of</w:t>
      </w:r>
      <w:r w:rsidR="00D2606F"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the CLOs in</w:t>
      </w:r>
      <w:r w:rsidR="00D2606F"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influencing the final grades, emphasizing the significance</w:t>
      </w:r>
      <w:r w:rsidR="00D2606F" w:rsidRPr="6720167C">
        <w:rPr>
          <w:rFonts w:ascii="Garamond" w:hAnsi="Garamond"/>
          <w:color w:val="000000" w:themeColor="text1"/>
          <w:sz w:val="20"/>
          <w:szCs w:val="20"/>
        </w:rPr>
        <w:t xml:space="preserve"> </w:t>
      </w:r>
      <w:r w:rsidRPr="6720167C">
        <w:rPr>
          <w:rFonts w:ascii="Garamond" w:hAnsi="Garamond"/>
          <w:color w:val="000000" w:themeColor="text1"/>
          <w:sz w:val="20"/>
          <w:szCs w:val="20"/>
        </w:rPr>
        <w:t>of addressing each objective for overall course performance.</w:t>
      </w:r>
    </w:p>
    <w:p w14:paraId="3BCE13FA" w14:textId="222DF6BC" w:rsidR="00450C46" w:rsidRPr="00496CF8" w:rsidRDefault="00450C46" w:rsidP="00450C46">
      <w:pPr>
        <w:rPr>
          <w:rFonts w:ascii="Garamond" w:hAnsi="Garamond"/>
          <w:color w:val="4C94D8" w:themeColor="text2" w:themeTint="80"/>
          <w:sz w:val="20"/>
          <w:szCs w:val="20"/>
        </w:rPr>
      </w:pPr>
      <w:r w:rsidRPr="00496CF8">
        <w:rPr>
          <w:rFonts w:ascii="Garamond" w:hAnsi="Garamond"/>
          <w:color w:val="4C94D8" w:themeColor="text2" w:themeTint="80"/>
          <w:sz w:val="20"/>
          <w:szCs w:val="20"/>
        </w:rPr>
        <w:t>2.4 Existing tools for Program Assessment</w:t>
      </w:r>
    </w:p>
    <w:p w14:paraId="1EB7898D" w14:textId="53092399" w:rsidR="00450C46" w:rsidRPr="00496CF8" w:rsidRDefault="00450C46" w:rsidP="00450C46">
      <w:pPr>
        <w:rPr>
          <w:rFonts w:ascii="Garamond" w:hAnsi="Garamond"/>
          <w:color w:val="000000" w:themeColor="text1"/>
          <w:sz w:val="20"/>
          <w:szCs w:val="20"/>
        </w:rPr>
      </w:pPr>
      <w:r w:rsidRPr="00496CF8">
        <w:rPr>
          <w:rFonts w:ascii="Garamond" w:hAnsi="Garamond"/>
          <w:color w:val="000000" w:themeColor="text1"/>
          <w:sz w:val="20"/>
          <w:szCs w:val="20"/>
        </w:rPr>
        <w:lastRenderedPageBreak/>
        <w:t>CAHIIM Self-Evaluation</w:t>
      </w:r>
      <w:r w:rsidR="001B09BE"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Tool Assessment (CSET): The</w:t>
      </w:r>
      <w:r w:rsidR="001B09BE"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CAHIIM</w:t>
      </w:r>
      <w:r w:rsidR="001B09BE"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Self-Evaluation Tool Assessment (CSET) is an all-inclusive, standardized</w:t>
      </w:r>
      <w:r w:rsidR="001B09BE"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tool, developed by the Commission on Accreditation</w:t>
      </w:r>
      <w:r w:rsidR="001B09BE"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for Health Informatics and Information</w:t>
      </w:r>
      <w:r w:rsidR="001B09BE"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Management Education</w:t>
      </w:r>
      <w:r w:rsidR="001B09BE"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 xml:space="preserve">CAHIIM). It is designed to evaluate the effectiveness of </w:t>
      </w:r>
      <w:r w:rsidR="00143935" w:rsidRPr="00496CF8">
        <w:rPr>
          <w:rFonts w:ascii="Garamond" w:hAnsi="Garamond"/>
          <w:color w:val="000000" w:themeColor="text1"/>
          <w:sz w:val="20"/>
          <w:szCs w:val="20"/>
        </w:rPr>
        <w:t>Health Informatics</w:t>
      </w:r>
      <w:r w:rsidRPr="00496CF8">
        <w:rPr>
          <w:rFonts w:ascii="Garamond" w:hAnsi="Garamond"/>
          <w:color w:val="000000" w:themeColor="text1"/>
          <w:sz w:val="20"/>
          <w:szCs w:val="20"/>
        </w:rPr>
        <w:t xml:space="preserve"> and Information</w:t>
      </w:r>
      <w:r w:rsidR="00614FA3"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Management (HIIM) programs. By</w:t>
      </w:r>
      <w:r w:rsidR="00614FA3"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utilizing the CSET, HIIM programs can identify their strengths</w:t>
      </w:r>
      <w:r w:rsidR="00614FA3"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and weaknesses and devise strategies to enhance their educational</w:t>
      </w:r>
      <w:r w:rsidR="00614FA3"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programs. This tool is crucial for healthcare organizations seeking</w:t>
      </w:r>
      <w:r w:rsidR="00614FA3"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CAHIIM</w:t>
      </w:r>
      <w:r w:rsidR="00614FA3"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accreditation or maintaining their current accreditation,</w:t>
      </w:r>
    </w:p>
    <w:p w14:paraId="3152CBFA" w14:textId="77777777" w:rsidR="00C05889" w:rsidRPr="00496CF8" w:rsidRDefault="00C05889" w:rsidP="00450C46">
      <w:pPr>
        <w:rPr>
          <w:rFonts w:ascii="Garamond" w:hAnsi="Garamond"/>
          <w:color w:val="000000" w:themeColor="text1"/>
          <w:sz w:val="20"/>
          <w:szCs w:val="20"/>
        </w:rPr>
      </w:pPr>
    </w:p>
    <w:p w14:paraId="4264611F" w14:textId="1AAA378E" w:rsidR="00C05889" w:rsidRPr="00496CF8" w:rsidRDefault="00C05889" w:rsidP="00450C46">
      <w:pPr>
        <w:rPr>
          <w:rFonts w:ascii="Garamond" w:hAnsi="Garamond"/>
          <w:color w:val="000000" w:themeColor="text1"/>
          <w:sz w:val="20"/>
          <w:szCs w:val="20"/>
        </w:rPr>
      </w:pPr>
      <w:r w:rsidRPr="00496CF8">
        <w:rPr>
          <w:rFonts w:ascii="Garamond" w:hAnsi="Garamond"/>
          <w:noProof/>
          <w:color w:val="000000" w:themeColor="text1"/>
          <w:sz w:val="20"/>
          <w:szCs w:val="20"/>
        </w:rPr>
        <w:drawing>
          <wp:inline distT="0" distB="0" distL="0" distR="0" wp14:anchorId="753B32D6" wp14:editId="48F5CBA5">
            <wp:extent cx="1772891" cy="1181927"/>
            <wp:effectExtent l="0" t="0" r="5715" b="0"/>
            <wp:docPr id="851035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35827" name="Picture 851035827"/>
                    <pic:cNvPicPr/>
                  </pic:nvPicPr>
                  <pic:blipFill>
                    <a:blip r:embed="rId12">
                      <a:extLst>
                        <a:ext uri="{28A0092B-C50C-407E-A947-70E740481C1C}">
                          <a14:useLocalDpi xmlns:a14="http://schemas.microsoft.com/office/drawing/2010/main" val="0"/>
                        </a:ext>
                      </a:extLst>
                    </a:blip>
                    <a:stretch>
                      <a:fillRect/>
                    </a:stretch>
                  </pic:blipFill>
                  <pic:spPr>
                    <a:xfrm>
                      <a:off x="0" y="0"/>
                      <a:ext cx="1823406" cy="1215604"/>
                    </a:xfrm>
                    <a:prstGeom prst="rect">
                      <a:avLst/>
                    </a:prstGeom>
                  </pic:spPr>
                </pic:pic>
              </a:graphicData>
            </a:graphic>
          </wp:inline>
        </w:drawing>
      </w:r>
      <w:r w:rsidRPr="00496CF8">
        <w:rPr>
          <w:rFonts w:ascii="Garamond" w:hAnsi="Garamond"/>
          <w:noProof/>
          <w:color w:val="000000" w:themeColor="text1"/>
          <w:sz w:val="20"/>
          <w:szCs w:val="20"/>
        </w:rPr>
        <w:drawing>
          <wp:inline distT="0" distB="0" distL="0" distR="0" wp14:anchorId="4F8ECAF9" wp14:editId="421C3E8F">
            <wp:extent cx="1770558" cy="1180371"/>
            <wp:effectExtent l="0" t="0" r="0" b="1270"/>
            <wp:docPr id="8207137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13734" name="Picture 820713734"/>
                    <pic:cNvPicPr/>
                  </pic:nvPicPr>
                  <pic:blipFill>
                    <a:blip r:embed="rId13">
                      <a:extLst>
                        <a:ext uri="{28A0092B-C50C-407E-A947-70E740481C1C}">
                          <a14:useLocalDpi xmlns:a14="http://schemas.microsoft.com/office/drawing/2010/main" val="0"/>
                        </a:ext>
                      </a:extLst>
                    </a:blip>
                    <a:stretch>
                      <a:fillRect/>
                    </a:stretch>
                  </pic:blipFill>
                  <pic:spPr>
                    <a:xfrm>
                      <a:off x="0" y="0"/>
                      <a:ext cx="1858887" cy="1239257"/>
                    </a:xfrm>
                    <a:prstGeom prst="rect">
                      <a:avLst/>
                    </a:prstGeom>
                  </pic:spPr>
                </pic:pic>
              </a:graphicData>
            </a:graphic>
          </wp:inline>
        </w:drawing>
      </w:r>
      <w:r w:rsidRPr="00496CF8">
        <w:rPr>
          <w:rFonts w:ascii="Garamond" w:hAnsi="Garamond"/>
          <w:noProof/>
          <w:color w:val="000000" w:themeColor="text1"/>
          <w:sz w:val="20"/>
          <w:szCs w:val="20"/>
        </w:rPr>
        <w:drawing>
          <wp:inline distT="0" distB="0" distL="0" distR="0" wp14:anchorId="0F220C3E" wp14:editId="513BB62E">
            <wp:extent cx="1764734" cy="1176489"/>
            <wp:effectExtent l="0" t="0" r="635" b="5080"/>
            <wp:docPr id="547954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5441" name="Picture 54795441"/>
                    <pic:cNvPicPr/>
                  </pic:nvPicPr>
                  <pic:blipFill>
                    <a:blip r:embed="rId14">
                      <a:extLst>
                        <a:ext uri="{28A0092B-C50C-407E-A947-70E740481C1C}">
                          <a14:useLocalDpi xmlns:a14="http://schemas.microsoft.com/office/drawing/2010/main" val="0"/>
                        </a:ext>
                      </a:extLst>
                    </a:blip>
                    <a:stretch>
                      <a:fillRect/>
                    </a:stretch>
                  </pic:blipFill>
                  <pic:spPr>
                    <a:xfrm>
                      <a:off x="0" y="0"/>
                      <a:ext cx="1888587" cy="1259058"/>
                    </a:xfrm>
                    <a:prstGeom prst="rect">
                      <a:avLst/>
                    </a:prstGeom>
                  </pic:spPr>
                </pic:pic>
              </a:graphicData>
            </a:graphic>
          </wp:inline>
        </w:drawing>
      </w:r>
    </w:p>
    <w:p w14:paraId="3FE63B2F" w14:textId="77777777" w:rsidR="00C05889" w:rsidRPr="00496CF8" w:rsidRDefault="00C05889" w:rsidP="00450C46">
      <w:pPr>
        <w:rPr>
          <w:rFonts w:ascii="Garamond" w:hAnsi="Garamond"/>
          <w:color w:val="000000" w:themeColor="text1"/>
          <w:sz w:val="20"/>
          <w:szCs w:val="20"/>
        </w:rPr>
      </w:pPr>
    </w:p>
    <w:p w14:paraId="37C377AA" w14:textId="77777777" w:rsidR="00A9644A" w:rsidRPr="00496CF8" w:rsidRDefault="00C05889" w:rsidP="00450C46">
      <w:pPr>
        <w:rPr>
          <w:rFonts w:ascii="Garamond" w:hAnsi="Garamond"/>
          <w:color w:val="000000" w:themeColor="text1"/>
          <w:sz w:val="20"/>
          <w:szCs w:val="20"/>
        </w:rPr>
      </w:pPr>
      <w:r w:rsidRPr="00496CF8">
        <w:rPr>
          <w:rFonts w:ascii="Garamond" w:hAnsi="Garamond"/>
          <w:noProof/>
          <w:color w:val="000000" w:themeColor="text1"/>
          <w:sz w:val="20"/>
          <w:szCs w:val="20"/>
        </w:rPr>
        <w:drawing>
          <wp:inline distT="0" distB="0" distL="0" distR="0" wp14:anchorId="4A423F7B" wp14:editId="4A47F9C6">
            <wp:extent cx="1694844" cy="1129896"/>
            <wp:effectExtent l="0" t="0" r="0" b="635"/>
            <wp:docPr id="13385736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73643" name="Picture 1338573643"/>
                    <pic:cNvPicPr/>
                  </pic:nvPicPr>
                  <pic:blipFill>
                    <a:blip r:embed="rId15">
                      <a:extLst>
                        <a:ext uri="{28A0092B-C50C-407E-A947-70E740481C1C}">
                          <a14:useLocalDpi xmlns:a14="http://schemas.microsoft.com/office/drawing/2010/main" val="0"/>
                        </a:ext>
                      </a:extLst>
                    </a:blip>
                    <a:stretch>
                      <a:fillRect/>
                    </a:stretch>
                  </pic:blipFill>
                  <pic:spPr>
                    <a:xfrm>
                      <a:off x="0" y="0"/>
                      <a:ext cx="1829384" cy="1219589"/>
                    </a:xfrm>
                    <a:prstGeom prst="rect">
                      <a:avLst/>
                    </a:prstGeom>
                  </pic:spPr>
                </pic:pic>
              </a:graphicData>
            </a:graphic>
          </wp:inline>
        </w:drawing>
      </w:r>
      <w:r w:rsidRPr="00496CF8">
        <w:rPr>
          <w:rFonts w:ascii="Garamond" w:hAnsi="Garamond"/>
          <w:noProof/>
          <w:color w:val="000000" w:themeColor="text1"/>
          <w:sz w:val="20"/>
          <w:szCs w:val="20"/>
        </w:rPr>
        <w:drawing>
          <wp:inline distT="0" distB="0" distL="0" distR="0" wp14:anchorId="17686F67" wp14:editId="48C084ED">
            <wp:extent cx="1633692" cy="1089127"/>
            <wp:effectExtent l="0" t="0" r="5080" b="3175"/>
            <wp:docPr id="20581207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20767" name="Picture 205812076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2274" cy="1188182"/>
                    </a:xfrm>
                    <a:prstGeom prst="rect">
                      <a:avLst/>
                    </a:prstGeom>
                  </pic:spPr>
                </pic:pic>
              </a:graphicData>
            </a:graphic>
          </wp:inline>
        </w:drawing>
      </w:r>
      <w:r w:rsidRPr="00496CF8">
        <w:rPr>
          <w:rFonts w:ascii="Garamond" w:hAnsi="Garamond"/>
          <w:noProof/>
          <w:color w:val="000000" w:themeColor="text1"/>
          <w:sz w:val="20"/>
          <w:szCs w:val="20"/>
        </w:rPr>
        <w:drawing>
          <wp:inline distT="0" distB="0" distL="0" distR="0" wp14:anchorId="67379985" wp14:editId="73E8E5B0">
            <wp:extent cx="1584183" cy="1056122"/>
            <wp:effectExtent l="0" t="0" r="3810" b="0"/>
            <wp:docPr id="20242946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94673" name="Picture 202429467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78374" cy="1118916"/>
                    </a:xfrm>
                    <a:prstGeom prst="rect">
                      <a:avLst/>
                    </a:prstGeom>
                  </pic:spPr>
                </pic:pic>
              </a:graphicData>
            </a:graphic>
          </wp:inline>
        </w:drawing>
      </w:r>
      <w:r w:rsidR="00A9644A" w:rsidRPr="00496CF8">
        <w:rPr>
          <w:rFonts w:ascii="Garamond" w:hAnsi="Garamond"/>
          <w:color w:val="000000" w:themeColor="text1"/>
          <w:sz w:val="20"/>
          <w:szCs w:val="20"/>
        </w:rPr>
        <w:t xml:space="preserve">       </w:t>
      </w:r>
    </w:p>
    <w:p w14:paraId="06AD0CAA" w14:textId="77777777" w:rsidR="00A9644A" w:rsidRPr="00496CF8" w:rsidRDefault="00A9644A" w:rsidP="00450C46">
      <w:pPr>
        <w:rPr>
          <w:rFonts w:ascii="Garamond" w:hAnsi="Garamond"/>
          <w:color w:val="000000" w:themeColor="text1"/>
          <w:sz w:val="20"/>
          <w:szCs w:val="20"/>
        </w:rPr>
      </w:pPr>
    </w:p>
    <w:p w14:paraId="0DC07EC3" w14:textId="60D28108" w:rsidR="00C05889" w:rsidRPr="00496CF8" w:rsidRDefault="00A9644A" w:rsidP="00450C46">
      <w:pPr>
        <w:rPr>
          <w:rFonts w:ascii="Garamond" w:hAnsi="Garamond"/>
          <w:color w:val="000000" w:themeColor="text1"/>
          <w:sz w:val="20"/>
          <w:szCs w:val="20"/>
        </w:rPr>
      </w:pPr>
      <w:r w:rsidRPr="00496CF8">
        <w:rPr>
          <w:rFonts w:ascii="Garamond" w:hAnsi="Garamond"/>
          <w:noProof/>
          <w:color w:val="000000" w:themeColor="text1"/>
          <w:sz w:val="20"/>
          <w:szCs w:val="20"/>
        </w:rPr>
        <w:drawing>
          <wp:inline distT="0" distB="0" distL="0" distR="0" wp14:anchorId="236FBA2C" wp14:editId="2E93B73A">
            <wp:extent cx="1572534" cy="1048356"/>
            <wp:effectExtent l="0" t="0" r="2540" b="6350"/>
            <wp:docPr id="12078136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13618" name="Picture 12078136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94037" cy="1129358"/>
                    </a:xfrm>
                    <a:prstGeom prst="rect">
                      <a:avLst/>
                    </a:prstGeom>
                  </pic:spPr>
                </pic:pic>
              </a:graphicData>
            </a:graphic>
          </wp:inline>
        </w:drawing>
      </w:r>
    </w:p>
    <w:p w14:paraId="7E67CCD0" w14:textId="5BA89FF6" w:rsidR="008404D2" w:rsidRPr="00496CF8" w:rsidRDefault="001000A1" w:rsidP="001639F5">
      <w:pPr>
        <w:jc w:val="center"/>
        <w:rPr>
          <w:rFonts w:ascii="Garamond" w:hAnsi="Garamond"/>
          <w:color w:val="000000" w:themeColor="text1"/>
          <w:sz w:val="18"/>
          <w:szCs w:val="18"/>
        </w:rPr>
      </w:pPr>
      <w:r w:rsidRPr="00496CF8">
        <w:rPr>
          <w:rFonts w:ascii="Garamond" w:hAnsi="Garamond"/>
          <w:b/>
          <w:bCs/>
          <w:color w:val="000000" w:themeColor="text1"/>
          <w:sz w:val="18"/>
          <w:szCs w:val="18"/>
        </w:rPr>
        <w:t xml:space="preserve">Figure </w:t>
      </w:r>
      <w:r w:rsidR="002D4F65" w:rsidRPr="00496CF8">
        <w:rPr>
          <w:rFonts w:ascii="Garamond" w:hAnsi="Garamond"/>
          <w:b/>
          <w:bCs/>
          <w:color w:val="000000" w:themeColor="text1"/>
          <w:sz w:val="18"/>
          <w:szCs w:val="18"/>
        </w:rPr>
        <w:t>4</w:t>
      </w:r>
      <w:r w:rsidR="001006FF" w:rsidRPr="00496CF8">
        <w:rPr>
          <w:rFonts w:ascii="Garamond" w:hAnsi="Garamond"/>
          <w:b/>
          <w:bCs/>
          <w:color w:val="000000" w:themeColor="text1"/>
          <w:sz w:val="18"/>
          <w:szCs w:val="18"/>
        </w:rPr>
        <w:t>:</w:t>
      </w:r>
      <w:r w:rsidRPr="00496CF8">
        <w:rPr>
          <w:rFonts w:ascii="Garamond" w:hAnsi="Garamond"/>
          <w:color w:val="000000" w:themeColor="text1"/>
          <w:sz w:val="18"/>
          <w:szCs w:val="18"/>
        </w:rPr>
        <w:t xml:space="preserve"> Bar Charts depicting the distribution of CLOs per course</w:t>
      </w:r>
    </w:p>
    <w:p w14:paraId="291A4C93" w14:textId="77777777" w:rsidR="001639F5" w:rsidRPr="00496CF8" w:rsidRDefault="001639F5" w:rsidP="001639F5">
      <w:pPr>
        <w:jc w:val="center"/>
        <w:rPr>
          <w:rFonts w:ascii="Garamond" w:hAnsi="Garamond"/>
          <w:color w:val="000000" w:themeColor="text1"/>
          <w:sz w:val="18"/>
          <w:szCs w:val="18"/>
        </w:rPr>
      </w:pPr>
    </w:p>
    <w:p w14:paraId="69E9C425" w14:textId="3E078D8E" w:rsidR="00497F3D" w:rsidRPr="00496CF8" w:rsidRDefault="00497F3D" w:rsidP="00497F3D">
      <w:pPr>
        <w:rPr>
          <w:rFonts w:ascii="Garamond" w:hAnsi="Garamond"/>
          <w:color w:val="000000" w:themeColor="text1"/>
          <w:sz w:val="20"/>
          <w:szCs w:val="20"/>
        </w:rPr>
      </w:pPr>
      <w:r w:rsidRPr="00496CF8">
        <w:rPr>
          <w:rFonts w:ascii="Garamond" w:hAnsi="Garamond"/>
          <w:color w:val="000000" w:themeColor="text1"/>
          <w:sz w:val="20"/>
          <w:szCs w:val="20"/>
        </w:rPr>
        <w:t>as it helps highlight areas that may not meet CAHIIM standards,</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facilitating proactive improvement measures.</w:t>
      </w:r>
    </w:p>
    <w:p w14:paraId="312C46E0" w14:textId="2F912931" w:rsidR="00497F3D" w:rsidRPr="00496CF8" w:rsidRDefault="00497F3D" w:rsidP="00497F3D">
      <w:pPr>
        <w:rPr>
          <w:rFonts w:ascii="Garamond" w:hAnsi="Garamond"/>
          <w:color w:val="000000" w:themeColor="text1"/>
          <w:sz w:val="20"/>
          <w:szCs w:val="20"/>
        </w:rPr>
      </w:pPr>
      <w:r w:rsidRPr="00496CF8">
        <w:rPr>
          <w:rFonts w:ascii="Garamond" w:hAnsi="Garamond"/>
          <w:color w:val="000000" w:themeColor="text1"/>
          <w:sz w:val="20"/>
          <w:szCs w:val="20"/>
        </w:rPr>
        <w:t>The CSET, also known as the Comprehensive Program Review</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for Teacher Education, consists of six main areas: curriculum,</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faculty, students, resources, outcomes assessment, and programmatic</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accreditation. Each of these areas is subdivided into</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more specific domains, evaluated via a blend of quantitative and</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qualitative methods. The evaluation is undertaken by program</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faculty and staff to gauge their program’s performance against</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pre-established standards and benchmarks.</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The ’curriculum’ domain scrutinizes the HIIM program’s</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course content and structure, verifying alignment with the program’s</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mission, goals, and outcomes. The ’faculty’ domain assesses</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the qualifications, credentials, and professional development</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of faculty members teaching in the program, along with</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their contribution to its development and evaluation.</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The ’students’ domain evaluates the qualifications and characteristics</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of the students enrolled, their performance, and outcomes.</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It encompasses the assessment of admission criteria, procedures,</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student retention rates, and student achievements through</w:t>
      </w:r>
      <w:r w:rsidR="001639F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program-specific assessments and licensure exams.</w:t>
      </w:r>
      <w:r w:rsidR="0011635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The ’resources’ domain assesses the availability and adequacy</w:t>
      </w:r>
      <w:r w:rsidR="0011635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of resources and infrastructure that support the program, including</w:t>
      </w:r>
      <w:r w:rsidR="0011635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classrooms,</w:t>
      </w:r>
      <w:r w:rsidR="0011635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laboratories, technology resources, and other essential</w:t>
      </w:r>
      <w:r w:rsidR="0011635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equipment.</w:t>
      </w:r>
    </w:p>
    <w:p w14:paraId="4407FFAA" w14:textId="540556B2" w:rsidR="00ED05D7" w:rsidRPr="00496CF8" w:rsidRDefault="00497F3D" w:rsidP="00ED05D7">
      <w:pPr>
        <w:rPr>
          <w:rFonts w:ascii="Garamond" w:hAnsi="Garamond"/>
          <w:color w:val="000000" w:themeColor="text1"/>
          <w:sz w:val="20"/>
          <w:szCs w:val="20"/>
        </w:rPr>
      </w:pPr>
      <w:r w:rsidRPr="00496CF8">
        <w:rPr>
          <w:rFonts w:ascii="Garamond" w:hAnsi="Garamond"/>
          <w:color w:val="000000" w:themeColor="text1"/>
          <w:sz w:val="20"/>
          <w:szCs w:val="20"/>
        </w:rPr>
        <w:lastRenderedPageBreak/>
        <w:t>Lastly, the ’outcomes assessment’ domain focuses on evaluating</w:t>
      </w:r>
      <w:r w:rsidR="00116355"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the HIIM program’s effectiveness in realizing its mission,</w:t>
      </w:r>
      <w:r w:rsidR="00ED05D7" w:rsidRPr="00496CF8">
        <w:rPr>
          <w:rFonts w:ascii="Garamond" w:hAnsi="Garamond"/>
          <w:color w:val="000000" w:themeColor="text1"/>
          <w:sz w:val="20"/>
          <w:szCs w:val="20"/>
        </w:rPr>
        <w:t xml:space="preserve"> goals, and outcomes. It includes the assessment of student learning outcomes, programmatic outcomes, and the overall impact of the program on graduates and the profession.</w:t>
      </w:r>
    </w:p>
    <w:p w14:paraId="348FFBA2" w14:textId="559FB1A0" w:rsidR="001000A1" w:rsidRPr="00496CF8" w:rsidRDefault="00ED05D7" w:rsidP="00ED05D7">
      <w:pPr>
        <w:rPr>
          <w:rFonts w:ascii="Garamond" w:hAnsi="Garamond"/>
          <w:color w:val="000000" w:themeColor="text1"/>
          <w:sz w:val="20"/>
          <w:szCs w:val="20"/>
        </w:rPr>
      </w:pPr>
      <w:r w:rsidRPr="00496CF8">
        <w:rPr>
          <w:rFonts w:ascii="Garamond" w:hAnsi="Garamond"/>
          <w:color w:val="000000" w:themeColor="text1"/>
          <w:sz w:val="20"/>
          <w:szCs w:val="20"/>
        </w:rPr>
        <w:t>In conclusion, The CAHIIM Self-Evaluation Tool Assessment</w:t>
      </w:r>
      <w:r w:rsidR="006D2714"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(CSET) provides healthcare organizations with a comprehensive</w:t>
      </w:r>
      <w:r w:rsidR="006D2714"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method to assess their HIIM programs, ensuring compliance</w:t>
      </w:r>
      <w:r w:rsidR="006D2714"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with CAHIIM standards. It helps identify improvement</w:t>
      </w:r>
      <w:r w:rsidR="006D2714" w:rsidRPr="00496CF8">
        <w:rPr>
          <w:rFonts w:ascii="Garamond" w:hAnsi="Garamond"/>
          <w:color w:val="000000" w:themeColor="text1"/>
          <w:sz w:val="20"/>
          <w:szCs w:val="20"/>
        </w:rPr>
        <w:t xml:space="preserve"> </w:t>
      </w:r>
      <w:r w:rsidRPr="00496CF8">
        <w:rPr>
          <w:rFonts w:ascii="Garamond" w:hAnsi="Garamond"/>
          <w:color w:val="000000" w:themeColor="text1"/>
          <w:sz w:val="20"/>
          <w:szCs w:val="20"/>
        </w:rPr>
        <w:t>areas, implement changes, and prepare for accreditation</w:t>
      </w:r>
      <w:r w:rsidR="00B403A0" w:rsidRPr="00496CF8">
        <w:rPr>
          <w:rFonts w:ascii="Garamond" w:hAnsi="Garamond"/>
          <w:color w:val="000000" w:themeColor="text1"/>
          <w:sz w:val="20"/>
          <w:szCs w:val="20"/>
        </w:rPr>
        <w:t>.</w:t>
      </w:r>
    </w:p>
    <w:p w14:paraId="0B2DEBBF" w14:textId="421CA92E" w:rsidR="00382304" w:rsidRPr="00496CF8" w:rsidRDefault="008D1835" w:rsidP="00ED05D7">
      <w:pPr>
        <w:rPr>
          <w:rFonts w:ascii="Garamond" w:hAnsi="Garamond"/>
          <w:color w:val="000000" w:themeColor="text1"/>
          <w:sz w:val="20"/>
          <w:szCs w:val="20"/>
        </w:rPr>
      </w:pPr>
      <w:r w:rsidRPr="00496CF8">
        <w:rPr>
          <w:rFonts w:ascii="Garamond" w:hAnsi="Garamond"/>
          <w:color w:val="000000" w:themeColor="text1"/>
          <w:sz w:val="20"/>
          <w:szCs w:val="20"/>
        </w:rPr>
        <w:t xml:space="preserve">                                              </w:t>
      </w:r>
      <w:r w:rsidR="009C7BB2" w:rsidRPr="00496CF8">
        <w:rPr>
          <w:rFonts w:ascii="Garamond" w:hAnsi="Garamond"/>
          <w:noProof/>
          <w:color w:val="000000" w:themeColor="text1"/>
          <w:sz w:val="20"/>
          <w:szCs w:val="20"/>
        </w:rPr>
        <w:drawing>
          <wp:inline distT="0" distB="0" distL="0" distR="0" wp14:anchorId="7C0A7D98" wp14:editId="4F157983">
            <wp:extent cx="2888805" cy="1925870"/>
            <wp:effectExtent l="0" t="0" r="0" b="5080"/>
            <wp:docPr id="230845431" name="Picture 1" descr="A graph showing the difference between receiver and rece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45431" name="Picture 1" descr="A graph showing the difference between receiver and receiv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51704" cy="2034469"/>
                    </a:xfrm>
                    <a:prstGeom prst="rect">
                      <a:avLst/>
                    </a:prstGeom>
                  </pic:spPr>
                </pic:pic>
              </a:graphicData>
            </a:graphic>
          </wp:inline>
        </w:drawing>
      </w:r>
    </w:p>
    <w:p w14:paraId="5F124DF7" w14:textId="74A5A2F2" w:rsidR="00E25CEA" w:rsidRPr="00496CF8" w:rsidRDefault="008B66C0" w:rsidP="00E25CEA">
      <w:pPr>
        <w:jc w:val="center"/>
        <w:rPr>
          <w:rFonts w:ascii="Garamond" w:hAnsi="Garamond"/>
          <w:color w:val="000000" w:themeColor="text1"/>
          <w:sz w:val="18"/>
          <w:szCs w:val="18"/>
        </w:rPr>
      </w:pPr>
      <w:r w:rsidRPr="00496CF8">
        <w:rPr>
          <w:rFonts w:ascii="Garamond" w:hAnsi="Garamond"/>
          <w:b/>
          <w:bCs/>
          <w:color w:val="000000" w:themeColor="text1"/>
          <w:sz w:val="18"/>
          <w:szCs w:val="18"/>
        </w:rPr>
        <w:t xml:space="preserve">Figure </w:t>
      </w:r>
      <w:r w:rsidR="002D4F65" w:rsidRPr="00496CF8">
        <w:rPr>
          <w:rFonts w:ascii="Garamond" w:hAnsi="Garamond"/>
          <w:b/>
          <w:bCs/>
          <w:color w:val="000000" w:themeColor="text1"/>
          <w:sz w:val="18"/>
          <w:szCs w:val="18"/>
        </w:rPr>
        <w:t>5</w:t>
      </w:r>
      <w:r w:rsidRPr="00496CF8">
        <w:rPr>
          <w:rFonts w:ascii="Garamond" w:hAnsi="Garamond"/>
          <w:b/>
          <w:bCs/>
          <w:color w:val="000000" w:themeColor="text1"/>
          <w:sz w:val="18"/>
          <w:szCs w:val="18"/>
        </w:rPr>
        <w:t>:</w:t>
      </w:r>
      <w:r w:rsidRPr="00496CF8">
        <w:rPr>
          <w:rFonts w:ascii="Garamond" w:hAnsi="Garamond"/>
          <w:color w:val="000000" w:themeColor="text1"/>
          <w:sz w:val="18"/>
          <w:szCs w:val="18"/>
        </w:rPr>
        <w:t xml:space="preserve"> Combined Receiver Operating Curve</w:t>
      </w:r>
    </w:p>
    <w:p w14:paraId="2EB0FC1F" w14:textId="77777777" w:rsidR="00E25CEA" w:rsidRPr="00496CF8" w:rsidRDefault="00E25CEA" w:rsidP="00E25CEA">
      <w:pPr>
        <w:jc w:val="center"/>
        <w:rPr>
          <w:rFonts w:ascii="Garamond" w:hAnsi="Garamond"/>
          <w:color w:val="000000" w:themeColor="text1"/>
          <w:sz w:val="18"/>
          <w:szCs w:val="18"/>
        </w:rPr>
      </w:pPr>
    </w:p>
    <w:p w14:paraId="6253491A" w14:textId="17B8C930" w:rsidR="00E25CEA" w:rsidRPr="00496CF8" w:rsidRDefault="00E25CEA" w:rsidP="008B66C0">
      <w:pPr>
        <w:jc w:val="center"/>
        <w:rPr>
          <w:rFonts w:ascii="Garamond" w:hAnsi="Garamond"/>
          <w:color w:val="000000" w:themeColor="text1"/>
          <w:sz w:val="18"/>
          <w:szCs w:val="18"/>
        </w:rPr>
      </w:pPr>
      <w:r w:rsidRPr="00496CF8">
        <w:rPr>
          <w:rFonts w:ascii="Garamond" w:hAnsi="Garamond"/>
          <w:noProof/>
          <w:color w:val="000000" w:themeColor="text1"/>
          <w:sz w:val="18"/>
          <w:szCs w:val="18"/>
        </w:rPr>
        <w:drawing>
          <wp:inline distT="0" distB="0" distL="0" distR="0" wp14:anchorId="270B0125" wp14:editId="1B787751">
            <wp:extent cx="1970000" cy="2044295"/>
            <wp:effectExtent l="0" t="0" r="0" b="635"/>
            <wp:docPr id="712888285" name="Picture 1" descr="A table of text with numbers and a cour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88285" name="Picture 1" descr="A table of text with numbers and a course&#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11321" cy="2087174"/>
                    </a:xfrm>
                    <a:prstGeom prst="rect">
                      <a:avLst/>
                    </a:prstGeom>
                  </pic:spPr>
                </pic:pic>
              </a:graphicData>
            </a:graphic>
          </wp:inline>
        </w:drawing>
      </w:r>
    </w:p>
    <w:p w14:paraId="5E310E2C" w14:textId="2E2D2000" w:rsidR="00E25CEA" w:rsidRPr="00496CF8" w:rsidRDefault="005F3250" w:rsidP="001C1638">
      <w:pPr>
        <w:autoSpaceDE w:val="0"/>
        <w:autoSpaceDN w:val="0"/>
        <w:adjustRightInd w:val="0"/>
        <w:spacing w:after="0" w:line="240" w:lineRule="auto"/>
        <w:jc w:val="center"/>
        <w:rPr>
          <w:rFonts w:ascii="Garamond" w:hAnsi="Garamond" w:cs="Times New Roman"/>
          <w:b/>
          <w:bCs/>
          <w:kern w:val="0"/>
          <w:sz w:val="18"/>
          <w:szCs w:val="18"/>
        </w:rPr>
      </w:pPr>
      <w:r w:rsidRPr="00496CF8">
        <w:rPr>
          <w:rFonts w:ascii="Garamond" w:hAnsi="Garamond" w:cs="Times New Roman"/>
          <w:b/>
          <w:bCs/>
          <w:kern w:val="0"/>
          <w:sz w:val="18"/>
          <w:szCs w:val="18"/>
        </w:rPr>
        <w:t>Table 2: Macro-average AUC scores and Support for all the courses</w:t>
      </w:r>
    </w:p>
    <w:p w14:paraId="08168776" w14:textId="77777777" w:rsidR="00E25CEA" w:rsidRPr="00496CF8" w:rsidRDefault="00E25CEA" w:rsidP="008B66C0">
      <w:pPr>
        <w:jc w:val="center"/>
        <w:rPr>
          <w:rFonts w:ascii="Garamond" w:hAnsi="Garamond"/>
          <w:color w:val="000000" w:themeColor="text1"/>
          <w:sz w:val="18"/>
          <w:szCs w:val="18"/>
        </w:rPr>
      </w:pPr>
    </w:p>
    <w:p w14:paraId="6CB1B982" w14:textId="77777777" w:rsidR="008D1835" w:rsidRPr="00496CF8" w:rsidRDefault="008D1835" w:rsidP="008B66C0">
      <w:pPr>
        <w:jc w:val="center"/>
        <w:rPr>
          <w:rFonts w:ascii="Garamond" w:hAnsi="Garamond"/>
          <w:color w:val="000000" w:themeColor="text1"/>
          <w:sz w:val="18"/>
          <w:szCs w:val="18"/>
        </w:rPr>
      </w:pPr>
    </w:p>
    <w:p w14:paraId="14CC550C" w14:textId="60931743" w:rsidR="00B403A0" w:rsidRPr="00496CF8" w:rsidRDefault="00B403A0" w:rsidP="00B403A0">
      <w:pPr>
        <w:rPr>
          <w:rFonts w:ascii="Garamond" w:hAnsi="Garamond"/>
          <w:color w:val="4C94D8" w:themeColor="text2" w:themeTint="80"/>
          <w:sz w:val="20"/>
          <w:szCs w:val="20"/>
        </w:rPr>
      </w:pPr>
      <w:r w:rsidRPr="00496CF8">
        <w:rPr>
          <w:rFonts w:ascii="Garamond" w:hAnsi="Garamond"/>
          <w:color w:val="4C94D8" w:themeColor="text2" w:themeTint="80"/>
          <w:sz w:val="20"/>
          <w:szCs w:val="20"/>
        </w:rPr>
        <w:t xml:space="preserve">2.5 Predictive Analysis </w:t>
      </w:r>
    </w:p>
    <w:p w14:paraId="56774F3D" w14:textId="77777777" w:rsidR="00B403A0" w:rsidRPr="00496CF8" w:rsidRDefault="00B403A0" w:rsidP="00B403A0">
      <w:pPr>
        <w:rPr>
          <w:rFonts w:ascii="Garamond" w:hAnsi="Garamond"/>
          <w:color w:val="000000" w:themeColor="text1"/>
          <w:sz w:val="20"/>
          <w:szCs w:val="20"/>
        </w:rPr>
      </w:pPr>
      <w:r w:rsidRPr="00496CF8">
        <w:rPr>
          <w:rFonts w:ascii="Garamond" w:hAnsi="Garamond"/>
          <w:color w:val="000000" w:themeColor="text1"/>
          <w:sz w:val="20"/>
          <w:szCs w:val="20"/>
        </w:rPr>
        <w:t xml:space="preserve">We predicted the likelihood of students meeting specific learning objectives using logistic regression and random forest models. Initially, logistic regression was used to predict if a student would score above 80. We plotted AUROC curves to gauge the performance of our random forest classifier model. The model strongly predicted outcomes across various courses, with individual AUROC scores ranging from 0.94 to 0.99. This indicates the model’s robust ability to distinguish different performance levels, making it a valuable tool for educational decision-making. We plotted ROC curves to further understand the performance measure of our random forest classifier model. We determined individual AUC scores for each of the courses, which are shown in </w:t>
      </w:r>
      <w:proofErr w:type="spellStart"/>
      <w:r w:rsidRPr="00496CF8">
        <w:rPr>
          <w:rFonts w:ascii="Garamond" w:hAnsi="Garamond"/>
          <w:color w:val="000000" w:themeColor="text1"/>
          <w:sz w:val="20"/>
          <w:szCs w:val="20"/>
        </w:rPr>
        <w:t>TableXX</w:t>
      </w:r>
      <w:proofErr w:type="spellEnd"/>
      <w:r w:rsidRPr="00496CF8">
        <w:rPr>
          <w:rFonts w:ascii="Garamond" w:hAnsi="Garamond"/>
          <w:color w:val="000000" w:themeColor="text1"/>
          <w:sz w:val="20"/>
          <w:szCs w:val="20"/>
        </w:rPr>
        <w:t>.</w:t>
      </w:r>
    </w:p>
    <w:p w14:paraId="2219C384" w14:textId="77777777" w:rsidR="00B403A0" w:rsidRPr="00496CF8" w:rsidRDefault="00B403A0" w:rsidP="00B403A0">
      <w:pPr>
        <w:rPr>
          <w:rFonts w:ascii="Garamond" w:hAnsi="Garamond"/>
          <w:color w:val="000000" w:themeColor="text1"/>
          <w:sz w:val="20"/>
          <w:szCs w:val="20"/>
        </w:rPr>
      </w:pPr>
    </w:p>
    <w:p w14:paraId="178D9BCE" w14:textId="36B3B58E" w:rsidR="00FF33A1" w:rsidRPr="00496CF8" w:rsidRDefault="00B403A0" w:rsidP="00B403A0">
      <w:pPr>
        <w:rPr>
          <w:rFonts w:ascii="Garamond" w:hAnsi="Garamond"/>
          <w:color w:val="000000" w:themeColor="text1"/>
          <w:sz w:val="20"/>
          <w:szCs w:val="20"/>
        </w:rPr>
      </w:pPr>
      <w:r w:rsidRPr="00496CF8">
        <w:rPr>
          <w:rFonts w:ascii="Garamond" w:hAnsi="Garamond"/>
          <w:color w:val="000000" w:themeColor="text1"/>
          <w:sz w:val="20"/>
          <w:szCs w:val="20"/>
        </w:rPr>
        <w:t xml:space="preserve">In summary, our random forest classifier model has yielded satisfactory performance for predicting the outcomes of various courses. The individual AUROC scores for each course range from 0.94 to 0.99, indicating the model’s </w:t>
      </w:r>
      <w:r w:rsidRPr="00496CF8">
        <w:rPr>
          <w:rFonts w:ascii="Garamond" w:hAnsi="Garamond"/>
          <w:color w:val="000000" w:themeColor="text1"/>
          <w:sz w:val="20"/>
          <w:szCs w:val="20"/>
        </w:rPr>
        <w:lastRenderedPageBreak/>
        <w:t>strong ability to distinguish between different performance levels. These results demonstrate the model’s effectiveness in predicting course performance, offering valuable insights for educational decision-making.</w:t>
      </w:r>
    </w:p>
    <w:p w14:paraId="06470E48" w14:textId="77777777" w:rsidR="00CF48FC" w:rsidRPr="00496CF8" w:rsidRDefault="00CF48FC" w:rsidP="00B403A0">
      <w:pPr>
        <w:rPr>
          <w:rFonts w:ascii="Garamond" w:hAnsi="Garamond"/>
          <w:color w:val="000000" w:themeColor="text1"/>
          <w:sz w:val="20"/>
          <w:szCs w:val="20"/>
        </w:rPr>
      </w:pPr>
    </w:p>
    <w:p w14:paraId="30DD726E" w14:textId="77777777" w:rsidR="00CF48FC" w:rsidRPr="00496CF8" w:rsidRDefault="00CF48FC" w:rsidP="00CF48FC">
      <w:pPr>
        <w:rPr>
          <w:rFonts w:ascii="Garamond" w:hAnsi="Garamond"/>
          <w:color w:val="4C94D8" w:themeColor="text2" w:themeTint="80"/>
          <w:sz w:val="20"/>
          <w:szCs w:val="20"/>
        </w:rPr>
      </w:pPr>
      <w:r w:rsidRPr="00496CF8">
        <w:rPr>
          <w:rFonts w:ascii="Garamond" w:hAnsi="Garamond"/>
          <w:color w:val="4C94D8" w:themeColor="text2" w:themeTint="80"/>
          <w:sz w:val="20"/>
          <w:szCs w:val="20"/>
        </w:rPr>
        <w:t>3. Results and Discussion</w:t>
      </w:r>
    </w:p>
    <w:p w14:paraId="797BC0C8" w14:textId="5D687447" w:rsidR="00CF48FC" w:rsidRPr="00496CF8" w:rsidRDefault="00CF48FC" w:rsidP="00CF48FC">
      <w:pPr>
        <w:rPr>
          <w:rFonts w:ascii="Garamond" w:hAnsi="Garamond"/>
          <w:color w:val="000000" w:themeColor="text1"/>
          <w:sz w:val="20"/>
          <w:szCs w:val="20"/>
        </w:rPr>
      </w:pPr>
      <w:r w:rsidRPr="00496CF8">
        <w:rPr>
          <w:rFonts w:ascii="Garamond" w:hAnsi="Garamond"/>
          <w:color w:val="000000" w:themeColor="text1"/>
          <w:sz w:val="20"/>
          <w:szCs w:val="20"/>
        </w:rPr>
        <w:t>Each course evaluates the performance of its students based on their grades for each Course Learning Outcome (CLO). It is noteworthy to mention that all students have excelled with scores above 80 percent in their respective CLO assessments, resulting in a highly positive learning environment and academic success for</w:t>
      </w:r>
    </w:p>
    <w:p w14:paraId="438AC7C0" w14:textId="7C17FE80" w:rsidR="00CF48FC" w:rsidRPr="00496CF8" w:rsidRDefault="00CF48FC" w:rsidP="00CF48FC">
      <w:pPr>
        <w:rPr>
          <w:rFonts w:ascii="Garamond" w:hAnsi="Garamond"/>
          <w:color w:val="000000" w:themeColor="text1"/>
          <w:sz w:val="20"/>
          <w:szCs w:val="20"/>
        </w:rPr>
      </w:pPr>
      <w:r w:rsidRPr="6720167C">
        <w:rPr>
          <w:rFonts w:ascii="Garamond" w:hAnsi="Garamond"/>
          <w:color w:val="000000" w:themeColor="text1"/>
          <w:sz w:val="20"/>
          <w:szCs w:val="20"/>
        </w:rPr>
        <w:t>everyone. The scores in the CLO assessments directly impact the final grades, achieving above 80 percent. The results for the Random Forest Classifier (RFC) in the B530 course indicate an accuracy of 0.869, with a perfect training accuracy of 100.0. Precision, recall, and F1 scores are provided for each class (A, A-, B, B+). The macro average F1-score of 0.87 indicates good overall performance, while the weighted average F1-score of 0.87 considers the class distribution in the dataset, which includes 14 instances of class A, 22 instances of class A-, 19 instances of class B, and 29 instances of class B+. In summary, the model performed well across all classes, with a good overall performance. Based on the reported cross-validation accuracy score of 0.85694, it appears that the model achieved an average accuracy of around 85.7 percent across various cross-validation folds. The B530 course shows that CLO2 has the highest importance score of 0.23, which means it has the biggest impact on the model’s predictions. CLO6 comes in second with a score of 0.21. CLO4, CLO5, CLO7, CLO1, and CLO3 all have decreasing importance scores, indicating that their influence on the model’s predictions is decreasing.</w:t>
      </w:r>
    </w:p>
    <w:p w14:paraId="6E2CF6C2" w14:textId="15890F7A" w:rsidR="30AACEC5" w:rsidRDefault="30AACEC5" w:rsidP="6720167C">
      <w:pPr>
        <w:rPr>
          <w:rFonts w:ascii="Garamond" w:hAnsi="Garamond"/>
          <w:color w:val="4C94D8" w:themeColor="text2" w:themeTint="80"/>
          <w:sz w:val="20"/>
          <w:szCs w:val="20"/>
        </w:rPr>
      </w:pPr>
      <w:r w:rsidRPr="6720167C">
        <w:rPr>
          <w:rFonts w:ascii="Garamond" w:hAnsi="Garamond"/>
          <w:color w:val="4C94D8" w:themeColor="text2" w:themeTint="80"/>
          <w:sz w:val="20"/>
          <w:szCs w:val="20"/>
        </w:rPr>
        <w:t>4. Conclusion</w:t>
      </w:r>
    </w:p>
    <w:p w14:paraId="631D76CE" w14:textId="17593917" w:rsidR="30AACEC5" w:rsidRDefault="30AACEC5" w:rsidP="6720167C">
      <w:pPr>
        <w:rPr>
          <w:rFonts w:ascii="Garamond" w:hAnsi="Garamond"/>
          <w:color w:val="000000" w:themeColor="text1"/>
          <w:sz w:val="20"/>
          <w:szCs w:val="20"/>
        </w:rPr>
      </w:pPr>
      <w:r w:rsidRPr="6720167C">
        <w:rPr>
          <w:rFonts w:ascii="Garamond" w:hAnsi="Garamond"/>
          <w:color w:val="000000" w:themeColor="text1"/>
          <w:sz w:val="20"/>
          <w:szCs w:val="20"/>
        </w:rPr>
        <w:t>The analysis of student grades in Graduate Health Informatics reveals a strong positive relationship between academic performance and the understanding and application of the course’s</w:t>
      </w:r>
    </w:p>
    <w:p w14:paraId="40DFA998" w14:textId="0002C1D6" w:rsidR="30AACEC5" w:rsidRDefault="30AACEC5" w:rsidP="6720167C">
      <w:pPr>
        <w:rPr>
          <w:rFonts w:ascii="Garamond" w:hAnsi="Garamond"/>
          <w:color w:val="000000" w:themeColor="text1"/>
          <w:sz w:val="20"/>
          <w:szCs w:val="20"/>
        </w:rPr>
      </w:pPr>
      <w:r w:rsidRPr="6720167C">
        <w:rPr>
          <w:rFonts w:ascii="Garamond" w:hAnsi="Garamond"/>
          <w:color w:val="000000" w:themeColor="text1"/>
          <w:sz w:val="20"/>
          <w:szCs w:val="20"/>
        </w:rPr>
        <w:t>learning outcomes. This suggests that the curriculum design and pedagogical strategies employed in the program are effective in promoting student learning and achievement. The findings from this data-driven approach to program evaluation provide evidence for making informed decisions regarding curriculum alignment and educational outcomes, enabling continuous improvement to ensure students acquire the necessary knowledge and skills for success in the field of health informatics.</w:t>
      </w:r>
    </w:p>
    <w:p w14:paraId="3E1DED5D" w14:textId="4EB0AE56" w:rsidR="00CF48FC" w:rsidRPr="00496CF8" w:rsidRDefault="30AACEC5" w:rsidP="00CF48FC">
      <w:pPr>
        <w:rPr>
          <w:rFonts w:ascii="Garamond" w:hAnsi="Garamond"/>
          <w:color w:val="4C94D8" w:themeColor="text2" w:themeTint="80"/>
          <w:sz w:val="20"/>
          <w:szCs w:val="20"/>
        </w:rPr>
      </w:pPr>
      <w:r w:rsidRPr="6720167C">
        <w:rPr>
          <w:rFonts w:ascii="Garamond" w:hAnsi="Garamond"/>
          <w:color w:val="4C94D8" w:themeColor="text2" w:themeTint="80"/>
          <w:sz w:val="20"/>
          <w:szCs w:val="20"/>
        </w:rPr>
        <w:t>5</w:t>
      </w:r>
      <w:r w:rsidR="00CF48FC" w:rsidRPr="6720167C">
        <w:rPr>
          <w:rFonts w:ascii="Garamond" w:hAnsi="Garamond"/>
          <w:color w:val="4C94D8" w:themeColor="text2" w:themeTint="80"/>
          <w:sz w:val="20"/>
          <w:szCs w:val="20"/>
        </w:rPr>
        <w:t>. Authors’ contributions</w:t>
      </w:r>
      <w:r w:rsidR="6E2C934B" w:rsidRPr="6720167C">
        <w:rPr>
          <w:rFonts w:ascii="Garamond" w:hAnsi="Garamond"/>
          <w:color w:val="4C94D8" w:themeColor="text2" w:themeTint="80"/>
          <w:sz w:val="20"/>
          <w:szCs w:val="20"/>
        </w:rPr>
        <w:t xml:space="preserve"> </w:t>
      </w:r>
    </w:p>
    <w:p w14:paraId="1D27CFBF" w14:textId="77777777" w:rsidR="00CF48FC" w:rsidRPr="00496CF8" w:rsidRDefault="00CF48FC" w:rsidP="00CF48FC">
      <w:pPr>
        <w:rPr>
          <w:rFonts w:ascii="Garamond" w:hAnsi="Garamond"/>
          <w:color w:val="000000" w:themeColor="text1"/>
          <w:sz w:val="20"/>
          <w:szCs w:val="20"/>
        </w:rPr>
      </w:pPr>
      <w:r w:rsidRPr="00496CF8">
        <w:rPr>
          <w:rFonts w:ascii="Garamond" w:hAnsi="Garamond"/>
          <w:color w:val="000000" w:themeColor="text1"/>
          <w:sz w:val="20"/>
          <w:szCs w:val="20"/>
        </w:rPr>
        <w:t>Conceptualization</w:t>
      </w:r>
      <w:proofErr w:type="gramStart"/>
      <w:r w:rsidRPr="00496CF8">
        <w:rPr>
          <w:rFonts w:ascii="Garamond" w:hAnsi="Garamond"/>
          <w:color w:val="000000" w:themeColor="text1"/>
          <w:sz w:val="20"/>
          <w:szCs w:val="20"/>
        </w:rPr>
        <w:t>: .</w:t>
      </w:r>
      <w:proofErr w:type="gramEnd"/>
      <w:r w:rsidRPr="00496CF8">
        <w:rPr>
          <w:rFonts w:ascii="Garamond" w:hAnsi="Garamond"/>
          <w:color w:val="000000" w:themeColor="text1"/>
          <w:sz w:val="20"/>
          <w:szCs w:val="20"/>
        </w:rPr>
        <w:t xml:space="preserve"> • Data curation</w:t>
      </w:r>
      <w:proofErr w:type="gramStart"/>
      <w:r w:rsidRPr="00496CF8">
        <w:rPr>
          <w:rFonts w:ascii="Garamond" w:hAnsi="Garamond"/>
          <w:color w:val="000000" w:themeColor="text1"/>
          <w:sz w:val="20"/>
          <w:szCs w:val="20"/>
        </w:rPr>
        <w:t>: .</w:t>
      </w:r>
      <w:proofErr w:type="gramEnd"/>
      <w:r w:rsidRPr="00496CF8">
        <w:rPr>
          <w:rFonts w:ascii="Garamond" w:hAnsi="Garamond"/>
          <w:color w:val="000000" w:themeColor="text1"/>
          <w:sz w:val="20"/>
          <w:szCs w:val="20"/>
        </w:rPr>
        <w:t xml:space="preserve"> • Formal analysis</w:t>
      </w:r>
      <w:proofErr w:type="gramStart"/>
      <w:r w:rsidRPr="00496CF8">
        <w:rPr>
          <w:rFonts w:ascii="Garamond" w:hAnsi="Garamond"/>
          <w:color w:val="000000" w:themeColor="text1"/>
          <w:sz w:val="20"/>
          <w:szCs w:val="20"/>
        </w:rPr>
        <w:t>: .</w:t>
      </w:r>
      <w:proofErr w:type="gramEnd"/>
      <w:r w:rsidRPr="00496CF8">
        <w:rPr>
          <w:rFonts w:ascii="Garamond" w:hAnsi="Garamond"/>
          <w:color w:val="000000" w:themeColor="text1"/>
          <w:sz w:val="20"/>
          <w:szCs w:val="20"/>
        </w:rPr>
        <w:t xml:space="preserve"> •</w:t>
      </w:r>
    </w:p>
    <w:p w14:paraId="1B598664" w14:textId="77777777" w:rsidR="00CF48FC" w:rsidRPr="00496CF8" w:rsidRDefault="00CF48FC" w:rsidP="00CF48FC">
      <w:pPr>
        <w:rPr>
          <w:rFonts w:ascii="Garamond" w:hAnsi="Garamond"/>
          <w:color w:val="000000" w:themeColor="text1"/>
          <w:sz w:val="20"/>
          <w:szCs w:val="20"/>
        </w:rPr>
      </w:pPr>
      <w:r w:rsidRPr="00496CF8">
        <w:rPr>
          <w:rFonts w:ascii="Garamond" w:hAnsi="Garamond"/>
          <w:color w:val="000000" w:themeColor="text1"/>
          <w:sz w:val="20"/>
          <w:szCs w:val="20"/>
        </w:rPr>
        <w:t>Funding acquisition</w:t>
      </w:r>
      <w:proofErr w:type="gramStart"/>
      <w:r w:rsidRPr="00496CF8">
        <w:rPr>
          <w:rFonts w:ascii="Garamond" w:hAnsi="Garamond"/>
          <w:color w:val="000000" w:themeColor="text1"/>
          <w:sz w:val="20"/>
          <w:szCs w:val="20"/>
        </w:rPr>
        <w:t>: .</w:t>
      </w:r>
      <w:proofErr w:type="gramEnd"/>
      <w:r w:rsidRPr="00496CF8">
        <w:rPr>
          <w:rFonts w:ascii="Garamond" w:hAnsi="Garamond"/>
          <w:color w:val="000000" w:themeColor="text1"/>
          <w:sz w:val="20"/>
          <w:szCs w:val="20"/>
        </w:rPr>
        <w:t xml:space="preserve"> •Methodology</w:t>
      </w:r>
      <w:proofErr w:type="gramStart"/>
      <w:r w:rsidRPr="00496CF8">
        <w:rPr>
          <w:rFonts w:ascii="Garamond" w:hAnsi="Garamond"/>
          <w:color w:val="000000" w:themeColor="text1"/>
          <w:sz w:val="20"/>
          <w:szCs w:val="20"/>
        </w:rPr>
        <w:t>: .</w:t>
      </w:r>
      <w:proofErr w:type="gramEnd"/>
      <w:r w:rsidRPr="00496CF8">
        <w:rPr>
          <w:rFonts w:ascii="Garamond" w:hAnsi="Garamond"/>
          <w:color w:val="000000" w:themeColor="text1"/>
          <w:sz w:val="20"/>
          <w:szCs w:val="20"/>
        </w:rPr>
        <w:t xml:space="preserve"> • Project </w:t>
      </w:r>
      <w:proofErr w:type="gramStart"/>
      <w:r w:rsidRPr="00496CF8">
        <w:rPr>
          <w:rFonts w:ascii="Garamond" w:hAnsi="Garamond"/>
          <w:color w:val="000000" w:themeColor="text1"/>
          <w:sz w:val="20"/>
          <w:szCs w:val="20"/>
        </w:rPr>
        <w:t>administration:.</w:t>
      </w:r>
      <w:proofErr w:type="gramEnd"/>
    </w:p>
    <w:p w14:paraId="5485600D" w14:textId="77777777" w:rsidR="00CF48FC" w:rsidRPr="00496CF8" w:rsidRDefault="00CF48FC" w:rsidP="00CF48FC">
      <w:pPr>
        <w:rPr>
          <w:rFonts w:ascii="Garamond" w:hAnsi="Garamond"/>
          <w:color w:val="000000" w:themeColor="text1"/>
          <w:sz w:val="20"/>
          <w:szCs w:val="20"/>
        </w:rPr>
      </w:pPr>
      <w:r w:rsidRPr="00496CF8">
        <w:rPr>
          <w:rFonts w:ascii="Garamond" w:hAnsi="Garamond"/>
          <w:color w:val="000000" w:themeColor="text1"/>
          <w:sz w:val="20"/>
          <w:szCs w:val="20"/>
        </w:rPr>
        <w:t>• Visualization</w:t>
      </w:r>
      <w:proofErr w:type="gramStart"/>
      <w:r w:rsidRPr="00496CF8">
        <w:rPr>
          <w:rFonts w:ascii="Garamond" w:hAnsi="Garamond"/>
          <w:color w:val="000000" w:themeColor="text1"/>
          <w:sz w:val="20"/>
          <w:szCs w:val="20"/>
        </w:rPr>
        <w:t>: .</w:t>
      </w:r>
      <w:proofErr w:type="gramEnd"/>
      <w:r w:rsidRPr="00496CF8">
        <w:rPr>
          <w:rFonts w:ascii="Garamond" w:hAnsi="Garamond"/>
          <w:color w:val="000000" w:themeColor="text1"/>
          <w:sz w:val="20"/>
          <w:szCs w:val="20"/>
        </w:rPr>
        <w:t xml:space="preserve"> •Writing – original draft</w:t>
      </w:r>
      <w:proofErr w:type="gramStart"/>
      <w:r w:rsidRPr="00496CF8">
        <w:rPr>
          <w:rFonts w:ascii="Garamond" w:hAnsi="Garamond"/>
          <w:color w:val="000000" w:themeColor="text1"/>
          <w:sz w:val="20"/>
          <w:szCs w:val="20"/>
        </w:rPr>
        <w:t>: .</w:t>
      </w:r>
      <w:proofErr w:type="gramEnd"/>
      <w:r w:rsidRPr="00496CF8">
        <w:rPr>
          <w:rFonts w:ascii="Garamond" w:hAnsi="Garamond"/>
          <w:color w:val="000000" w:themeColor="text1"/>
          <w:sz w:val="20"/>
          <w:szCs w:val="20"/>
        </w:rPr>
        <w:t xml:space="preserve"> •Writing – review</w:t>
      </w:r>
    </w:p>
    <w:p w14:paraId="1BC2B5A1" w14:textId="77777777" w:rsidR="00CF48FC" w:rsidRPr="00496CF8" w:rsidRDefault="00CF48FC" w:rsidP="00CF48FC">
      <w:pPr>
        <w:rPr>
          <w:rFonts w:ascii="Garamond" w:hAnsi="Garamond"/>
          <w:color w:val="000000" w:themeColor="text1"/>
          <w:sz w:val="20"/>
          <w:szCs w:val="20"/>
        </w:rPr>
      </w:pPr>
      <w:r w:rsidRPr="00496CF8">
        <w:rPr>
          <w:rFonts w:ascii="Garamond" w:hAnsi="Garamond"/>
          <w:color w:val="000000" w:themeColor="text1"/>
          <w:sz w:val="20"/>
          <w:szCs w:val="20"/>
        </w:rPr>
        <w:t>and editing</w:t>
      </w:r>
      <w:proofErr w:type="gramStart"/>
      <w:r w:rsidRPr="00496CF8">
        <w:rPr>
          <w:rFonts w:ascii="Garamond" w:hAnsi="Garamond"/>
          <w:color w:val="000000" w:themeColor="text1"/>
          <w:sz w:val="20"/>
          <w:szCs w:val="20"/>
        </w:rPr>
        <w:t>: .</w:t>
      </w:r>
      <w:proofErr w:type="gramEnd"/>
    </w:p>
    <w:p w14:paraId="17BEB257" w14:textId="1E7F208A" w:rsidR="00CF48FC" w:rsidRPr="00496CF8" w:rsidRDefault="73E89EC2" w:rsidP="00CF48FC">
      <w:pPr>
        <w:rPr>
          <w:rFonts w:ascii="Garamond" w:hAnsi="Garamond"/>
          <w:color w:val="4C94D8" w:themeColor="text2" w:themeTint="80"/>
          <w:sz w:val="20"/>
          <w:szCs w:val="20"/>
        </w:rPr>
      </w:pPr>
      <w:r w:rsidRPr="6720167C">
        <w:rPr>
          <w:rFonts w:ascii="Garamond" w:hAnsi="Garamond"/>
          <w:color w:val="4C94D8" w:themeColor="text2" w:themeTint="80"/>
          <w:sz w:val="20"/>
          <w:szCs w:val="20"/>
        </w:rPr>
        <w:t>6</w:t>
      </w:r>
      <w:r w:rsidR="00CF48FC" w:rsidRPr="6720167C">
        <w:rPr>
          <w:rFonts w:ascii="Garamond" w:hAnsi="Garamond"/>
          <w:color w:val="4C94D8" w:themeColor="text2" w:themeTint="80"/>
          <w:sz w:val="20"/>
          <w:szCs w:val="20"/>
        </w:rPr>
        <w:t>. Conflict of interest</w:t>
      </w:r>
    </w:p>
    <w:p w14:paraId="1F5C0A2E" w14:textId="684C64E7" w:rsidR="00CF48FC" w:rsidRPr="00496CF8" w:rsidRDefault="00CF48FC" w:rsidP="6720167C">
      <w:pPr>
        <w:rPr>
          <w:rFonts w:ascii="Garamond" w:hAnsi="Garamond"/>
          <w:color w:val="000000" w:themeColor="text1"/>
          <w:sz w:val="20"/>
          <w:szCs w:val="20"/>
        </w:rPr>
      </w:pPr>
      <w:r w:rsidRPr="6720167C">
        <w:rPr>
          <w:rFonts w:ascii="Garamond" w:hAnsi="Garamond"/>
          <w:color w:val="000000" w:themeColor="text1"/>
          <w:sz w:val="20"/>
          <w:szCs w:val="20"/>
        </w:rPr>
        <w:t>No potential conflict of interest relevant to this article was reported.</w:t>
      </w:r>
      <w:r w:rsidR="4FE88FC5" w:rsidRPr="6720167C">
        <w:rPr>
          <w:rFonts w:ascii="Garamond" w:hAnsi="Garamond"/>
          <w:color w:val="000000" w:themeColor="text1"/>
          <w:sz w:val="20"/>
          <w:szCs w:val="20"/>
        </w:rPr>
        <w:t xml:space="preserve"> </w:t>
      </w:r>
    </w:p>
    <w:p w14:paraId="09CC66B6" w14:textId="5F6ACF92" w:rsidR="00CF48FC" w:rsidRPr="00496CF8" w:rsidRDefault="6CB28E6C" w:rsidP="6720167C">
      <w:pPr>
        <w:rPr>
          <w:rFonts w:ascii="Garamond" w:hAnsi="Garamond"/>
          <w:color w:val="4C94D8" w:themeColor="text2" w:themeTint="80"/>
          <w:sz w:val="20"/>
          <w:szCs w:val="20"/>
        </w:rPr>
      </w:pPr>
      <w:r w:rsidRPr="6720167C">
        <w:rPr>
          <w:rFonts w:ascii="Garamond" w:hAnsi="Garamond"/>
          <w:color w:val="4C94D8" w:themeColor="text2" w:themeTint="80"/>
          <w:sz w:val="20"/>
          <w:szCs w:val="20"/>
        </w:rPr>
        <w:t>7</w:t>
      </w:r>
      <w:r w:rsidR="7C0939CB" w:rsidRPr="6720167C">
        <w:rPr>
          <w:rFonts w:ascii="Garamond" w:hAnsi="Garamond"/>
          <w:color w:val="4C94D8" w:themeColor="text2" w:themeTint="80"/>
          <w:sz w:val="20"/>
          <w:szCs w:val="20"/>
        </w:rPr>
        <w:t xml:space="preserve">. </w:t>
      </w:r>
      <w:r w:rsidR="4FE88FC5" w:rsidRPr="6720167C">
        <w:rPr>
          <w:rFonts w:ascii="Garamond" w:hAnsi="Garamond"/>
          <w:color w:val="4C94D8" w:themeColor="text2" w:themeTint="80"/>
          <w:sz w:val="20"/>
          <w:szCs w:val="20"/>
        </w:rPr>
        <w:t>Funding</w:t>
      </w:r>
    </w:p>
    <w:p w14:paraId="4574F6DA" w14:textId="484D0687" w:rsidR="00CF48FC" w:rsidRPr="00496CF8" w:rsidRDefault="6BED3A32" w:rsidP="6720167C">
      <w:pPr>
        <w:rPr>
          <w:rFonts w:ascii="Garamond" w:hAnsi="Garamond"/>
          <w:color w:val="000000" w:themeColor="text1"/>
          <w:sz w:val="20"/>
          <w:szCs w:val="20"/>
        </w:rPr>
      </w:pPr>
      <w:r w:rsidRPr="6720167C">
        <w:rPr>
          <w:rFonts w:ascii="Garamond" w:hAnsi="Garamond"/>
          <w:color w:val="000000" w:themeColor="text1"/>
          <w:sz w:val="20"/>
          <w:szCs w:val="20"/>
        </w:rPr>
        <w:t>N</w:t>
      </w:r>
      <w:r w:rsidR="4FE88FC5" w:rsidRPr="6720167C">
        <w:rPr>
          <w:rFonts w:ascii="Garamond" w:hAnsi="Garamond"/>
          <w:color w:val="000000" w:themeColor="text1"/>
          <w:sz w:val="20"/>
          <w:szCs w:val="20"/>
        </w:rPr>
        <w:t>one</w:t>
      </w:r>
    </w:p>
    <w:p w14:paraId="4A6373EF" w14:textId="57C90993" w:rsidR="00CF48FC" w:rsidRDefault="1D67A607" w:rsidP="6720167C">
      <w:pPr>
        <w:rPr>
          <w:rFonts w:ascii="Garamond" w:hAnsi="Garamond"/>
          <w:color w:val="4C94D8" w:themeColor="text2" w:themeTint="80"/>
          <w:sz w:val="20"/>
          <w:szCs w:val="20"/>
        </w:rPr>
      </w:pPr>
      <w:r w:rsidRPr="6720167C">
        <w:rPr>
          <w:rFonts w:ascii="Garamond" w:hAnsi="Garamond"/>
          <w:color w:val="4C94D8" w:themeColor="text2" w:themeTint="80"/>
          <w:sz w:val="20"/>
          <w:szCs w:val="20"/>
        </w:rPr>
        <w:t>8</w:t>
      </w:r>
      <w:r w:rsidR="2FE2682A" w:rsidRPr="6720167C">
        <w:rPr>
          <w:rFonts w:ascii="Garamond" w:hAnsi="Garamond"/>
          <w:color w:val="4C94D8" w:themeColor="text2" w:themeTint="80"/>
          <w:sz w:val="20"/>
          <w:szCs w:val="20"/>
        </w:rPr>
        <w:t xml:space="preserve">. Data availability </w:t>
      </w:r>
    </w:p>
    <w:p w14:paraId="3D990687" w14:textId="77777777" w:rsidR="00BF5896" w:rsidRPr="00496CF8" w:rsidRDefault="00BF5896" w:rsidP="6720167C">
      <w:pPr>
        <w:rPr>
          <w:rFonts w:ascii="Garamond" w:hAnsi="Garamond"/>
          <w:color w:val="4C94D8" w:themeColor="text2" w:themeTint="80"/>
          <w:sz w:val="20"/>
          <w:szCs w:val="20"/>
        </w:rPr>
      </w:pPr>
    </w:p>
    <w:p w14:paraId="3083EE1D" w14:textId="593198D4" w:rsidR="00CF48FC" w:rsidRPr="00496CF8" w:rsidRDefault="60B13523" w:rsidP="00CF48FC">
      <w:pPr>
        <w:rPr>
          <w:rFonts w:ascii="Garamond" w:hAnsi="Garamond"/>
          <w:color w:val="4C94D8" w:themeColor="text2" w:themeTint="80"/>
          <w:sz w:val="20"/>
          <w:szCs w:val="20"/>
        </w:rPr>
      </w:pPr>
      <w:r w:rsidRPr="6720167C">
        <w:rPr>
          <w:rFonts w:ascii="Garamond" w:hAnsi="Garamond"/>
          <w:color w:val="4C94D8" w:themeColor="text2" w:themeTint="80"/>
          <w:sz w:val="20"/>
          <w:szCs w:val="20"/>
        </w:rPr>
        <w:t>9</w:t>
      </w:r>
      <w:r w:rsidR="00CF48FC" w:rsidRPr="6720167C">
        <w:rPr>
          <w:rFonts w:ascii="Garamond" w:hAnsi="Garamond"/>
          <w:color w:val="4C94D8" w:themeColor="text2" w:themeTint="80"/>
          <w:sz w:val="20"/>
          <w:szCs w:val="20"/>
        </w:rPr>
        <w:t>. Acknowledgments</w:t>
      </w:r>
    </w:p>
    <w:p w14:paraId="2C376658" w14:textId="4A7162AE" w:rsidR="00CF48FC" w:rsidRPr="00496CF8" w:rsidRDefault="00CF48FC" w:rsidP="00CF48FC">
      <w:pPr>
        <w:rPr>
          <w:rFonts w:ascii="Garamond" w:hAnsi="Garamond"/>
          <w:color w:val="000000" w:themeColor="text1"/>
          <w:sz w:val="20"/>
          <w:szCs w:val="20"/>
        </w:rPr>
      </w:pPr>
      <w:r w:rsidRPr="6720167C">
        <w:rPr>
          <w:rFonts w:ascii="Garamond" w:hAnsi="Garamond"/>
          <w:color w:val="000000" w:themeColor="text1"/>
          <w:sz w:val="20"/>
          <w:szCs w:val="20"/>
        </w:rPr>
        <w:t xml:space="preserve">We want to thank Dr. Josette Jones, the previous program director of BHI, and Dr. Mathew </w:t>
      </w:r>
      <w:proofErr w:type="spellStart"/>
      <w:r w:rsidRPr="6720167C">
        <w:rPr>
          <w:rFonts w:ascii="Garamond" w:hAnsi="Garamond"/>
          <w:color w:val="000000" w:themeColor="text1"/>
          <w:sz w:val="20"/>
          <w:szCs w:val="20"/>
        </w:rPr>
        <w:t>Palakal</w:t>
      </w:r>
      <w:proofErr w:type="spellEnd"/>
      <w:r w:rsidRPr="6720167C">
        <w:rPr>
          <w:rFonts w:ascii="Garamond" w:hAnsi="Garamond"/>
          <w:color w:val="000000" w:themeColor="text1"/>
          <w:sz w:val="20"/>
          <w:szCs w:val="20"/>
        </w:rPr>
        <w:t xml:space="preserve">, the previous dean of BHI, for their exceptional leadership. Their guidance and vision have played a significant role in shaping the program’s success and providing valuable insights for our program evaluation. We also appreciate the support of the </w:t>
      </w:r>
      <w:r w:rsidRPr="6720167C">
        <w:rPr>
          <w:rFonts w:ascii="Garamond" w:hAnsi="Garamond"/>
          <w:color w:val="000000" w:themeColor="text1"/>
          <w:sz w:val="20"/>
          <w:szCs w:val="20"/>
        </w:rPr>
        <w:lastRenderedPageBreak/>
        <w:t xml:space="preserve">program assistants, Basil Wilson and </w:t>
      </w:r>
      <w:proofErr w:type="spellStart"/>
      <w:r w:rsidRPr="6720167C">
        <w:rPr>
          <w:rFonts w:ascii="Garamond" w:hAnsi="Garamond"/>
          <w:color w:val="000000" w:themeColor="text1"/>
          <w:sz w:val="20"/>
          <w:szCs w:val="20"/>
        </w:rPr>
        <w:t>Sriha</w:t>
      </w:r>
      <w:proofErr w:type="spellEnd"/>
      <w:r w:rsidRPr="6720167C">
        <w:rPr>
          <w:rFonts w:ascii="Garamond" w:hAnsi="Garamond"/>
          <w:color w:val="000000" w:themeColor="text1"/>
          <w:sz w:val="20"/>
          <w:szCs w:val="20"/>
        </w:rPr>
        <w:t xml:space="preserve"> </w:t>
      </w:r>
      <w:proofErr w:type="spellStart"/>
      <w:r w:rsidRPr="6720167C">
        <w:rPr>
          <w:rFonts w:ascii="Garamond" w:hAnsi="Garamond"/>
          <w:color w:val="000000" w:themeColor="text1"/>
          <w:sz w:val="20"/>
          <w:szCs w:val="20"/>
        </w:rPr>
        <w:t>Yalamanchi</w:t>
      </w:r>
      <w:proofErr w:type="spellEnd"/>
      <w:r w:rsidRPr="6720167C">
        <w:rPr>
          <w:rFonts w:ascii="Garamond" w:hAnsi="Garamond"/>
          <w:color w:val="000000" w:themeColor="text1"/>
          <w:sz w:val="20"/>
          <w:szCs w:val="20"/>
        </w:rPr>
        <w:t>, whose contributions were invaluable throughout the project. The collective efforts of the BHI program’s faculty and staff, including the program directors and program assistants, were crucial in completing this paper, and we feel honored to have worked with such a dedicated and talented team.</w:t>
      </w:r>
    </w:p>
    <w:p w14:paraId="6D0B6ED8" w14:textId="7F28AD74" w:rsidR="23A3A604" w:rsidRDefault="23A3A604" w:rsidP="6720167C">
      <w:pPr>
        <w:rPr>
          <w:rFonts w:ascii="Garamond" w:hAnsi="Garamond"/>
          <w:color w:val="4C94D8" w:themeColor="text2" w:themeTint="80"/>
          <w:sz w:val="20"/>
          <w:szCs w:val="20"/>
        </w:rPr>
      </w:pPr>
      <w:r w:rsidRPr="6720167C">
        <w:rPr>
          <w:rFonts w:ascii="Garamond" w:hAnsi="Garamond"/>
          <w:color w:val="4C94D8" w:themeColor="text2" w:themeTint="80"/>
          <w:sz w:val="20"/>
          <w:szCs w:val="20"/>
        </w:rPr>
        <w:t>10. Supplementary Materials</w:t>
      </w:r>
    </w:p>
    <w:p w14:paraId="304FB5BF" w14:textId="18BDD4B7" w:rsidR="00CF48FC" w:rsidRPr="00496CF8" w:rsidRDefault="008B57B2" w:rsidP="00CF48FC">
      <w:pPr>
        <w:rPr>
          <w:rFonts w:ascii="Garamond" w:hAnsi="Garamond"/>
          <w:color w:val="000000" w:themeColor="text1"/>
          <w:sz w:val="20"/>
          <w:szCs w:val="20"/>
        </w:rPr>
      </w:pPr>
      <w:r>
        <w:rPr>
          <w:rFonts w:ascii="Garamond" w:hAnsi="Garamond"/>
          <w:color w:val="000000" w:themeColor="text1"/>
          <w:sz w:val="20"/>
          <w:szCs w:val="20"/>
        </w:rPr>
        <w:t>There are no supplementary materials.</w:t>
      </w:r>
    </w:p>
    <w:p w14:paraId="1AFAF7EF" w14:textId="77777777" w:rsidR="00CF48FC" w:rsidRPr="00496CF8" w:rsidRDefault="00CF48FC" w:rsidP="00CF48FC">
      <w:pPr>
        <w:rPr>
          <w:rFonts w:ascii="Garamond" w:hAnsi="Garamond"/>
          <w:color w:val="000000" w:themeColor="text1"/>
          <w:sz w:val="20"/>
          <w:szCs w:val="20"/>
        </w:rPr>
      </w:pPr>
    </w:p>
    <w:p w14:paraId="71E7C56C" w14:textId="77777777" w:rsidR="00CF48FC" w:rsidRPr="00496CF8" w:rsidRDefault="00CF48FC" w:rsidP="00CF48FC">
      <w:pPr>
        <w:rPr>
          <w:rFonts w:ascii="Garamond" w:hAnsi="Garamond"/>
          <w:color w:val="000000" w:themeColor="text1"/>
          <w:sz w:val="20"/>
          <w:szCs w:val="20"/>
        </w:rPr>
      </w:pPr>
    </w:p>
    <w:p w14:paraId="7A31A8F6" w14:textId="441337C7" w:rsidR="00CF48FC" w:rsidRPr="00496CF8" w:rsidRDefault="00CF48FC" w:rsidP="00CF48FC">
      <w:pPr>
        <w:rPr>
          <w:rFonts w:ascii="Garamond" w:hAnsi="Garamond"/>
          <w:color w:val="4C94D8" w:themeColor="text2" w:themeTint="80"/>
          <w:sz w:val="20"/>
          <w:szCs w:val="20"/>
        </w:rPr>
      </w:pPr>
      <w:r w:rsidRPr="00496CF8">
        <w:rPr>
          <w:rFonts w:ascii="Garamond" w:hAnsi="Garamond"/>
          <w:color w:val="4C94D8" w:themeColor="text2" w:themeTint="80"/>
          <w:sz w:val="20"/>
          <w:szCs w:val="20"/>
        </w:rPr>
        <w:t>References</w:t>
      </w:r>
    </w:p>
    <w:p w14:paraId="5DDEC720" w14:textId="4F9EC9B8" w:rsidR="00CF48FC" w:rsidRPr="00496CF8" w:rsidRDefault="00CF48FC" w:rsidP="00CF48FC">
      <w:pPr>
        <w:rPr>
          <w:rFonts w:ascii="Garamond" w:hAnsi="Garamond"/>
          <w:i/>
          <w:iCs/>
          <w:color w:val="000000" w:themeColor="text1"/>
          <w:sz w:val="20"/>
          <w:szCs w:val="20"/>
        </w:rPr>
      </w:pPr>
      <w:r w:rsidRPr="00496CF8">
        <w:rPr>
          <w:rFonts w:ascii="Garamond" w:hAnsi="Garamond"/>
          <w:i/>
          <w:iCs/>
          <w:color w:val="000000" w:themeColor="text1"/>
          <w:sz w:val="20"/>
          <w:szCs w:val="20"/>
        </w:rPr>
        <w:t xml:space="preserve">1. Annette L </w:t>
      </w:r>
      <w:proofErr w:type="spellStart"/>
      <w:r w:rsidRPr="00496CF8">
        <w:rPr>
          <w:rFonts w:ascii="Garamond" w:hAnsi="Garamond"/>
          <w:i/>
          <w:iCs/>
          <w:color w:val="000000" w:themeColor="text1"/>
          <w:sz w:val="20"/>
          <w:szCs w:val="20"/>
        </w:rPr>
        <w:t>Valenta</w:t>
      </w:r>
      <w:proofErr w:type="spellEnd"/>
      <w:r w:rsidRPr="00496CF8">
        <w:rPr>
          <w:rFonts w:ascii="Garamond" w:hAnsi="Garamond"/>
          <w:i/>
          <w:iCs/>
          <w:color w:val="000000" w:themeColor="text1"/>
          <w:sz w:val="20"/>
          <w:szCs w:val="20"/>
        </w:rPr>
        <w:t>, Eta S Berner, Suzanne A Boren, Gloria</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 xml:space="preserve">J Deckard, Christina Eldredge, Douglas B </w:t>
      </w:r>
      <w:proofErr w:type="spellStart"/>
      <w:r w:rsidRPr="00496CF8">
        <w:rPr>
          <w:rFonts w:ascii="Garamond" w:hAnsi="Garamond"/>
          <w:i/>
          <w:iCs/>
          <w:color w:val="000000" w:themeColor="text1"/>
          <w:sz w:val="20"/>
          <w:szCs w:val="20"/>
        </w:rPr>
        <w:t>Fridsma</w:t>
      </w:r>
      <w:proofErr w:type="spellEnd"/>
      <w:r w:rsidRPr="00496CF8">
        <w:rPr>
          <w:rFonts w:ascii="Garamond" w:hAnsi="Garamond"/>
          <w:i/>
          <w:iCs/>
          <w:color w:val="000000" w:themeColor="text1"/>
          <w:sz w:val="20"/>
          <w:szCs w:val="20"/>
        </w:rPr>
        <w:t>, Cynthia</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Gadd, Yang Gong, Todd Johnson, Josette Jones, et al.</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Amia board white paper: Amia 2017 core competencies for</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applied health informatics education at the master’s degree</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level. Journal of the American Medical Informatics Association,</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25(12):1657–1668, 2018.</w:t>
      </w:r>
    </w:p>
    <w:p w14:paraId="621FB1D2" w14:textId="3373BF59" w:rsidR="00CF48FC" w:rsidRPr="00496CF8" w:rsidRDefault="00CF48FC" w:rsidP="00CF48FC">
      <w:pPr>
        <w:rPr>
          <w:rFonts w:ascii="Garamond" w:hAnsi="Garamond"/>
          <w:i/>
          <w:iCs/>
          <w:color w:val="000000" w:themeColor="text1"/>
          <w:sz w:val="20"/>
          <w:szCs w:val="20"/>
        </w:rPr>
      </w:pPr>
      <w:r w:rsidRPr="00496CF8">
        <w:rPr>
          <w:rFonts w:ascii="Garamond" w:hAnsi="Garamond"/>
          <w:i/>
          <w:iCs/>
          <w:color w:val="000000" w:themeColor="text1"/>
          <w:sz w:val="20"/>
          <w:szCs w:val="20"/>
        </w:rPr>
        <w:t xml:space="preserve">2. Robert E Hoyt and Ann K </w:t>
      </w:r>
      <w:proofErr w:type="spellStart"/>
      <w:r w:rsidRPr="00496CF8">
        <w:rPr>
          <w:rFonts w:ascii="Garamond" w:hAnsi="Garamond"/>
          <w:i/>
          <w:iCs/>
          <w:color w:val="000000" w:themeColor="text1"/>
          <w:sz w:val="20"/>
          <w:szCs w:val="20"/>
        </w:rPr>
        <w:t>Yoshihashi</w:t>
      </w:r>
      <w:proofErr w:type="spellEnd"/>
      <w:r w:rsidRPr="00496CF8">
        <w:rPr>
          <w:rFonts w:ascii="Garamond" w:hAnsi="Garamond"/>
          <w:i/>
          <w:iCs/>
          <w:color w:val="000000" w:themeColor="text1"/>
          <w:sz w:val="20"/>
          <w:szCs w:val="20"/>
        </w:rPr>
        <w:t>. Health informatics:</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practical guide for healthcare and information technology professionals.</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Lulu. com, 2014.</w:t>
      </w:r>
    </w:p>
    <w:p w14:paraId="109E275E" w14:textId="4F1EB86F" w:rsidR="00CF48FC" w:rsidRPr="00496CF8" w:rsidRDefault="00CF48FC" w:rsidP="00CF48FC">
      <w:pPr>
        <w:rPr>
          <w:rFonts w:ascii="Garamond" w:hAnsi="Garamond"/>
          <w:i/>
          <w:iCs/>
          <w:color w:val="000000" w:themeColor="text1"/>
          <w:sz w:val="20"/>
          <w:szCs w:val="20"/>
        </w:rPr>
      </w:pPr>
      <w:r w:rsidRPr="00496CF8">
        <w:rPr>
          <w:rFonts w:ascii="Garamond" w:hAnsi="Garamond"/>
          <w:i/>
          <w:iCs/>
          <w:color w:val="000000" w:themeColor="text1"/>
          <w:sz w:val="20"/>
          <w:szCs w:val="20"/>
        </w:rPr>
        <w:t>3. George Siemens and Phil Long. Penetrating the fog: Analytics</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in learning and education. EDUCAUSE review, 46(5):30, 2011.</w:t>
      </w:r>
    </w:p>
    <w:p w14:paraId="7ADD07D8" w14:textId="74190411" w:rsidR="00CF48FC" w:rsidRPr="00496CF8" w:rsidRDefault="00CF48FC" w:rsidP="00CF48FC">
      <w:pPr>
        <w:rPr>
          <w:rFonts w:ascii="Garamond" w:hAnsi="Garamond"/>
          <w:i/>
          <w:iCs/>
          <w:color w:val="000000" w:themeColor="text1"/>
          <w:sz w:val="20"/>
          <w:szCs w:val="20"/>
        </w:rPr>
      </w:pPr>
      <w:r w:rsidRPr="00496CF8">
        <w:rPr>
          <w:rFonts w:ascii="Garamond" w:hAnsi="Garamond"/>
          <w:i/>
          <w:iCs/>
          <w:color w:val="000000" w:themeColor="text1"/>
          <w:sz w:val="20"/>
          <w:szCs w:val="20"/>
        </w:rPr>
        <w:t xml:space="preserve">4. Yazan A </w:t>
      </w:r>
      <w:proofErr w:type="spellStart"/>
      <w:r w:rsidRPr="00496CF8">
        <w:rPr>
          <w:rFonts w:ascii="Garamond" w:hAnsi="Garamond"/>
          <w:i/>
          <w:iCs/>
          <w:color w:val="000000" w:themeColor="text1"/>
          <w:sz w:val="20"/>
          <w:szCs w:val="20"/>
        </w:rPr>
        <w:t>Alsariera</w:t>
      </w:r>
      <w:proofErr w:type="spellEnd"/>
      <w:r w:rsidRPr="00496CF8">
        <w:rPr>
          <w:rFonts w:ascii="Garamond" w:hAnsi="Garamond"/>
          <w:i/>
          <w:iCs/>
          <w:color w:val="000000" w:themeColor="text1"/>
          <w:sz w:val="20"/>
          <w:szCs w:val="20"/>
        </w:rPr>
        <w:t xml:space="preserve">, Yahia </w:t>
      </w:r>
      <w:proofErr w:type="spellStart"/>
      <w:r w:rsidRPr="00496CF8">
        <w:rPr>
          <w:rFonts w:ascii="Garamond" w:hAnsi="Garamond"/>
          <w:i/>
          <w:iCs/>
          <w:color w:val="000000" w:themeColor="text1"/>
          <w:sz w:val="20"/>
          <w:szCs w:val="20"/>
        </w:rPr>
        <w:t>Baashar</w:t>
      </w:r>
      <w:proofErr w:type="spellEnd"/>
      <w:r w:rsidRPr="00496CF8">
        <w:rPr>
          <w:rFonts w:ascii="Garamond" w:hAnsi="Garamond"/>
          <w:i/>
          <w:iCs/>
          <w:color w:val="000000" w:themeColor="text1"/>
          <w:sz w:val="20"/>
          <w:szCs w:val="20"/>
        </w:rPr>
        <w:t xml:space="preserve">, Gamal </w:t>
      </w:r>
      <w:proofErr w:type="spellStart"/>
      <w:r w:rsidRPr="00496CF8">
        <w:rPr>
          <w:rFonts w:ascii="Garamond" w:hAnsi="Garamond"/>
          <w:i/>
          <w:iCs/>
          <w:color w:val="000000" w:themeColor="text1"/>
          <w:sz w:val="20"/>
          <w:szCs w:val="20"/>
        </w:rPr>
        <w:t>Alkawsi</w:t>
      </w:r>
      <w:proofErr w:type="spellEnd"/>
      <w:r w:rsidRPr="00496CF8">
        <w:rPr>
          <w:rFonts w:ascii="Garamond" w:hAnsi="Garamond"/>
          <w:i/>
          <w:iCs/>
          <w:color w:val="000000" w:themeColor="text1"/>
          <w:sz w:val="20"/>
          <w:szCs w:val="20"/>
        </w:rPr>
        <w:t>, Abdulsalam</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 xml:space="preserve">Mustafa, Ammar Ahmed </w:t>
      </w:r>
      <w:proofErr w:type="spellStart"/>
      <w:r w:rsidRPr="00496CF8">
        <w:rPr>
          <w:rFonts w:ascii="Garamond" w:hAnsi="Garamond"/>
          <w:i/>
          <w:iCs/>
          <w:color w:val="000000" w:themeColor="text1"/>
          <w:sz w:val="20"/>
          <w:szCs w:val="20"/>
        </w:rPr>
        <w:t>Alkahtani</w:t>
      </w:r>
      <w:proofErr w:type="spellEnd"/>
      <w:r w:rsidRPr="00496CF8">
        <w:rPr>
          <w:rFonts w:ascii="Garamond" w:hAnsi="Garamond"/>
          <w:i/>
          <w:iCs/>
          <w:color w:val="000000" w:themeColor="text1"/>
          <w:sz w:val="20"/>
          <w:szCs w:val="20"/>
        </w:rPr>
        <w:t xml:space="preserve">, and </w:t>
      </w:r>
      <w:proofErr w:type="spellStart"/>
      <w:r w:rsidRPr="00496CF8">
        <w:rPr>
          <w:rFonts w:ascii="Garamond" w:hAnsi="Garamond"/>
          <w:i/>
          <w:iCs/>
          <w:color w:val="000000" w:themeColor="text1"/>
          <w:sz w:val="20"/>
          <w:szCs w:val="20"/>
        </w:rPr>
        <w:t>Nor’ashikin</w:t>
      </w:r>
      <w:proofErr w:type="spellEnd"/>
      <w:r w:rsidRPr="00496CF8">
        <w:rPr>
          <w:rFonts w:ascii="Garamond" w:hAnsi="Garamond"/>
          <w:i/>
          <w:iCs/>
          <w:color w:val="000000" w:themeColor="text1"/>
          <w:sz w:val="20"/>
          <w:szCs w:val="20"/>
        </w:rPr>
        <w:t xml:space="preserve"> Ali. Assessment</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and evaluation of different machine learning algorithms</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for predicting student performance. Computational</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Intelligence and Neuroscience, 2022, 2022.</w:t>
      </w:r>
    </w:p>
    <w:p w14:paraId="1414CB34" w14:textId="3BF51339" w:rsidR="00CF48FC" w:rsidRPr="00496CF8" w:rsidRDefault="00CF48FC" w:rsidP="00CF48FC">
      <w:pPr>
        <w:rPr>
          <w:rFonts w:ascii="Garamond" w:hAnsi="Garamond"/>
          <w:i/>
          <w:iCs/>
          <w:color w:val="000000" w:themeColor="text1"/>
          <w:sz w:val="20"/>
          <w:szCs w:val="20"/>
        </w:rPr>
      </w:pPr>
      <w:r w:rsidRPr="00496CF8">
        <w:rPr>
          <w:rFonts w:ascii="Garamond" w:hAnsi="Garamond"/>
          <w:i/>
          <w:iCs/>
          <w:color w:val="000000" w:themeColor="text1"/>
          <w:sz w:val="20"/>
          <w:szCs w:val="20"/>
        </w:rPr>
        <w:t xml:space="preserve">5. John P Campbell, Peter B </w:t>
      </w:r>
      <w:proofErr w:type="spellStart"/>
      <w:r w:rsidRPr="00496CF8">
        <w:rPr>
          <w:rFonts w:ascii="Garamond" w:hAnsi="Garamond"/>
          <w:i/>
          <w:iCs/>
          <w:color w:val="000000" w:themeColor="text1"/>
          <w:sz w:val="20"/>
          <w:szCs w:val="20"/>
        </w:rPr>
        <w:t>DeBlois</w:t>
      </w:r>
      <w:proofErr w:type="spellEnd"/>
      <w:r w:rsidRPr="00496CF8">
        <w:rPr>
          <w:rFonts w:ascii="Garamond" w:hAnsi="Garamond"/>
          <w:i/>
          <w:iCs/>
          <w:color w:val="000000" w:themeColor="text1"/>
          <w:sz w:val="20"/>
          <w:szCs w:val="20"/>
        </w:rPr>
        <w:t xml:space="preserve">, and Diana G </w:t>
      </w:r>
      <w:proofErr w:type="spellStart"/>
      <w:r w:rsidRPr="00496CF8">
        <w:rPr>
          <w:rFonts w:ascii="Garamond" w:hAnsi="Garamond"/>
          <w:i/>
          <w:iCs/>
          <w:color w:val="000000" w:themeColor="text1"/>
          <w:sz w:val="20"/>
          <w:szCs w:val="20"/>
        </w:rPr>
        <w:t>Oblinger</w:t>
      </w:r>
      <w:proofErr w:type="spellEnd"/>
      <w:r w:rsidRPr="00496CF8">
        <w:rPr>
          <w:rFonts w:ascii="Garamond" w:hAnsi="Garamond"/>
          <w:i/>
          <w:iCs/>
          <w:color w:val="000000" w:themeColor="text1"/>
          <w:sz w:val="20"/>
          <w:szCs w:val="20"/>
        </w:rPr>
        <w:t>.</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Academic analytics: A new tool for a new era. EDUCAUSE</w:t>
      </w:r>
    </w:p>
    <w:p w14:paraId="7CC43499" w14:textId="77777777" w:rsidR="00CF48FC" w:rsidRPr="00496CF8" w:rsidRDefault="00CF48FC" w:rsidP="00CF48FC">
      <w:pPr>
        <w:rPr>
          <w:rFonts w:ascii="Garamond" w:hAnsi="Garamond"/>
          <w:i/>
          <w:iCs/>
          <w:color w:val="000000" w:themeColor="text1"/>
          <w:sz w:val="20"/>
          <w:szCs w:val="20"/>
        </w:rPr>
      </w:pPr>
      <w:r w:rsidRPr="00496CF8">
        <w:rPr>
          <w:rFonts w:ascii="Garamond" w:hAnsi="Garamond"/>
          <w:i/>
          <w:iCs/>
          <w:color w:val="000000" w:themeColor="text1"/>
          <w:sz w:val="20"/>
          <w:szCs w:val="20"/>
        </w:rPr>
        <w:t>review, 42(4):40, 2007.</w:t>
      </w:r>
    </w:p>
    <w:p w14:paraId="662ABC8B" w14:textId="584C3C31" w:rsidR="00CF48FC" w:rsidRPr="00496CF8" w:rsidRDefault="00CF48FC" w:rsidP="00CF48FC">
      <w:pPr>
        <w:rPr>
          <w:rFonts w:ascii="Garamond" w:hAnsi="Garamond"/>
          <w:i/>
          <w:iCs/>
          <w:color w:val="000000" w:themeColor="text1"/>
          <w:sz w:val="20"/>
          <w:szCs w:val="20"/>
        </w:rPr>
      </w:pPr>
      <w:r w:rsidRPr="00496CF8">
        <w:rPr>
          <w:rFonts w:ascii="Garamond" w:hAnsi="Garamond"/>
          <w:i/>
          <w:iCs/>
          <w:color w:val="000000" w:themeColor="text1"/>
          <w:sz w:val="20"/>
          <w:szCs w:val="20"/>
        </w:rPr>
        <w:t xml:space="preserve">6. Juan L </w:t>
      </w:r>
      <w:proofErr w:type="spellStart"/>
      <w:r w:rsidRPr="00496CF8">
        <w:rPr>
          <w:rFonts w:ascii="Garamond" w:hAnsi="Garamond"/>
          <w:i/>
          <w:iCs/>
          <w:color w:val="000000" w:themeColor="text1"/>
          <w:sz w:val="20"/>
          <w:szCs w:val="20"/>
        </w:rPr>
        <w:t>Rastrollo</w:t>
      </w:r>
      <w:proofErr w:type="spellEnd"/>
      <w:r w:rsidRPr="00496CF8">
        <w:rPr>
          <w:rFonts w:ascii="Garamond" w:hAnsi="Garamond"/>
          <w:i/>
          <w:iCs/>
          <w:color w:val="000000" w:themeColor="text1"/>
          <w:sz w:val="20"/>
          <w:szCs w:val="20"/>
        </w:rPr>
        <w:t>-Guerrero, Juan A Gómez-Pulido, and Arturo</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Durán-Domínguez. Analyzing and predicting students’</w:t>
      </w:r>
    </w:p>
    <w:p w14:paraId="02BF362A" w14:textId="1B49D16E" w:rsidR="00CF48FC" w:rsidRPr="00496CF8" w:rsidRDefault="00CF48FC" w:rsidP="00CF48FC">
      <w:pPr>
        <w:rPr>
          <w:rFonts w:ascii="Garamond" w:hAnsi="Garamond"/>
          <w:i/>
          <w:iCs/>
          <w:color w:val="000000" w:themeColor="text1"/>
          <w:sz w:val="20"/>
          <w:szCs w:val="20"/>
        </w:rPr>
      </w:pPr>
      <w:r w:rsidRPr="00496CF8">
        <w:rPr>
          <w:rFonts w:ascii="Garamond" w:hAnsi="Garamond"/>
          <w:i/>
          <w:iCs/>
          <w:color w:val="000000" w:themeColor="text1"/>
          <w:sz w:val="20"/>
          <w:szCs w:val="20"/>
        </w:rPr>
        <w:t>performance by means of machine learning: A review. Applied</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sciences, 10(3):1042, 2020.</w:t>
      </w:r>
    </w:p>
    <w:p w14:paraId="5CD46BB9" w14:textId="72F8FF3E" w:rsidR="00CF48FC" w:rsidRPr="00496CF8" w:rsidRDefault="00CF48FC" w:rsidP="00CF48FC">
      <w:pPr>
        <w:rPr>
          <w:rFonts w:ascii="Garamond" w:hAnsi="Garamond"/>
          <w:i/>
          <w:iCs/>
          <w:color w:val="000000" w:themeColor="text1"/>
          <w:sz w:val="20"/>
          <w:szCs w:val="20"/>
        </w:rPr>
      </w:pPr>
      <w:r w:rsidRPr="00496CF8">
        <w:rPr>
          <w:rFonts w:ascii="Garamond" w:hAnsi="Garamond"/>
          <w:i/>
          <w:iCs/>
          <w:color w:val="000000" w:themeColor="text1"/>
          <w:sz w:val="20"/>
          <w:szCs w:val="20"/>
        </w:rPr>
        <w:t xml:space="preserve">7. Irmgard U </w:t>
      </w:r>
      <w:proofErr w:type="spellStart"/>
      <w:r w:rsidRPr="00496CF8">
        <w:rPr>
          <w:rFonts w:ascii="Garamond" w:hAnsi="Garamond"/>
          <w:i/>
          <w:iCs/>
          <w:color w:val="000000" w:themeColor="text1"/>
          <w:sz w:val="20"/>
          <w:szCs w:val="20"/>
        </w:rPr>
        <w:t>Willcockson</w:t>
      </w:r>
      <w:proofErr w:type="spellEnd"/>
      <w:r w:rsidRPr="00496CF8">
        <w:rPr>
          <w:rFonts w:ascii="Garamond" w:hAnsi="Garamond"/>
          <w:i/>
          <w:iCs/>
          <w:color w:val="000000" w:themeColor="text1"/>
          <w:sz w:val="20"/>
          <w:szCs w:val="20"/>
        </w:rPr>
        <w:t>, Craig W Johnson, William Hersh,</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and Elmer V Bernstam. Predictors of student success in graduate</w:t>
      </w:r>
    </w:p>
    <w:p w14:paraId="0CFCDEA6" w14:textId="06D45C7D" w:rsidR="00CF48FC" w:rsidRPr="00496CF8" w:rsidRDefault="00CF48FC" w:rsidP="00CF48FC">
      <w:pPr>
        <w:rPr>
          <w:rFonts w:ascii="Garamond" w:hAnsi="Garamond"/>
          <w:i/>
          <w:iCs/>
          <w:color w:val="000000" w:themeColor="text1"/>
          <w:sz w:val="20"/>
          <w:szCs w:val="20"/>
        </w:rPr>
      </w:pPr>
      <w:r w:rsidRPr="00496CF8">
        <w:rPr>
          <w:rFonts w:ascii="Garamond" w:hAnsi="Garamond"/>
          <w:i/>
          <w:iCs/>
          <w:color w:val="000000" w:themeColor="text1"/>
          <w:sz w:val="20"/>
          <w:szCs w:val="20"/>
        </w:rPr>
        <w:t>biomedical informatics training: introductory course and</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program success. Journal of the American Medical Informatics</w:t>
      </w:r>
    </w:p>
    <w:p w14:paraId="5BF6514E" w14:textId="77777777" w:rsidR="00CF48FC" w:rsidRPr="00496CF8" w:rsidRDefault="00CF48FC" w:rsidP="00CF48FC">
      <w:pPr>
        <w:rPr>
          <w:rFonts w:ascii="Garamond" w:hAnsi="Garamond"/>
          <w:i/>
          <w:iCs/>
          <w:color w:val="000000" w:themeColor="text1"/>
          <w:sz w:val="20"/>
          <w:szCs w:val="20"/>
        </w:rPr>
      </w:pPr>
      <w:r w:rsidRPr="00496CF8">
        <w:rPr>
          <w:rFonts w:ascii="Garamond" w:hAnsi="Garamond"/>
          <w:i/>
          <w:iCs/>
          <w:color w:val="000000" w:themeColor="text1"/>
          <w:sz w:val="20"/>
          <w:szCs w:val="20"/>
        </w:rPr>
        <w:t>Association, 16(6):837–846, 2009.</w:t>
      </w:r>
    </w:p>
    <w:p w14:paraId="19667493" w14:textId="05CB30AE" w:rsidR="00CF48FC" w:rsidRPr="00496CF8" w:rsidRDefault="00CF48FC" w:rsidP="00CF48FC">
      <w:pPr>
        <w:rPr>
          <w:rFonts w:ascii="Garamond" w:hAnsi="Garamond"/>
          <w:i/>
          <w:iCs/>
          <w:color w:val="000000" w:themeColor="text1"/>
          <w:sz w:val="20"/>
          <w:szCs w:val="20"/>
        </w:rPr>
      </w:pPr>
      <w:r w:rsidRPr="00496CF8">
        <w:rPr>
          <w:rFonts w:ascii="Garamond" w:hAnsi="Garamond"/>
          <w:i/>
          <w:iCs/>
          <w:color w:val="000000" w:themeColor="text1"/>
          <w:sz w:val="20"/>
          <w:szCs w:val="20"/>
        </w:rPr>
        <w:t xml:space="preserve">8. </w:t>
      </w:r>
      <w:proofErr w:type="spellStart"/>
      <w:r w:rsidRPr="00496CF8">
        <w:rPr>
          <w:rFonts w:ascii="Garamond" w:hAnsi="Garamond"/>
          <w:i/>
          <w:iCs/>
          <w:color w:val="000000" w:themeColor="text1"/>
          <w:sz w:val="20"/>
          <w:szCs w:val="20"/>
        </w:rPr>
        <w:t>Tahereh</w:t>
      </w:r>
      <w:proofErr w:type="spellEnd"/>
      <w:r w:rsidRPr="00496CF8">
        <w:rPr>
          <w:rFonts w:ascii="Garamond" w:hAnsi="Garamond"/>
          <w:i/>
          <w:iCs/>
          <w:color w:val="000000" w:themeColor="text1"/>
          <w:sz w:val="20"/>
          <w:szCs w:val="20"/>
        </w:rPr>
        <w:t xml:space="preserve"> Saheb </w:t>
      </w:r>
      <w:proofErr w:type="spellStart"/>
      <w:r w:rsidRPr="00496CF8">
        <w:rPr>
          <w:rFonts w:ascii="Garamond" w:hAnsi="Garamond"/>
          <w:i/>
          <w:iCs/>
          <w:color w:val="000000" w:themeColor="text1"/>
          <w:sz w:val="20"/>
          <w:szCs w:val="20"/>
        </w:rPr>
        <w:t>andMohammad</w:t>
      </w:r>
      <w:proofErr w:type="spellEnd"/>
      <w:r w:rsidRPr="00496CF8">
        <w:rPr>
          <w:rFonts w:ascii="Garamond" w:hAnsi="Garamond"/>
          <w:i/>
          <w:iCs/>
          <w:color w:val="000000" w:themeColor="text1"/>
          <w:sz w:val="20"/>
          <w:szCs w:val="20"/>
        </w:rPr>
        <w:t xml:space="preserve"> Saheb. Analyzing and visualizing</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knowledge structures of health informatics from 1974</w:t>
      </w:r>
    </w:p>
    <w:p w14:paraId="2CF1643F" w14:textId="04F2EC60" w:rsidR="007C4AFD" w:rsidRPr="00496CF8" w:rsidRDefault="00CF48FC" w:rsidP="00CF48FC">
      <w:pPr>
        <w:rPr>
          <w:rFonts w:ascii="Garamond" w:hAnsi="Garamond"/>
          <w:i/>
          <w:iCs/>
          <w:color w:val="000000" w:themeColor="text1"/>
          <w:sz w:val="20"/>
          <w:szCs w:val="20"/>
        </w:rPr>
      </w:pPr>
      <w:r w:rsidRPr="00496CF8">
        <w:rPr>
          <w:rFonts w:ascii="Garamond" w:hAnsi="Garamond"/>
          <w:i/>
          <w:iCs/>
          <w:color w:val="000000" w:themeColor="text1"/>
          <w:sz w:val="20"/>
          <w:szCs w:val="20"/>
        </w:rPr>
        <w:t>to 2018: a bibliometric and social network analysis. Healthcare</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informatics research, 25(2):61–72, 2019.</w:t>
      </w:r>
    </w:p>
    <w:p w14:paraId="122CDD48" w14:textId="4F3FC3B0" w:rsidR="00CF48FC" w:rsidRPr="00496CF8" w:rsidRDefault="00CF48FC" w:rsidP="00CF48FC">
      <w:pPr>
        <w:rPr>
          <w:rFonts w:ascii="Garamond" w:hAnsi="Garamond"/>
          <w:i/>
          <w:iCs/>
          <w:color w:val="000000" w:themeColor="text1"/>
          <w:sz w:val="20"/>
          <w:szCs w:val="20"/>
        </w:rPr>
      </w:pPr>
      <w:r w:rsidRPr="00496CF8">
        <w:rPr>
          <w:rFonts w:ascii="Garamond" w:hAnsi="Garamond"/>
          <w:i/>
          <w:iCs/>
          <w:color w:val="000000" w:themeColor="text1"/>
          <w:sz w:val="20"/>
          <w:szCs w:val="20"/>
        </w:rPr>
        <w:t>9. Melanie A Meyer. Healthcare data scientist qualifications,</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skills, and job focus: a content analysis of job postings. Journal</w:t>
      </w:r>
    </w:p>
    <w:p w14:paraId="351FB7BA" w14:textId="3C54B7C6" w:rsidR="00CF48FC" w:rsidRPr="00496CF8" w:rsidRDefault="00CF48FC" w:rsidP="00CF48FC">
      <w:pPr>
        <w:rPr>
          <w:rFonts w:ascii="Garamond" w:hAnsi="Garamond"/>
          <w:i/>
          <w:iCs/>
          <w:color w:val="000000" w:themeColor="text1"/>
          <w:sz w:val="20"/>
          <w:szCs w:val="20"/>
        </w:rPr>
      </w:pPr>
      <w:r w:rsidRPr="00496CF8">
        <w:rPr>
          <w:rFonts w:ascii="Garamond" w:hAnsi="Garamond"/>
          <w:i/>
          <w:iCs/>
          <w:color w:val="000000" w:themeColor="text1"/>
          <w:sz w:val="20"/>
          <w:szCs w:val="20"/>
        </w:rPr>
        <w:t>of the American Medical Informatics Association, 26(5):383–391,</w:t>
      </w:r>
      <w:r w:rsidR="007C4AFD" w:rsidRPr="00496CF8">
        <w:rPr>
          <w:rFonts w:ascii="Garamond" w:hAnsi="Garamond"/>
          <w:i/>
          <w:iCs/>
          <w:color w:val="000000" w:themeColor="text1"/>
          <w:sz w:val="20"/>
          <w:szCs w:val="20"/>
        </w:rPr>
        <w:t xml:space="preserve"> </w:t>
      </w:r>
      <w:r w:rsidRPr="00496CF8">
        <w:rPr>
          <w:rFonts w:ascii="Garamond" w:hAnsi="Garamond"/>
          <w:i/>
          <w:iCs/>
          <w:color w:val="000000" w:themeColor="text1"/>
          <w:sz w:val="20"/>
          <w:szCs w:val="20"/>
        </w:rPr>
        <w:t>2019.</w:t>
      </w:r>
    </w:p>
    <w:p w14:paraId="4219B985" w14:textId="24FFF5C1" w:rsidR="00CF48FC" w:rsidRPr="00496CF8" w:rsidRDefault="00CF48FC" w:rsidP="00CF48FC">
      <w:pPr>
        <w:rPr>
          <w:rFonts w:ascii="Garamond" w:hAnsi="Garamond"/>
          <w:color w:val="000000" w:themeColor="text1"/>
          <w:sz w:val="20"/>
          <w:szCs w:val="20"/>
        </w:rPr>
      </w:pPr>
    </w:p>
    <w:p w14:paraId="5805A1F2" w14:textId="77777777" w:rsidR="002C0B4C" w:rsidRPr="00496CF8" w:rsidRDefault="002C0B4C" w:rsidP="00627D5D">
      <w:pPr>
        <w:rPr>
          <w:rFonts w:ascii="Garamond" w:hAnsi="Garamond"/>
          <w:color w:val="000000" w:themeColor="text1"/>
          <w:sz w:val="20"/>
          <w:szCs w:val="20"/>
        </w:rPr>
      </w:pPr>
    </w:p>
    <w:p w14:paraId="5A8AD84F" w14:textId="77777777" w:rsidR="0020688D" w:rsidRPr="00496CF8" w:rsidRDefault="0020688D" w:rsidP="00627D5D">
      <w:pPr>
        <w:rPr>
          <w:rFonts w:ascii="Garamond" w:hAnsi="Garamond"/>
          <w:color w:val="000000" w:themeColor="text1"/>
          <w:sz w:val="20"/>
          <w:szCs w:val="20"/>
        </w:rPr>
      </w:pPr>
    </w:p>
    <w:p w14:paraId="613B9F32" w14:textId="77777777" w:rsidR="0020688D" w:rsidRPr="00496CF8" w:rsidRDefault="0020688D" w:rsidP="00627D5D">
      <w:pPr>
        <w:rPr>
          <w:rFonts w:ascii="Garamond" w:hAnsi="Garamond"/>
          <w:color w:val="000000" w:themeColor="text1"/>
          <w:sz w:val="20"/>
          <w:szCs w:val="20"/>
        </w:rPr>
      </w:pPr>
    </w:p>
    <w:p w14:paraId="7F69EA38" w14:textId="77777777" w:rsidR="0020688D" w:rsidRPr="00496CF8" w:rsidRDefault="0020688D" w:rsidP="00627D5D">
      <w:pPr>
        <w:rPr>
          <w:rFonts w:ascii="Garamond" w:hAnsi="Garamond"/>
          <w:color w:val="000000" w:themeColor="text1"/>
          <w:sz w:val="20"/>
          <w:szCs w:val="20"/>
        </w:rPr>
      </w:pPr>
    </w:p>
    <w:p w14:paraId="719C9CED" w14:textId="77777777" w:rsidR="00CF2E1F" w:rsidRPr="00496CF8" w:rsidRDefault="00CF2E1F" w:rsidP="00627D5D">
      <w:pPr>
        <w:rPr>
          <w:rFonts w:ascii="Garamond" w:hAnsi="Garamond"/>
          <w:color w:val="000000" w:themeColor="text1"/>
          <w:sz w:val="20"/>
          <w:szCs w:val="20"/>
        </w:rPr>
      </w:pPr>
    </w:p>
    <w:p w14:paraId="56A5B1D9" w14:textId="77777777" w:rsidR="00CF2E1F" w:rsidRPr="00496CF8" w:rsidRDefault="00CF2E1F" w:rsidP="00627D5D">
      <w:pPr>
        <w:rPr>
          <w:rFonts w:ascii="Garamond" w:hAnsi="Garamond"/>
          <w:color w:val="000000" w:themeColor="text1"/>
          <w:sz w:val="20"/>
          <w:szCs w:val="20"/>
        </w:rPr>
      </w:pPr>
    </w:p>
    <w:p w14:paraId="2548C9E5" w14:textId="77777777" w:rsidR="00CF2E1F" w:rsidRPr="00496CF8" w:rsidRDefault="00CF2E1F" w:rsidP="00627D5D">
      <w:pPr>
        <w:rPr>
          <w:rFonts w:ascii="Garamond" w:hAnsi="Garamond"/>
          <w:color w:val="000000" w:themeColor="text1"/>
          <w:sz w:val="20"/>
          <w:szCs w:val="20"/>
        </w:rPr>
      </w:pPr>
    </w:p>
    <w:p w14:paraId="67570D18" w14:textId="77777777" w:rsidR="00DE1490" w:rsidRPr="00496CF8" w:rsidRDefault="00DE1490" w:rsidP="006F0E54">
      <w:pPr>
        <w:rPr>
          <w:rFonts w:ascii="Garamond" w:hAnsi="Garamond"/>
          <w:color w:val="000000" w:themeColor="text1"/>
          <w:sz w:val="20"/>
          <w:szCs w:val="20"/>
        </w:rPr>
      </w:pPr>
    </w:p>
    <w:p w14:paraId="78B78305" w14:textId="77777777" w:rsidR="006F0E54" w:rsidRPr="00496CF8" w:rsidRDefault="006F0E54" w:rsidP="006F0E54">
      <w:pPr>
        <w:rPr>
          <w:rFonts w:ascii="Garamond" w:hAnsi="Garamond"/>
          <w:color w:val="000000" w:themeColor="text1"/>
          <w:sz w:val="20"/>
          <w:szCs w:val="20"/>
        </w:rPr>
      </w:pPr>
    </w:p>
    <w:p w14:paraId="2ACCBDDE" w14:textId="30054170" w:rsidR="00D35CF5" w:rsidRPr="00496CF8" w:rsidRDefault="00D35CF5" w:rsidP="00021B3A">
      <w:pPr>
        <w:rPr>
          <w:rFonts w:ascii="Garamond" w:hAnsi="Garamond"/>
          <w:color w:val="000000" w:themeColor="text1"/>
          <w:sz w:val="20"/>
          <w:szCs w:val="20"/>
        </w:rPr>
      </w:pPr>
    </w:p>
    <w:sectPr w:rsidR="00D35CF5" w:rsidRPr="00496CF8" w:rsidSect="00BB4A49">
      <w:headerReference w:type="default" r:id="rId21"/>
      <w:footerReference w:type="default" r:id="rId2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0E7D8" w14:textId="77777777" w:rsidR="00294FAF" w:rsidRDefault="00294FAF" w:rsidP="00294FAF">
      <w:pPr>
        <w:spacing w:after="0" w:line="240" w:lineRule="auto"/>
      </w:pPr>
      <w:r>
        <w:separator/>
      </w:r>
    </w:p>
  </w:endnote>
  <w:endnote w:type="continuationSeparator" w:id="0">
    <w:p w14:paraId="40E85E94" w14:textId="77777777" w:rsidR="00294FAF" w:rsidRDefault="00294FAF" w:rsidP="00294FAF">
      <w:pPr>
        <w:spacing w:after="0" w:line="240" w:lineRule="auto"/>
      </w:pPr>
      <w:r>
        <w:continuationSeparator/>
      </w:r>
    </w:p>
  </w:endnote>
  <w:endnote w:type="continuationNotice" w:id="1">
    <w:p w14:paraId="459402EA" w14:textId="77777777" w:rsidR="00294FAF" w:rsidRDefault="00294F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254"/>
      <w:gridCol w:w="2254"/>
      <w:gridCol w:w="2254"/>
      <w:gridCol w:w="2254"/>
    </w:tblGrid>
    <w:tr w:rsidR="73DA452B" w14:paraId="2ED61679" w14:textId="77777777" w:rsidTr="73DA452B">
      <w:trPr>
        <w:trHeight w:val="300"/>
      </w:trPr>
      <w:tc>
        <w:tcPr>
          <w:tcW w:w="2254" w:type="dxa"/>
        </w:tcPr>
        <w:p w14:paraId="755D99EB" w14:textId="550E5FF8" w:rsidR="73DA452B" w:rsidRDefault="73DA452B" w:rsidP="73DA452B">
          <w:pPr>
            <w:pStyle w:val="Header"/>
            <w:ind w:left="-115"/>
          </w:pPr>
        </w:p>
      </w:tc>
      <w:tc>
        <w:tcPr>
          <w:tcW w:w="2254" w:type="dxa"/>
        </w:tcPr>
        <w:p w14:paraId="19E59D5E" w14:textId="7CB29760" w:rsidR="73DA452B" w:rsidRDefault="73DA452B" w:rsidP="73DA452B">
          <w:pPr>
            <w:pStyle w:val="Header"/>
          </w:pPr>
        </w:p>
      </w:tc>
      <w:tc>
        <w:tcPr>
          <w:tcW w:w="2254" w:type="dxa"/>
        </w:tcPr>
        <w:p w14:paraId="72803987" w14:textId="663E5D26" w:rsidR="73DA452B" w:rsidRDefault="73DA452B" w:rsidP="73DA452B">
          <w:pPr>
            <w:pStyle w:val="Header"/>
          </w:pPr>
          <w:r>
            <w:t xml:space="preserve"> </w:t>
          </w:r>
          <w:r>
            <w:fldChar w:fldCharType="begin"/>
          </w:r>
          <w:r>
            <w:instrText>PAGE</w:instrText>
          </w:r>
          <w:r w:rsidR="00CA36E5">
            <w:fldChar w:fldCharType="separate"/>
          </w:r>
          <w:r w:rsidR="00294FAF">
            <w:rPr>
              <w:noProof/>
            </w:rPr>
            <w:t>1</w:t>
          </w:r>
          <w:r>
            <w:fldChar w:fldCharType="end"/>
          </w:r>
        </w:p>
      </w:tc>
      <w:tc>
        <w:tcPr>
          <w:tcW w:w="2254" w:type="dxa"/>
        </w:tcPr>
        <w:p w14:paraId="41F35668" w14:textId="4D90041A" w:rsidR="73DA452B" w:rsidRDefault="73DA452B" w:rsidP="73DA452B">
          <w:pPr>
            <w:pStyle w:val="Header"/>
            <w:ind w:right="-115"/>
            <w:jc w:val="right"/>
          </w:pPr>
        </w:p>
      </w:tc>
    </w:tr>
  </w:tbl>
  <w:p w14:paraId="702C961B" w14:textId="3AF9BA16" w:rsidR="00294FAF" w:rsidRDefault="00294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F830E" w14:textId="77777777" w:rsidR="00294FAF" w:rsidRDefault="00294FAF" w:rsidP="00294FAF">
      <w:pPr>
        <w:spacing w:after="0" w:line="240" w:lineRule="auto"/>
      </w:pPr>
      <w:r>
        <w:separator/>
      </w:r>
    </w:p>
  </w:footnote>
  <w:footnote w:type="continuationSeparator" w:id="0">
    <w:p w14:paraId="00DD03DF" w14:textId="77777777" w:rsidR="00294FAF" w:rsidRDefault="00294FAF" w:rsidP="00294FAF">
      <w:pPr>
        <w:spacing w:after="0" w:line="240" w:lineRule="auto"/>
      </w:pPr>
      <w:r>
        <w:continuationSeparator/>
      </w:r>
    </w:p>
  </w:footnote>
  <w:footnote w:type="continuationNotice" w:id="1">
    <w:p w14:paraId="37BB9F00" w14:textId="77777777" w:rsidR="00294FAF" w:rsidRDefault="00294F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tblGrid>
    <w:tr w:rsidR="73DA452B" w14:paraId="61E491D4" w14:textId="77777777" w:rsidTr="73DA452B">
      <w:trPr>
        <w:trHeight w:val="300"/>
      </w:trPr>
      <w:tc>
        <w:tcPr>
          <w:tcW w:w="3005" w:type="dxa"/>
        </w:tcPr>
        <w:p w14:paraId="4AD85B8E" w14:textId="6552004D" w:rsidR="73DA452B" w:rsidRDefault="73DA452B" w:rsidP="73DA452B">
          <w:pPr>
            <w:pStyle w:val="Header"/>
            <w:jc w:val="center"/>
          </w:pPr>
        </w:p>
      </w:tc>
      <w:tc>
        <w:tcPr>
          <w:tcW w:w="3005" w:type="dxa"/>
        </w:tcPr>
        <w:p w14:paraId="1D08F523" w14:textId="4BE18BB0" w:rsidR="73DA452B" w:rsidRDefault="73DA452B" w:rsidP="73DA452B">
          <w:pPr>
            <w:pStyle w:val="Header"/>
            <w:ind w:right="-115"/>
            <w:jc w:val="right"/>
          </w:pPr>
        </w:p>
      </w:tc>
    </w:tr>
  </w:tbl>
  <w:p w14:paraId="25A831D6" w14:textId="077A2256" w:rsidR="00294FAF" w:rsidRDefault="00294FAF">
    <w:pPr>
      <w:pStyle w:val="Header"/>
    </w:pPr>
  </w:p>
</w:hdr>
</file>

<file path=word/intelligence2.xml><?xml version="1.0" encoding="utf-8"?>
<int2:intelligence xmlns:int2="http://schemas.microsoft.com/office/intelligence/2020/intelligence" xmlns:oel="http://schemas.microsoft.com/office/2019/extlst">
  <int2:observations>
    <int2:textHash int2:hashCode="+fkUBgzLHhDVUa" int2:id="lIgydju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wMDE3MzE1NrA0NrFU0lEKTi0uzszPAykwrAUA+TO4jCwAAAA="/>
  </w:docVars>
  <w:rsids>
    <w:rsidRoot w:val="005E302B"/>
    <w:rsid w:val="00005490"/>
    <w:rsid w:val="00017837"/>
    <w:rsid w:val="00021B3A"/>
    <w:rsid w:val="0002599D"/>
    <w:rsid w:val="00026BED"/>
    <w:rsid w:val="000568FE"/>
    <w:rsid w:val="0008626C"/>
    <w:rsid w:val="000F10AC"/>
    <w:rsid w:val="001000A1"/>
    <w:rsid w:val="001006FF"/>
    <w:rsid w:val="00116355"/>
    <w:rsid w:val="00143935"/>
    <w:rsid w:val="001639F5"/>
    <w:rsid w:val="001943E5"/>
    <w:rsid w:val="001A07F1"/>
    <w:rsid w:val="001A2750"/>
    <w:rsid w:val="001B09BE"/>
    <w:rsid w:val="001C1638"/>
    <w:rsid w:val="001C6B2F"/>
    <w:rsid w:val="001E12A1"/>
    <w:rsid w:val="001F3CCE"/>
    <w:rsid w:val="0020688D"/>
    <w:rsid w:val="002357B7"/>
    <w:rsid w:val="002469A7"/>
    <w:rsid w:val="00293100"/>
    <w:rsid w:val="00294FAF"/>
    <w:rsid w:val="002A7BBB"/>
    <w:rsid w:val="002C0B4C"/>
    <w:rsid w:val="002D4F65"/>
    <w:rsid w:val="00345967"/>
    <w:rsid w:val="0037048D"/>
    <w:rsid w:val="00382304"/>
    <w:rsid w:val="00384677"/>
    <w:rsid w:val="003E1107"/>
    <w:rsid w:val="003E4778"/>
    <w:rsid w:val="003F4629"/>
    <w:rsid w:val="003F5E97"/>
    <w:rsid w:val="003F69DC"/>
    <w:rsid w:val="00444434"/>
    <w:rsid w:val="00446B5B"/>
    <w:rsid w:val="00450C46"/>
    <w:rsid w:val="00480E88"/>
    <w:rsid w:val="00496CF8"/>
    <w:rsid w:val="00497F3D"/>
    <w:rsid w:val="004A3864"/>
    <w:rsid w:val="004C486A"/>
    <w:rsid w:val="004D1652"/>
    <w:rsid w:val="005216B9"/>
    <w:rsid w:val="005235CF"/>
    <w:rsid w:val="0053448F"/>
    <w:rsid w:val="005401A8"/>
    <w:rsid w:val="00573A03"/>
    <w:rsid w:val="005E302B"/>
    <w:rsid w:val="005F3250"/>
    <w:rsid w:val="0060193E"/>
    <w:rsid w:val="00614FA3"/>
    <w:rsid w:val="00627D5D"/>
    <w:rsid w:val="006634C1"/>
    <w:rsid w:val="006A0E8E"/>
    <w:rsid w:val="006D2714"/>
    <w:rsid w:val="006F0E54"/>
    <w:rsid w:val="00755490"/>
    <w:rsid w:val="007A0AFF"/>
    <w:rsid w:val="007B46B1"/>
    <w:rsid w:val="007C4AFD"/>
    <w:rsid w:val="008404D2"/>
    <w:rsid w:val="00871EFF"/>
    <w:rsid w:val="008823DE"/>
    <w:rsid w:val="00884D30"/>
    <w:rsid w:val="008867C1"/>
    <w:rsid w:val="008B57B2"/>
    <w:rsid w:val="008B66C0"/>
    <w:rsid w:val="008D1835"/>
    <w:rsid w:val="008D5341"/>
    <w:rsid w:val="009274C3"/>
    <w:rsid w:val="0097109A"/>
    <w:rsid w:val="009C7BB2"/>
    <w:rsid w:val="00A3072C"/>
    <w:rsid w:val="00A56650"/>
    <w:rsid w:val="00A83874"/>
    <w:rsid w:val="00A9644A"/>
    <w:rsid w:val="00AB712B"/>
    <w:rsid w:val="00AE0029"/>
    <w:rsid w:val="00AF7EFE"/>
    <w:rsid w:val="00B30F29"/>
    <w:rsid w:val="00B403A0"/>
    <w:rsid w:val="00B83EF6"/>
    <w:rsid w:val="00BB4A49"/>
    <w:rsid w:val="00BD061E"/>
    <w:rsid w:val="00BF14AF"/>
    <w:rsid w:val="00BF5896"/>
    <w:rsid w:val="00C05889"/>
    <w:rsid w:val="00C14B13"/>
    <w:rsid w:val="00C711BB"/>
    <w:rsid w:val="00CA36E5"/>
    <w:rsid w:val="00CC3D44"/>
    <w:rsid w:val="00CD2BBC"/>
    <w:rsid w:val="00CF2E1F"/>
    <w:rsid w:val="00CF48FC"/>
    <w:rsid w:val="00D2606F"/>
    <w:rsid w:val="00D35CF5"/>
    <w:rsid w:val="00D67D99"/>
    <w:rsid w:val="00D974C0"/>
    <w:rsid w:val="00DE1490"/>
    <w:rsid w:val="00DE2767"/>
    <w:rsid w:val="00DF6594"/>
    <w:rsid w:val="00E25CEA"/>
    <w:rsid w:val="00E33F8F"/>
    <w:rsid w:val="00E811EF"/>
    <w:rsid w:val="00EA063D"/>
    <w:rsid w:val="00EC282C"/>
    <w:rsid w:val="00ED05D7"/>
    <w:rsid w:val="00ED6AC8"/>
    <w:rsid w:val="00EE2D76"/>
    <w:rsid w:val="00F22CBC"/>
    <w:rsid w:val="00F27BB2"/>
    <w:rsid w:val="00F70A54"/>
    <w:rsid w:val="00F73258"/>
    <w:rsid w:val="00F77CE1"/>
    <w:rsid w:val="00F97B55"/>
    <w:rsid w:val="00FA6716"/>
    <w:rsid w:val="00FF1338"/>
    <w:rsid w:val="00FF33A1"/>
    <w:rsid w:val="020E9651"/>
    <w:rsid w:val="02582ED4"/>
    <w:rsid w:val="026CCEEA"/>
    <w:rsid w:val="02D630B0"/>
    <w:rsid w:val="048A5C67"/>
    <w:rsid w:val="04DD8351"/>
    <w:rsid w:val="094649DF"/>
    <w:rsid w:val="095ECF2B"/>
    <w:rsid w:val="0A522F8A"/>
    <w:rsid w:val="116421F2"/>
    <w:rsid w:val="16F07950"/>
    <w:rsid w:val="16F30ABD"/>
    <w:rsid w:val="1C305C88"/>
    <w:rsid w:val="1D67A607"/>
    <w:rsid w:val="22224EBD"/>
    <w:rsid w:val="23A3A604"/>
    <w:rsid w:val="24314449"/>
    <w:rsid w:val="2755B256"/>
    <w:rsid w:val="2FE2682A"/>
    <w:rsid w:val="30AACEC5"/>
    <w:rsid w:val="30D2DAC2"/>
    <w:rsid w:val="31E31EA0"/>
    <w:rsid w:val="3414491E"/>
    <w:rsid w:val="371E462F"/>
    <w:rsid w:val="3C0D7BBF"/>
    <w:rsid w:val="3D0194FD"/>
    <w:rsid w:val="3D84D96F"/>
    <w:rsid w:val="46EB1C52"/>
    <w:rsid w:val="48E521C1"/>
    <w:rsid w:val="48FA248F"/>
    <w:rsid w:val="49F901DA"/>
    <w:rsid w:val="4C2FF556"/>
    <w:rsid w:val="4DDC21FA"/>
    <w:rsid w:val="4FE88FC5"/>
    <w:rsid w:val="53942E13"/>
    <w:rsid w:val="54C83666"/>
    <w:rsid w:val="57EAE0B9"/>
    <w:rsid w:val="591078A8"/>
    <w:rsid w:val="59AD4792"/>
    <w:rsid w:val="5B6C6BB2"/>
    <w:rsid w:val="5CCF46EA"/>
    <w:rsid w:val="5D36E03B"/>
    <w:rsid w:val="5DEA1B18"/>
    <w:rsid w:val="5DF65A12"/>
    <w:rsid w:val="5F0B49AF"/>
    <w:rsid w:val="60B13523"/>
    <w:rsid w:val="66CD379B"/>
    <w:rsid w:val="6720167C"/>
    <w:rsid w:val="6AA60440"/>
    <w:rsid w:val="6B919F83"/>
    <w:rsid w:val="6BED3A32"/>
    <w:rsid w:val="6C9B9A52"/>
    <w:rsid w:val="6CB28E6C"/>
    <w:rsid w:val="6CCA29CE"/>
    <w:rsid w:val="6D1E38AD"/>
    <w:rsid w:val="6E2C934B"/>
    <w:rsid w:val="6E870B8C"/>
    <w:rsid w:val="6E9D6FFC"/>
    <w:rsid w:val="6FEABAF2"/>
    <w:rsid w:val="70589906"/>
    <w:rsid w:val="706F3481"/>
    <w:rsid w:val="73DA452B"/>
    <w:rsid w:val="73E89EC2"/>
    <w:rsid w:val="74509A51"/>
    <w:rsid w:val="7C0939CB"/>
    <w:rsid w:val="7C2BD606"/>
    <w:rsid w:val="7F33CD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9979"/>
  <w15:chartTrackingRefBased/>
  <w15:docId w15:val="{FCFBD53E-2BA6-144D-BFFC-563A87A7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0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0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0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0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0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0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0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0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02B"/>
    <w:rPr>
      <w:rFonts w:eastAsiaTheme="majorEastAsia" w:cstheme="majorBidi"/>
      <w:color w:val="272727" w:themeColor="text1" w:themeTint="D8"/>
    </w:rPr>
  </w:style>
  <w:style w:type="paragraph" w:styleId="Title">
    <w:name w:val="Title"/>
    <w:basedOn w:val="Normal"/>
    <w:next w:val="Normal"/>
    <w:link w:val="TitleChar"/>
    <w:uiPriority w:val="10"/>
    <w:qFormat/>
    <w:rsid w:val="005E3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02B"/>
    <w:pPr>
      <w:spacing w:before="160"/>
      <w:jc w:val="center"/>
    </w:pPr>
    <w:rPr>
      <w:i/>
      <w:iCs/>
      <w:color w:val="404040" w:themeColor="text1" w:themeTint="BF"/>
    </w:rPr>
  </w:style>
  <w:style w:type="character" w:customStyle="1" w:styleId="QuoteChar">
    <w:name w:val="Quote Char"/>
    <w:basedOn w:val="DefaultParagraphFont"/>
    <w:link w:val="Quote"/>
    <w:uiPriority w:val="29"/>
    <w:rsid w:val="005E302B"/>
    <w:rPr>
      <w:i/>
      <w:iCs/>
      <w:color w:val="404040" w:themeColor="text1" w:themeTint="BF"/>
    </w:rPr>
  </w:style>
  <w:style w:type="paragraph" w:styleId="ListParagraph">
    <w:name w:val="List Paragraph"/>
    <w:basedOn w:val="Normal"/>
    <w:uiPriority w:val="34"/>
    <w:qFormat/>
    <w:rsid w:val="005E302B"/>
    <w:pPr>
      <w:ind w:left="720"/>
      <w:contextualSpacing/>
    </w:pPr>
  </w:style>
  <w:style w:type="character" w:styleId="IntenseEmphasis">
    <w:name w:val="Intense Emphasis"/>
    <w:basedOn w:val="DefaultParagraphFont"/>
    <w:uiPriority w:val="21"/>
    <w:qFormat/>
    <w:rsid w:val="005E302B"/>
    <w:rPr>
      <w:i/>
      <w:iCs/>
      <w:color w:val="0F4761" w:themeColor="accent1" w:themeShade="BF"/>
    </w:rPr>
  </w:style>
  <w:style w:type="paragraph" w:styleId="IntenseQuote">
    <w:name w:val="Intense Quote"/>
    <w:basedOn w:val="Normal"/>
    <w:next w:val="Normal"/>
    <w:link w:val="IntenseQuoteChar"/>
    <w:uiPriority w:val="30"/>
    <w:qFormat/>
    <w:rsid w:val="005E3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02B"/>
    <w:rPr>
      <w:i/>
      <w:iCs/>
      <w:color w:val="0F4761" w:themeColor="accent1" w:themeShade="BF"/>
    </w:rPr>
  </w:style>
  <w:style w:type="character" w:styleId="IntenseReference">
    <w:name w:val="Intense Reference"/>
    <w:basedOn w:val="DefaultParagraphFont"/>
    <w:uiPriority w:val="32"/>
    <w:qFormat/>
    <w:rsid w:val="005E302B"/>
    <w:rPr>
      <w:b/>
      <w:bCs/>
      <w:smallCaps/>
      <w:color w:val="0F4761" w:themeColor="accent1" w:themeShade="BF"/>
      <w:spacing w:val="5"/>
    </w:rPr>
  </w:style>
  <w:style w:type="paragraph" w:styleId="Header">
    <w:name w:val="header"/>
    <w:basedOn w:val="Normal"/>
    <w:link w:val="HeaderChar"/>
    <w:uiPriority w:val="99"/>
    <w:unhideWhenUsed/>
    <w:rsid w:val="00294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AF"/>
  </w:style>
  <w:style w:type="paragraph" w:styleId="Footer">
    <w:name w:val="footer"/>
    <w:basedOn w:val="Normal"/>
    <w:link w:val="FooterChar"/>
    <w:uiPriority w:val="99"/>
    <w:unhideWhenUsed/>
    <w:rsid w:val="00294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FAF"/>
  </w:style>
  <w:style w:type="table" w:styleId="TableGrid">
    <w:name w:val="Table Grid"/>
    <w:basedOn w:val="TableNormal"/>
    <w:uiPriority w:val="59"/>
    <w:rsid w:val="00294F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459207">
      <w:bodyDiv w:val="1"/>
      <w:marLeft w:val="0"/>
      <w:marRight w:val="0"/>
      <w:marTop w:val="0"/>
      <w:marBottom w:val="0"/>
      <w:divBdr>
        <w:top w:val="none" w:sz="0" w:space="0" w:color="auto"/>
        <w:left w:val="none" w:sz="0" w:space="0" w:color="auto"/>
        <w:bottom w:val="none" w:sz="0" w:space="0" w:color="auto"/>
        <w:right w:val="none" w:sz="0" w:space="0" w:color="auto"/>
      </w:divBdr>
      <w:divsChild>
        <w:div w:id="1896114217">
          <w:marLeft w:val="0"/>
          <w:marRight w:val="0"/>
          <w:marTop w:val="0"/>
          <w:marBottom w:val="0"/>
          <w:divBdr>
            <w:top w:val="none" w:sz="0" w:space="0" w:color="auto"/>
            <w:left w:val="none" w:sz="0" w:space="0" w:color="auto"/>
            <w:bottom w:val="none" w:sz="0" w:space="0" w:color="auto"/>
            <w:right w:val="none" w:sz="0" w:space="0" w:color="auto"/>
          </w:divBdr>
        </w:div>
      </w:divsChild>
    </w:div>
    <w:div w:id="1016273472">
      <w:bodyDiv w:val="1"/>
      <w:marLeft w:val="0"/>
      <w:marRight w:val="0"/>
      <w:marTop w:val="0"/>
      <w:marBottom w:val="0"/>
      <w:divBdr>
        <w:top w:val="none" w:sz="0" w:space="0" w:color="auto"/>
        <w:left w:val="none" w:sz="0" w:space="0" w:color="auto"/>
        <w:bottom w:val="none" w:sz="0" w:space="0" w:color="auto"/>
        <w:right w:val="none" w:sz="0" w:space="0" w:color="auto"/>
      </w:divBdr>
      <w:divsChild>
        <w:div w:id="255790693">
          <w:marLeft w:val="0"/>
          <w:marRight w:val="0"/>
          <w:marTop w:val="0"/>
          <w:marBottom w:val="0"/>
          <w:divBdr>
            <w:top w:val="none" w:sz="0" w:space="0" w:color="auto"/>
            <w:left w:val="none" w:sz="0" w:space="0" w:color="auto"/>
            <w:bottom w:val="none" w:sz="0" w:space="0" w:color="auto"/>
            <w:right w:val="none" w:sz="0" w:space="0" w:color="auto"/>
          </w:divBdr>
        </w:div>
      </w:divsChild>
    </w:div>
    <w:div w:id="1061102315">
      <w:bodyDiv w:val="1"/>
      <w:marLeft w:val="0"/>
      <w:marRight w:val="0"/>
      <w:marTop w:val="0"/>
      <w:marBottom w:val="0"/>
      <w:divBdr>
        <w:top w:val="none" w:sz="0" w:space="0" w:color="auto"/>
        <w:left w:val="none" w:sz="0" w:space="0" w:color="auto"/>
        <w:bottom w:val="none" w:sz="0" w:space="0" w:color="auto"/>
        <w:right w:val="none" w:sz="0" w:space="0" w:color="auto"/>
      </w:divBdr>
      <w:divsChild>
        <w:div w:id="331567341">
          <w:marLeft w:val="0"/>
          <w:marRight w:val="0"/>
          <w:marTop w:val="0"/>
          <w:marBottom w:val="0"/>
          <w:divBdr>
            <w:top w:val="none" w:sz="0" w:space="0" w:color="auto"/>
            <w:left w:val="none" w:sz="0" w:space="0" w:color="auto"/>
            <w:bottom w:val="none" w:sz="0" w:space="0" w:color="auto"/>
            <w:right w:val="none" w:sz="0" w:space="0" w:color="auto"/>
          </w:divBdr>
        </w:div>
      </w:divsChild>
    </w:div>
    <w:div w:id="1456026136">
      <w:bodyDiv w:val="1"/>
      <w:marLeft w:val="0"/>
      <w:marRight w:val="0"/>
      <w:marTop w:val="0"/>
      <w:marBottom w:val="0"/>
      <w:divBdr>
        <w:top w:val="none" w:sz="0" w:space="0" w:color="auto"/>
        <w:left w:val="none" w:sz="0" w:space="0" w:color="auto"/>
        <w:bottom w:val="none" w:sz="0" w:space="0" w:color="auto"/>
        <w:right w:val="none" w:sz="0" w:space="0" w:color="auto"/>
      </w:divBdr>
      <w:divsChild>
        <w:div w:id="623121602">
          <w:marLeft w:val="0"/>
          <w:marRight w:val="0"/>
          <w:marTop w:val="0"/>
          <w:marBottom w:val="0"/>
          <w:divBdr>
            <w:top w:val="none" w:sz="0" w:space="0" w:color="auto"/>
            <w:left w:val="none" w:sz="0" w:space="0" w:color="auto"/>
            <w:bottom w:val="none" w:sz="0" w:space="0" w:color="auto"/>
            <w:right w:val="none" w:sz="0" w:space="0" w:color="auto"/>
          </w:divBdr>
        </w:div>
      </w:divsChild>
    </w:div>
    <w:div w:id="1938979075">
      <w:bodyDiv w:val="1"/>
      <w:marLeft w:val="0"/>
      <w:marRight w:val="0"/>
      <w:marTop w:val="0"/>
      <w:marBottom w:val="0"/>
      <w:divBdr>
        <w:top w:val="none" w:sz="0" w:space="0" w:color="auto"/>
        <w:left w:val="none" w:sz="0" w:space="0" w:color="auto"/>
        <w:bottom w:val="none" w:sz="0" w:space="0" w:color="auto"/>
        <w:right w:val="none" w:sz="0" w:space="0" w:color="auto"/>
      </w:divBdr>
      <w:divsChild>
        <w:div w:id="2067138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3909</Words>
  <Characters>23809</Characters>
  <Application>Microsoft Office Word</Application>
  <DocSecurity>0</DocSecurity>
  <Lines>366</Lines>
  <Paragraphs>133</Paragraphs>
  <ScaleCrop>false</ScaleCrop>
  <Company/>
  <LinksUpToDate>false</LinksUpToDate>
  <CharactersWithSpaces>27585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2</cp:revision>
  <dcterms:created xsi:type="dcterms:W3CDTF">2024-08-09T15:10:00Z</dcterms:created>
  <dcterms:modified xsi:type="dcterms:W3CDTF">2024-08-09T15:10:00Z</dcterms:modified>
</cp:coreProperties>
</file>