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2.png" ContentType="image/png"/>
  <Override PartName="/word/media/rId46.png" ContentType="image/png"/>
  <Override PartName="/word/media/rId34.png" ContentType="image/png"/>
  <Override PartName="/word/media/rId59.png" ContentType="image/png"/>
  <Override PartName="/word/media/rId28.png" ContentType="image/png"/>
  <Override PartName="/word/media/rId62.png" ContentType="image/png"/>
  <Override PartName="/word/media/rId43.png" ContentType="image/png"/>
  <Override PartName="/word/media/rId37.png" ContentType="image/png"/>
  <Override PartName="/word/media/rId55.png" ContentType="image/png"/>
  <Override PartName="/word/media/rId4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2024-04-17</w:t>
      </w:r>
    </w:p>
    <w:bookmarkStart w:id="24" w:name="introduction"/>
    <w:p>
      <w:pPr>
        <w:pStyle w:val="Heading1"/>
      </w:pPr>
      <w:r>
        <w:t xml:space="preserve">1. Introduction</w:t>
      </w:r>
    </w:p>
    <w:bookmarkStart w:id="20" w:name="background"/>
    <w:p>
      <w:pPr>
        <w:pStyle w:val="Heading2"/>
      </w:pPr>
      <w:r>
        <w:t xml:space="preserve">1.1 Background</w:t>
      </w:r>
    </w:p>
    <w:p>
      <w:pPr>
        <w:pStyle w:val="FirstParagraph"/>
      </w:pPr>
      <w:r>
        <w:t xml:space="preserve">Human Papillomavirus (HPV) is a double-stranded DNA virus that infects the cells of the skin and mucosal linings [1].</w:t>
      </w:r>
      <w:r>
        <w:t xml:space="preserve"> </w:t>
      </w:r>
      <w:r>
        <w:t xml:space="preserve">HPV is the most common sexually transmitted infection (STI) in the United States, where over 90% of sexually active males and 80% of sexually active females will likely become infected within their lifetime [2, 3].</w:t>
      </w:r>
      <w:r>
        <w:t xml:space="preserve"> </w:t>
      </w:r>
      <w:r>
        <w:t xml:space="preserve">Most cases of HPV are asymptomatic and cleared over time, but certain infections tend to become persistent and can cause genital warts.</w:t>
      </w:r>
      <w:r>
        <w:t xml:space="preserve"> </w:t>
      </w:r>
      <w:r>
        <w:t xml:space="preserve">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w:t>
      </w:r>
      <w:r>
        <w:t xml:space="preserve"> </w:t>
      </w:r>
      <w:r>
        <w:t xml:space="preserve">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w:t>
      </w:r>
      <w:r>
        <w:t xml:space="preserve"> </w:t>
      </w:r>
      <w:r>
        <w:t xml:space="preserve">These include HPV 16, 18, 31, 33, 35, 39, 45, 51, 52, 56, 58, and 59, though HPV-16 and HPV-18 are associated with the highest number of HPV-associated cancer cases.</w:t>
      </w:r>
      <w:r>
        <w:t xml:space="preserve"> </w:t>
      </w:r>
      <w:r>
        <w:t xml:space="preserve">In the U.S., there are 37,300 cases of HPV-associated cancer cases every year, including cases of cervical, anal, oropharyngeal (throat and mouth), vulvar, vaginal, and penile cancers [5,6].</w:t>
      </w:r>
      <w:r>
        <w:t xml:space="preserve"> </w:t>
      </w:r>
      <w:r>
        <w:t xml:space="preserve">In an effort to prevent HPV-associated cancers worldwide, two HPV vaccines were developed and made available in 2006.</w:t>
      </w:r>
      <w:r>
        <w:t xml:space="preserve"> </w:t>
      </w:r>
      <w:r>
        <w:t xml:space="preserve">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[7].</w:t>
      </w:r>
      <w:r>
        <w:t xml:space="preserve"> </w:t>
      </w:r>
      <w:r>
        <w:t xml:space="preserve">In recent years, the vaccine used in the U.S., Gardasil 9, has been expanded to contain HPV types 6, 11, 16, 18, 31, 33, 45, 52, and 58 [4].</w:t>
      </w:r>
      <w:r>
        <w:t xml:space="preserve"> </w:t>
      </w:r>
      <w:r>
        <w:t xml:space="preserve">Currently, the United States Centers for Disease Control and Prevention (CDC) recommends a two-dose Gardasil 9 regime to all teenagers, with a primary dose at age 11 to 12 and a second dose within 6 to 12 months of the first [8].</w:t>
      </w:r>
      <w:r>
        <w:t xml:space="preserve"> </w:t>
      </w:r>
      <w:r>
        <w:t xml:space="preserve">In 2022, the CDC estimated that 76.0% of teenagers aged 13 to 17 had received at least 1 dose of the HPV vaccine while only 62.6% of teenagers were up-to-date with their vaccination regime [9].</w:t>
      </w:r>
    </w:p>
    <w:bookmarkEnd w:id="20"/>
    <w:bookmarkStart w:id="21" w:name="data"/>
    <w:p>
      <w:pPr>
        <w:pStyle w:val="Heading2"/>
      </w:pPr>
      <w:r>
        <w:t xml:space="preserve">1.2 Data</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1"/>
    <w:bookmarkStart w:id="22" w:name="research-question"/>
    <w:p>
      <w:pPr>
        <w:pStyle w:val="Heading2"/>
      </w:pPr>
      <w:r>
        <w:t xml:space="preserve">1.3 Research Question</w:t>
      </w:r>
    </w:p>
    <w:p>
      <w:pPr>
        <w:pStyle w:val="FirstParagraph"/>
      </w:pPr>
      <w:r>
        <w:t xml:space="preserve">Data from the 2022 National Immunization Survey for teens will be used to identify which socioeconomic and geographic factors are associated with HPV vaccination completion for teenagers aged 13 to 17 in the U.S.</w:t>
      </w:r>
      <w:r>
        <w:t xml:space="preserve"> </w:t>
      </w:r>
      <w:r>
        <w:t xml:space="preserve">Specifically, we want to find the most important socioeconomic and geographic factors for a teenager being up-to-date for their HPV vaccinations in the U.S.</w:t>
      </w:r>
      <w:r>
        <w:t xml:space="preserve"> </w:t>
      </w:r>
      <w:r>
        <w:t xml:space="preserve">The outcome of this study will be measured using the overall up-to-date HPV vaccination completion indicator, which includes all age groups in any step of the vaccination process.</w:t>
      </w:r>
      <w:r>
        <w:t xml:space="preserve"> </w:t>
      </w:r>
      <w:r>
        <w:t xml:space="preserve">The variable includes teenagers aged 13 to 17 who are up-to-date and have received at least one HPV shot.</w:t>
      </w:r>
    </w:p>
    <w:bookmarkEnd w:id="22"/>
    <w:bookmarkStart w:id="23" w:name="purpose"/>
    <w:p>
      <w:pPr>
        <w:pStyle w:val="Heading2"/>
      </w:pPr>
      <w:r>
        <w:t xml:space="preserve">1.4 Purpose</w:t>
      </w:r>
    </w:p>
    <w:p>
      <w:pPr>
        <w:pStyle w:val="FirstParagraph"/>
      </w:pP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r>
        <w:t xml:space="preserve"> </w:t>
      </w:r>
      <w:r>
        <w:t xml:space="preserve">It is generally known that those of lower income and without insurance have limited healthcare access in the U.S. [10], but it will be interesting to see if this pattern is reflected at the state level.</w:t>
      </w:r>
      <w:r>
        <w:t xml:space="preserve"> </w:t>
      </w:r>
      <w:r>
        <w:t xml:space="preserve">If so, policy should be examined as it may be related to healthcare access disparities.</w:t>
      </w:r>
      <w:r>
        <w:t xml:space="preserve"> </w:t>
      </w:r>
      <w:r>
        <w:t xml:space="preserve">Recent studies have examined HPV vaccination completion according to social determinants, but they have not examined geographic distribution and include data prior to 2019 [11].</w:t>
      </w:r>
      <w:r>
        <w:t xml:space="preserve"> </w:t>
      </w:r>
      <w:r>
        <w:t xml:space="preserve">More recent years display differences in global HPV vaccination trends due to the COVID19 pandemic [12].</w:t>
      </w:r>
      <w:r>
        <w:t xml:space="preserve"> </w:t>
      </w:r>
      <w:r>
        <w:t xml:space="preserve">Our study will fill in geographical gaps and provide updated vaccination trends based on socioeconomic factors.</w:t>
      </w:r>
    </w:p>
    <w:p>
      <w:r>
        <w:br w:type="page"/>
      </w:r>
    </w:p>
    <w:bookmarkEnd w:id="23"/>
    <w:bookmarkEnd w:id="24"/>
    <w:bookmarkStart w:id="27" w:name="methods"/>
    <w:p>
      <w:pPr>
        <w:pStyle w:val="Heading1"/>
      </w:pPr>
      <w:r>
        <w:t xml:space="preserve">2. Methods</w:t>
      </w:r>
    </w:p>
    <w:bookmarkStart w:id="25" w:name="loading-data"/>
    <w:p>
      <w:pPr>
        <w:pStyle w:val="Heading2"/>
      </w:pPr>
      <w:r>
        <w:t xml:space="preserve">2.1 Loading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Each of the factor variables was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 as to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bookmarkEnd w:id="25"/>
    <w:bookmarkStart w:id="26" w:name="cleaning-data"/>
    <w:p>
      <w:pPr>
        <w:pStyle w:val="Heading2"/>
      </w:pPr>
      <w:r>
        <w:t xml:space="preserve">2.2 Cleaning Data</w:t>
      </w:r>
    </w:p>
    <w:p>
      <w:pPr>
        <w:pStyle w:val="FirstParagraph"/>
      </w:pPr>
      <w:r>
        <w:t xml:space="preserve">The structure of the processed data was examined.</w:t>
      </w:r>
      <w:r>
        <w:t xml:space="preserve"> </w:t>
      </w:r>
      <w:r>
        <w:t xml:space="preserve">The data was examined for missing values.</w:t>
      </w:r>
      <w:r>
        <w:t xml:space="preserve"> </w:t>
      </w:r>
      <w:r>
        <w:t xml:space="preserve">No NAs were present, however missing values were present as labeled factor levels.</w:t>
      </w:r>
      <w:r>
        <w:t xml:space="preserve"> </w:t>
      </w:r>
      <w:r>
        <w:t xml:space="preserve">The missing factor levels were printed, identified, and replaced with NA values.</w:t>
      </w:r>
      <w:r>
        <w:t xml:space="preserve"> </w:t>
      </w:r>
      <w:r>
        <w:t xml:space="preserve">A string of 27,000 NAs were present in the outcome variable, indicating vaccination completion.</w:t>
      </w:r>
      <w:r>
        <w:t xml:space="preserve"> </w:t>
      </w:r>
      <w:r>
        <w:t xml:space="preserve">All rows corresponding to the NAs for the missing outcome value were removed.</w:t>
      </w:r>
      <w:r>
        <w:t xml:space="preserve"> </w:t>
      </w:r>
      <w:r>
        <w:t xml:space="preserve">Approximately 160 additional rows with NA values for facility or insurance status variables were removed.</w:t>
      </w:r>
      <w:r>
        <w:t xml:space="preserve"> </w:t>
      </w:r>
      <w:r>
        <w:t xml:space="preserve">Over 16,000 rows of data remained.</w:t>
      </w:r>
      <w:r>
        <w:t xml:space="preserve"> </w:t>
      </w:r>
      <w:r>
        <w:t xml:space="preserve">The year column was eliminated, as all of the data is from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r>
        <w:t xml:space="preserve"> </w:t>
      </w:r>
      <w:r>
        <w:t xml:space="preserve">## Exploratory Analysis Exploratory analysis was used to determine the distribution of the predictors, including the socioeconomic variables that were chosen for analysis.</w:t>
      </w:r>
      <w:r>
        <w:t xml:space="preserve"> </w:t>
      </w:r>
      <w:r>
        <w:t xml:space="preserve">The distribution of single predictors including income-to-poverty ratio, income, state, race, ethnicity, vaccination status, and facility were examined using histograms and scatter plots.</w:t>
      </w:r>
      <w:r>
        <w:t xml:space="preserve"> </w:t>
      </w:r>
      <w:r>
        <w:t xml:space="preserve">The following predictors were compared visually and fitted to a linear regression to examine preexisting associations: vaccination status and ethnicity, vaccination status and poverty status, income poverty ratio and insurance status, income poverty ratio and ethnicity.</w:t>
      </w:r>
      <w:r>
        <w:t xml:space="preserve"> </w:t>
      </w:r>
      <w:r>
        <w:t xml:space="preserve">## Analysis ### Generalized Logistic Regression A generalized logistic regression was performed with bi-directional step-wise selection for predictor reduction.</w:t>
      </w:r>
      <w:r>
        <w:t xml:space="preserve"> </w:t>
      </w:r>
      <w:r>
        <w:t xml:space="preserve">Variables that were redundant of a major variable were excluded from analysis.</w:t>
      </w:r>
      <w:r>
        <w:t xml:space="preserve"> </w:t>
      </w:r>
      <w:r>
        <w:t xml:space="preserve">The variables initially included were age, sex, state, race/ethnicity, insurance status, income, insurance breaks, poverty status, education, language, geographic mobility, facility, and housing status.</w:t>
      </w:r>
      <w:r>
        <w:t xml:space="preserve"> </w:t>
      </w:r>
      <w:r>
        <w:t xml:space="preserve">The model was evaluated with a residual plot and correlation matrix to reveal strong multicollinearity.</w:t>
      </w:r>
      <w:r>
        <w:t xml:space="preserve"> </w:t>
      </w:r>
      <w:r>
        <w:t xml:space="preserve">This is the basis for the subsequent analysis methods, as they are more resistant to collinearity.</w:t>
      </w:r>
      <w:r>
        <w:t xml:space="preserve"> </w:t>
      </w:r>
      <w:r>
        <w:t xml:space="preserve">### Principal Component Analysis Principal component analysis (PCA) was performed to do dimensionality reduction.</w:t>
      </w:r>
      <w:r>
        <w:t xml:space="preserve"> </w:t>
      </w:r>
      <w:r>
        <w:t xml:space="preserve">PCA would ideally transform the highly correlated predictors into uncorrelated components.</w:t>
      </w:r>
      <w:r>
        <w:t xml:space="preserve"> </w:t>
      </w:r>
      <w:r>
        <w:t xml:space="preserve">The h2o package was used to provide a machine-learning platform in RStudio, to allow machine-learning methods ot be implemented.</w:t>
      </w:r>
      <w:r>
        <w:t xml:space="preserve"> </w:t>
      </w:r>
      <w:r>
        <w:t xml:space="preserve">Due to the data being mainly categorical variables, the PCA proved to be unsuccessful.</w:t>
      </w:r>
      <w:r>
        <w:t xml:space="preserve"> </w:t>
      </w:r>
      <w:r>
        <w:t xml:space="preserve">A LASSO Ridge Regression was performed with the h2o package, to mitigate the multicollinearity issue.</w:t>
      </w:r>
      <w:r>
        <w:t xml:space="preserve"> </w:t>
      </w:r>
      <w:r>
        <w:t xml:space="preserve">### Random Forest Model A random forest model was used, as it is resistant to multicollinearity.</w:t>
      </w:r>
      <w:r>
        <w:t xml:space="preserve"> </w:t>
      </w:r>
      <w:r>
        <w:t xml:space="preserve">The tidymodels package was used to produce a random forest model with the classification method.</w:t>
      </w:r>
      <w:r>
        <w:t xml:space="preserve"> </w:t>
      </w:r>
      <w:r>
        <w:t xml:space="preserve">The model was trained and fit from training data, which was an 80% split of the original data.</w:t>
      </w:r>
      <w:r>
        <w:t xml:space="preserve"> </w:t>
      </w:r>
      <w:r>
        <w:t xml:space="preserve">After evaluation, the model parameters for minimal node size and number of selected predictors were tuned for using a grid search with cross-validation resamples.</w:t>
      </w:r>
      <w:r>
        <w:t xml:space="preserve"> </w:t>
      </w:r>
      <w:r>
        <w:t xml:space="preserve">After tuning, the best model was extracted based on the ROC AUC metric and was fit to the training data.</w:t>
      </w:r>
      <w:r>
        <w:t xml:space="preserve"> </w:t>
      </w:r>
      <w:r>
        <w:t xml:space="preserve">The tuned model was used to make predictions and evaluated with performance metrics, a confusion matrix, and a comparison to a single-predictor random forest model.</w:t>
      </w:r>
      <w:r>
        <w:t xml:space="preserve"> </w:t>
      </w:r>
      <w:r>
        <w:t xml:space="preserve">Finally, the tuned random forest model was re-evaluated by being fit to the testing data.</w:t>
      </w:r>
      <w:r>
        <w:t xml:space="preserve"> </w:t>
      </w:r>
      <w:r>
        <w:t xml:space="preserve">### LASSO Regression</w:t>
      </w:r>
    </w:p>
    <w:p>
      <w:r>
        <w:br w:type="page"/>
      </w:r>
    </w:p>
    <w:bookmarkEnd w:id="26"/>
    <w:bookmarkEnd w:id="27"/>
    <w:bookmarkStart w:id="69" w:name="results"/>
    <w:p>
      <w:pPr>
        <w:pStyle w:val="Heading1"/>
      </w:pPr>
      <w:r>
        <w:t xml:space="preserve">3. Results</w:t>
      </w:r>
    </w:p>
    <w:bookmarkStart w:id="58" w:name="exploratory-data-analysis"/>
    <w:p>
      <w:pPr>
        <w:pStyle w:val="Heading2"/>
      </w:pPr>
      <w:r>
        <w:t xml:space="preserve">3.1 Exploratory Data Analysis</w:t>
      </w:r>
    </w:p>
    <w:p>
      <w:pPr>
        <w:pStyle w:val="FirstParagraph"/>
      </w:pPr>
      <w:r>
        <w:t xml:space="preserve">Exploratory analysis is used to determine the distribution of our predictors, including the socioeconomic variables that we chose for analysis.</w:t>
      </w:r>
      <w:r>
        <w:t xml:space="preserve"> </w:t>
      </w:r>
      <w:r>
        <w:t xml:space="preserve">Nearly all of the demographic factors have a similar distribution between those who have completed their HPV vaccination regime versus those who have not completed it.</w:t>
      </w:r>
    </w:p>
    <w:p>
      <w:pPr>
        <w:pStyle w:val="TableCaption"/>
      </w:pPr>
      <w:r>
        <w:t xml:space="preserve">Table 1.Socioeconomic characteristics of U.S. teenagers who have completed or are up-to-date with HPV vaccination series.</w:t>
      </w:r>
      <w:r>
        <w:t xml:space="preserve"> </w:t>
      </w:r>
    </w:p>
    <w:tbl>
      <w:tblPr>
        <w:tblStyle w:val="Table"/>
        <w:tblW w:type="pct" w:w="5000"/>
        <w:tblLook w:firstRow="1" w:lastRow="0" w:firstColumn="0" w:lastColumn="0" w:noHBand="0" w:noVBand="0" w:val="0020"/>
        <w:jc w:val="start"/>
        <w:tblCaption w:val="Table 1.Socioeconomic characteristics of U.S. teenagers who have completed or are up-to-date with HPV vaccination series. "/>
      </w:tblPr>
      <w:tblGrid>
        <w:gridCol w:w="4540"/>
        <w:gridCol w:w="1160"/>
        <w:gridCol w:w="1008"/>
        <w:gridCol w:w="1210"/>
      </w:tblGrid>
      <w:tr>
        <w:trPr>
          <w:tblHeader w:val="true"/>
        </w:trPr>
        <w:tc>
          <w:tcPr/>
          <w:p>
            <w:pPr>
              <w:pStyle w:val="Compact"/>
              <w:jc w:val="left"/>
            </w:pPr>
            <w:r>
              <w:rPr>
                <w:bCs/>
                <w:b/>
              </w:rPr>
              <w:t xml:space="preserve">Characteristic</w:t>
            </w:r>
          </w:p>
        </w:tc>
        <w:tc>
          <w:tcPr/>
          <w:p>
            <w:pPr>
              <w:pStyle w:val="Compact"/>
              <w:jc w:val="left"/>
            </w:pPr>
            <w:r>
              <w:rPr>
                <w:bCs/>
                <w:b/>
              </w:rPr>
              <w:t xml:space="preserve">NOT UTD</w:t>
            </w:r>
            <w:r>
              <w:t xml:space="preserve">, N = 3,465</w:t>
            </w:r>
          </w:p>
        </w:tc>
        <w:tc>
          <w:tcPr/>
          <w:p>
            <w:pPr>
              <w:pStyle w:val="Compact"/>
              <w:jc w:val="left"/>
            </w:pPr>
            <w:r>
              <w:rPr>
                <w:bCs/>
                <w:b/>
              </w:rPr>
              <w:t xml:space="preserve">UTD</w:t>
            </w:r>
            <w:r>
              <w:t xml:space="preserve">, N = 13,099</w:t>
            </w:r>
          </w:p>
        </w:tc>
        <w:tc>
          <w:tcPr/>
          <w:p>
            <w:pPr>
              <w:pStyle w:val="Compact"/>
              <w:jc w:val="left"/>
            </w:pPr>
            <w:r>
              <w:rPr>
                <w:bCs/>
                <w:b/>
              </w:rPr>
              <w:t xml:space="preserve">Missing Data</w:t>
            </w:r>
            <w:r>
              <w:t xml:space="preserve">, N = 0</w:t>
            </w:r>
          </w:p>
        </w:tc>
      </w:tr>
      <w:tr>
        <w:tc>
          <w:tcPr/>
          <w:p>
            <w:pPr>
              <w:pStyle w:val="Compact"/>
              <w:jc w:val="left"/>
            </w:pPr>
            <w:r>
              <w:t xml:space="preserve">Age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13</w:t>
            </w:r>
          </w:p>
        </w:tc>
        <w:tc>
          <w:tcPr/>
          <w:p>
            <w:pPr>
              <w:pStyle w:val="Compact"/>
              <w:jc w:val="left"/>
            </w:pPr>
            <w:r>
              <w:t xml:space="preserve">845 (24%)</w:t>
            </w:r>
          </w:p>
        </w:tc>
        <w:tc>
          <w:tcPr/>
          <w:p>
            <w:pPr>
              <w:pStyle w:val="Compact"/>
              <w:jc w:val="left"/>
            </w:pPr>
            <w:r>
              <w:t xml:space="preserve">2,448 (19%)</w:t>
            </w:r>
          </w:p>
        </w:tc>
        <w:tc>
          <w:tcPr/>
          <w:p>
            <w:pPr>
              <w:pStyle w:val="Compact"/>
              <w:jc w:val="left"/>
            </w:pPr>
            <w:r>
              <w:t xml:space="preserve">0 (NA%)</w:t>
            </w:r>
          </w:p>
        </w:tc>
      </w:tr>
      <w:tr>
        <w:tc>
          <w:tcPr/>
          <w:p>
            <w:pPr>
              <w:pStyle w:val="Compact"/>
              <w:jc w:val="left"/>
            </w:pPr>
            <w:r>
              <w:t xml:space="preserve">14</w:t>
            </w:r>
          </w:p>
        </w:tc>
        <w:tc>
          <w:tcPr/>
          <w:p>
            <w:pPr>
              <w:pStyle w:val="Compact"/>
              <w:jc w:val="left"/>
            </w:pPr>
            <w:r>
              <w:t xml:space="preserve">753 (22%)</w:t>
            </w:r>
          </w:p>
        </w:tc>
        <w:tc>
          <w:tcPr/>
          <w:p>
            <w:pPr>
              <w:pStyle w:val="Compact"/>
              <w:jc w:val="left"/>
            </w:pPr>
            <w:r>
              <w:t xml:space="preserve">2,757 (21%)</w:t>
            </w:r>
          </w:p>
        </w:tc>
        <w:tc>
          <w:tcPr/>
          <w:p>
            <w:pPr>
              <w:pStyle w:val="Compact"/>
              <w:jc w:val="left"/>
            </w:pPr>
            <w:r>
              <w:t xml:space="preserve">0 (NA%)</w:t>
            </w:r>
          </w:p>
        </w:tc>
      </w:tr>
      <w:tr>
        <w:tc>
          <w:tcPr/>
          <w:p>
            <w:pPr>
              <w:pStyle w:val="Compact"/>
              <w:jc w:val="left"/>
            </w:pPr>
            <w:r>
              <w:t xml:space="preserve">15</w:t>
            </w:r>
          </w:p>
        </w:tc>
        <w:tc>
          <w:tcPr/>
          <w:p>
            <w:pPr>
              <w:pStyle w:val="Compact"/>
              <w:jc w:val="left"/>
            </w:pPr>
            <w:r>
              <w:t xml:space="preserve">657 (19%)</w:t>
            </w:r>
          </w:p>
        </w:tc>
        <w:tc>
          <w:tcPr/>
          <w:p>
            <w:pPr>
              <w:pStyle w:val="Compact"/>
              <w:jc w:val="left"/>
            </w:pPr>
            <w:r>
              <w:t xml:space="preserve">2,667 (20%)</w:t>
            </w:r>
          </w:p>
        </w:tc>
        <w:tc>
          <w:tcPr/>
          <w:p>
            <w:pPr>
              <w:pStyle w:val="Compact"/>
              <w:jc w:val="left"/>
            </w:pPr>
            <w:r>
              <w:t xml:space="preserve">0 (NA%)</w:t>
            </w:r>
          </w:p>
        </w:tc>
      </w:tr>
      <w:tr>
        <w:tc>
          <w:tcPr/>
          <w:p>
            <w:pPr>
              <w:pStyle w:val="Compact"/>
              <w:jc w:val="left"/>
            </w:pPr>
            <w:r>
              <w:t xml:space="preserve">16</w:t>
            </w:r>
          </w:p>
        </w:tc>
        <w:tc>
          <w:tcPr/>
          <w:p>
            <w:pPr>
              <w:pStyle w:val="Compact"/>
              <w:jc w:val="left"/>
            </w:pPr>
            <w:r>
              <w:t xml:space="preserve">603 (17%)</w:t>
            </w:r>
          </w:p>
        </w:tc>
        <w:tc>
          <w:tcPr/>
          <w:p>
            <w:pPr>
              <w:pStyle w:val="Compact"/>
              <w:jc w:val="left"/>
            </w:pPr>
            <w:r>
              <w:t xml:space="preserve">2,707 (21%)</w:t>
            </w:r>
          </w:p>
        </w:tc>
        <w:tc>
          <w:tcPr/>
          <w:p>
            <w:pPr>
              <w:pStyle w:val="Compact"/>
              <w:jc w:val="left"/>
            </w:pPr>
            <w:r>
              <w:t xml:space="preserve">0 (NA%)</w:t>
            </w:r>
          </w:p>
        </w:tc>
      </w:tr>
      <w:tr>
        <w:tc>
          <w:tcPr/>
          <w:p>
            <w:pPr>
              <w:pStyle w:val="Compact"/>
              <w:jc w:val="left"/>
            </w:pPr>
            <w:r>
              <w:t xml:space="preserve">17</w:t>
            </w:r>
          </w:p>
        </w:tc>
        <w:tc>
          <w:tcPr/>
          <w:p>
            <w:pPr>
              <w:pStyle w:val="Compact"/>
              <w:jc w:val="left"/>
            </w:pPr>
            <w:r>
              <w:t xml:space="preserve">607 (18%)</w:t>
            </w:r>
          </w:p>
        </w:tc>
        <w:tc>
          <w:tcPr/>
          <w:p>
            <w:pPr>
              <w:pStyle w:val="Compact"/>
              <w:jc w:val="left"/>
            </w:pPr>
            <w:r>
              <w:t xml:space="preserve">2,520 (19%)</w:t>
            </w:r>
          </w:p>
        </w:tc>
        <w:tc>
          <w:tcPr/>
          <w:p>
            <w:pPr>
              <w:pStyle w:val="Compact"/>
              <w:jc w:val="left"/>
            </w:pPr>
            <w:r>
              <w:t xml:space="preserve">0 (NA%)</w:t>
            </w:r>
          </w:p>
        </w:tc>
      </w:tr>
      <w:tr>
        <w:tc>
          <w:tcPr/>
          <w:p>
            <w:pPr>
              <w:pStyle w:val="Compact"/>
              <w:jc w:val="left"/>
            </w:pPr>
            <w:r>
              <w:t xml:space="preserve">Sex</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MALE</w:t>
            </w:r>
          </w:p>
        </w:tc>
        <w:tc>
          <w:tcPr/>
          <w:p>
            <w:pPr>
              <w:pStyle w:val="Compact"/>
              <w:jc w:val="left"/>
            </w:pPr>
            <w:r>
              <w:t xml:space="preserve">1,945 (56%)</w:t>
            </w:r>
          </w:p>
        </w:tc>
        <w:tc>
          <w:tcPr/>
          <w:p>
            <w:pPr>
              <w:pStyle w:val="Compact"/>
              <w:jc w:val="left"/>
            </w:pPr>
            <w:r>
              <w:t xml:space="preserve">6,741 (51%)</w:t>
            </w:r>
          </w:p>
        </w:tc>
        <w:tc>
          <w:tcPr/>
          <w:p>
            <w:pPr>
              <w:pStyle w:val="Compact"/>
              <w:jc w:val="left"/>
            </w:pPr>
            <w:r>
              <w:t xml:space="preserve">0 (NA%)</w:t>
            </w:r>
          </w:p>
        </w:tc>
      </w:tr>
      <w:tr>
        <w:tc>
          <w:tcPr/>
          <w:p>
            <w:pPr>
              <w:pStyle w:val="Compact"/>
              <w:jc w:val="left"/>
            </w:pPr>
            <w:r>
              <w:t xml:space="preserve">FEMALE</w:t>
            </w:r>
          </w:p>
        </w:tc>
        <w:tc>
          <w:tcPr/>
          <w:p>
            <w:pPr>
              <w:pStyle w:val="Compact"/>
              <w:jc w:val="left"/>
            </w:pPr>
            <w:r>
              <w:t xml:space="preserve">1,520 (44%)</w:t>
            </w:r>
          </w:p>
        </w:tc>
        <w:tc>
          <w:tcPr/>
          <w:p>
            <w:pPr>
              <w:pStyle w:val="Compact"/>
              <w:jc w:val="left"/>
            </w:pPr>
            <w:r>
              <w:t xml:space="preserve">6,358 (49%)</w:t>
            </w:r>
          </w:p>
        </w:tc>
        <w:tc>
          <w:tcPr/>
          <w:p>
            <w:pPr>
              <w:pStyle w:val="Compact"/>
              <w:jc w:val="left"/>
            </w:pPr>
            <w:r>
              <w:t xml:space="preserve">0 (NA%)</w:t>
            </w:r>
          </w:p>
        </w:tc>
      </w:tr>
      <w:tr>
        <w:tc>
          <w:tcPr/>
          <w:p>
            <w:pPr>
              <w:pStyle w:val="Compact"/>
              <w:jc w:val="left"/>
            </w:pPr>
            <w:r>
              <w:t xml:space="preserve">Insurance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PRIVATE INSURANCE ONLY</w:t>
            </w:r>
          </w:p>
        </w:tc>
        <w:tc>
          <w:tcPr/>
          <w:p>
            <w:pPr>
              <w:pStyle w:val="Compact"/>
              <w:jc w:val="left"/>
            </w:pPr>
            <w:r>
              <w:t xml:space="preserve">2,020 (58%)</w:t>
            </w:r>
          </w:p>
        </w:tc>
        <w:tc>
          <w:tcPr/>
          <w:p>
            <w:pPr>
              <w:pStyle w:val="Compact"/>
              <w:jc w:val="left"/>
            </w:pPr>
            <w:r>
              <w:t xml:space="preserve">7,682 (59%)</w:t>
            </w:r>
          </w:p>
        </w:tc>
        <w:tc>
          <w:tcPr/>
          <w:p>
            <w:pPr>
              <w:pStyle w:val="Compact"/>
              <w:jc w:val="left"/>
            </w:pPr>
            <w:r>
              <w:t xml:space="preserve">0 (NA%)</w:t>
            </w:r>
          </w:p>
        </w:tc>
      </w:tr>
      <w:tr>
        <w:tc>
          <w:tcPr/>
          <w:p>
            <w:pPr>
              <w:pStyle w:val="Compact"/>
              <w:jc w:val="left"/>
            </w:pPr>
            <w:r>
              <w:t xml:space="preserve">ANY MEDICAID</w:t>
            </w:r>
          </w:p>
        </w:tc>
        <w:tc>
          <w:tcPr/>
          <w:p>
            <w:pPr>
              <w:pStyle w:val="Compact"/>
              <w:jc w:val="left"/>
            </w:pPr>
            <w:r>
              <w:t xml:space="preserve">1,025 (30%)</w:t>
            </w:r>
          </w:p>
        </w:tc>
        <w:tc>
          <w:tcPr/>
          <w:p>
            <w:pPr>
              <w:pStyle w:val="Compact"/>
              <w:jc w:val="left"/>
            </w:pPr>
            <w:r>
              <w:t xml:space="preserve">4,205 (32%)</w:t>
            </w:r>
          </w:p>
        </w:tc>
        <w:tc>
          <w:tcPr/>
          <w:p>
            <w:pPr>
              <w:pStyle w:val="Compact"/>
              <w:jc w:val="left"/>
            </w:pPr>
            <w:r>
              <w:t xml:space="preserve">0 (NA%)</w:t>
            </w:r>
          </w:p>
        </w:tc>
      </w:tr>
      <w:tr>
        <w:tc>
          <w:tcPr/>
          <w:p>
            <w:pPr>
              <w:pStyle w:val="Compact"/>
              <w:jc w:val="left"/>
            </w:pPr>
            <w:r>
              <w:t xml:space="preserve">OTHER INSURANCE (CHIP, IHS, MILITARY, OR OTHER, ALONE OR IN COMB. WITH PRIVATE INSURANCE)</w:t>
            </w:r>
          </w:p>
        </w:tc>
        <w:tc>
          <w:tcPr/>
          <w:p>
            <w:pPr>
              <w:pStyle w:val="Compact"/>
              <w:jc w:val="left"/>
            </w:pPr>
            <w:r>
              <w:t xml:space="preserve">305 (8.8%)</w:t>
            </w:r>
          </w:p>
        </w:tc>
        <w:tc>
          <w:tcPr/>
          <w:p>
            <w:pPr>
              <w:pStyle w:val="Compact"/>
              <w:jc w:val="left"/>
            </w:pPr>
            <w:r>
              <w:t xml:space="preserve">968 (7.4%)</w:t>
            </w:r>
          </w:p>
        </w:tc>
        <w:tc>
          <w:tcPr/>
          <w:p>
            <w:pPr>
              <w:pStyle w:val="Compact"/>
              <w:jc w:val="left"/>
            </w:pPr>
            <w:r>
              <w:t xml:space="preserve">0 (NA%)</w:t>
            </w:r>
          </w:p>
        </w:tc>
      </w:tr>
      <w:tr>
        <w:tc>
          <w:tcPr/>
          <w:p>
            <w:pPr>
              <w:pStyle w:val="Compact"/>
              <w:jc w:val="left"/>
            </w:pPr>
            <w:r>
              <w:t xml:space="preserve">UNINSURED</w:t>
            </w:r>
          </w:p>
        </w:tc>
        <w:tc>
          <w:tcPr/>
          <w:p>
            <w:pPr>
              <w:pStyle w:val="Compact"/>
              <w:jc w:val="left"/>
            </w:pPr>
            <w:r>
              <w:t xml:space="preserve">115 (3.3%)</w:t>
            </w:r>
          </w:p>
        </w:tc>
        <w:tc>
          <w:tcPr/>
          <w:p>
            <w:pPr>
              <w:pStyle w:val="Compact"/>
              <w:jc w:val="left"/>
            </w:pPr>
            <w:r>
              <w:t xml:space="preserve">244 (1.9%)</w:t>
            </w:r>
          </w:p>
        </w:tc>
        <w:tc>
          <w:tcPr/>
          <w:p>
            <w:pPr>
              <w:pStyle w:val="Compact"/>
              <w:jc w:val="left"/>
            </w:pPr>
            <w:r>
              <w:t xml:space="preserve">0 (NA%)</w:t>
            </w:r>
          </w:p>
        </w:tc>
      </w:tr>
      <w:tr>
        <w:tc>
          <w:tcPr/>
          <w:p>
            <w:pPr>
              <w:pStyle w:val="Compact"/>
              <w:jc w:val="left"/>
            </w:pPr>
            <w:r>
              <w:t xml:space="preserve">Poverty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ABOVE POVERTY &gt; $75K</w:t>
            </w:r>
          </w:p>
        </w:tc>
        <w:tc>
          <w:tcPr/>
          <w:p>
            <w:pPr>
              <w:pStyle w:val="Compact"/>
              <w:jc w:val="left"/>
            </w:pPr>
            <w:r>
              <w:t xml:space="preserve">1,930 (56%)</w:t>
            </w:r>
          </w:p>
        </w:tc>
        <w:tc>
          <w:tcPr/>
          <w:p>
            <w:pPr>
              <w:pStyle w:val="Compact"/>
              <w:jc w:val="left"/>
            </w:pPr>
            <w:r>
              <w:t xml:space="preserve">7,415 (57%)</w:t>
            </w:r>
          </w:p>
        </w:tc>
        <w:tc>
          <w:tcPr/>
          <w:p>
            <w:pPr>
              <w:pStyle w:val="Compact"/>
              <w:jc w:val="left"/>
            </w:pPr>
            <w:r>
              <w:t xml:space="preserve">0 (NA%)</w:t>
            </w:r>
          </w:p>
        </w:tc>
      </w:tr>
      <w:tr>
        <w:tc>
          <w:tcPr/>
          <w:p>
            <w:pPr>
              <w:pStyle w:val="Compact"/>
              <w:jc w:val="left"/>
            </w:pPr>
            <w:r>
              <w:t xml:space="preserve">ABOVE POVERTY &lt;= $75K</w:t>
            </w:r>
          </w:p>
        </w:tc>
        <w:tc>
          <w:tcPr/>
          <w:p>
            <w:pPr>
              <w:pStyle w:val="Compact"/>
              <w:jc w:val="left"/>
            </w:pPr>
            <w:r>
              <w:t xml:space="preserve">1,063 (31%)</w:t>
            </w:r>
          </w:p>
        </w:tc>
        <w:tc>
          <w:tcPr/>
          <w:p>
            <w:pPr>
              <w:pStyle w:val="Compact"/>
              <w:jc w:val="left"/>
            </w:pPr>
            <w:r>
              <w:t xml:space="preserve">3,523 (27%)</w:t>
            </w:r>
          </w:p>
        </w:tc>
        <w:tc>
          <w:tcPr/>
          <w:p>
            <w:pPr>
              <w:pStyle w:val="Compact"/>
              <w:jc w:val="left"/>
            </w:pPr>
            <w:r>
              <w:t xml:space="preserve">0 (NA%)</w:t>
            </w:r>
          </w:p>
        </w:tc>
      </w:tr>
      <w:tr>
        <w:tc>
          <w:tcPr/>
          <w:p>
            <w:pPr>
              <w:pStyle w:val="Compact"/>
              <w:jc w:val="left"/>
            </w:pPr>
            <w:r>
              <w:t xml:space="preserve">BELOW POVERTY</w:t>
            </w:r>
          </w:p>
        </w:tc>
        <w:tc>
          <w:tcPr/>
          <w:p>
            <w:pPr>
              <w:pStyle w:val="Compact"/>
              <w:jc w:val="left"/>
            </w:pPr>
            <w:r>
              <w:t xml:space="preserve">370 (11%)</w:t>
            </w:r>
          </w:p>
        </w:tc>
        <w:tc>
          <w:tcPr/>
          <w:p>
            <w:pPr>
              <w:pStyle w:val="Compact"/>
              <w:jc w:val="left"/>
            </w:pPr>
            <w:r>
              <w:t xml:space="preserve">1,814 (14%)</w:t>
            </w:r>
          </w:p>
        </w:tc>
        <w:tc>
          <w:tcPr/>
          <w:p>
            <w:pPr>
              <w:pStyle w:val="Compact"/>
              <w:jc w:val="left"/>
            </w:pPr>
            <w:r>
              <w:t xml:space="preserve">0 (NA%)</w:t>
            </w:r>
          </w:p>
        </w:tc>
      </w:tr>
      <w:tr>
        <w:tc>
          <w:tcPr/>
          <w:p>
            <w:pPr>
              <w:pStyle w:val="Compact"/>
              <w:jc w:val="left"/>
            </w:pPr>
            <w:r>
              <w:t xml:space="preserve">UNKNOWN</w:t>
            </w:r>
          </w:p>
        </w:tc>
        <w:tc>
          <w:tcPr/>
          <w:p>
            <w:pPr>
              <w:pStyle w:val="Compact"/>
              <w:jc w:val="left"/>
            </w:pPr>
            <w:r>
              <w:t xml:space="preserve">102 (2.9%)</w:t>
            </w:r>
          </w:p>
        </w:tc>
        <w:tc>
          <w:tcPr/>
          <w:p>
            <w:pPr>
              <w:pStyle w:val="Compact"/>
              <w:jc w:val="left"/>
            </w:pPr>
            <w:r>
              <w:t xml:space="preserve">347 (2.6%)</w:t>
            </w:r>
          </w:p>
        </w:tc>
        <w:tc>
          <w:tcPr/>
          <w:p>
            <w:pPr>
              <w:pStyle w:val="Compact"/>
              <w:jc w:val="left"/>
            </w:pPr>
            <w:r>
              <w:t xml:space="preserve">0 (NA%)</w:t>
            </w:r>
          </w:p>
        </w:tc>
      </w:tr>
      <w:tr>
        <w:tc>
          <w:tcPr/>
          <w:p>
            <w:pPr>
              <w:pStyle w:val="Compact"/>
              <w:jc w:val="left"/>
            </w:pPr>
            <w:r>
              <w:t xml:space="preserve">Race and Ethnicity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HISPANIC</w:t>
            </w:r>
          </w:p>
        </w:tc>
        <w:tc>
          <w:tcPr/>
          <w:p>
            <w:pPr>
              <w:pStyle w:val="Compact"/>
              <w:jc w:val="left"/>
            </w:pPr>
            <w:r>
              <w:t xml:space="preserve">575 (17%)</w:t>
            </w:r>
          </w:p>
        </w:tc>
        <w:tc>
          <w:tcPr/>
          <w:p>
            <w:pPr>
              <w:pStyle w:val="Compact"/>
              <w:jc w:val="left"/>
            </w:pPr>
            <w:r>
              <w:t xml:space="preserve">2,728 (21%)</w:t>
            </w:r>
          </w:p>
        </w:tc>
        <w:tc>
          <w:tcPr/>
          <w:p>
            <w:pPr>
              <w:pStyle w:val="Compact"/>
              <w:jc w:val="left"/>
            </w:pPr>
            <w:r>
              <w:t xml:space="preserve">0 (NA%)</w:t>
            </w:r>
          </w:p>
        </w:tc>
      </w:tr>
      <w:tr>
        <w:tc>
          <w:tcPr/>
          <w:p>
            <w:pPr>
              <w:pStyle w:val="Compact"/>
              <w:jc w:val="left"/>
            </w:pPr>
            <w:r>
              <w:t xml:space="preserve">NON-HISPANIC WHITE ONLY</w:t>
            </w:r>
          </w:p>
        </w:tc>
        <w:tc>
          <w:tcPr/>
          <w:p>
            <w:pPr>
              <w:pStyle w:val="Compact"/>
              <w:jc w:val="left"/>
            </w:pPr>
            <w:r>
              <w:t xml:space="preserve">2,224 (64%)</w:t>
            </w:r>
          </w:p>
        </w:tc>
        <w:tc>
          <w:tcPr/>
          <w:p>
            <w:pPr>
              <w:pStyle w:val="Compact"/>
              <w:jc w:val="left"/>
            </w:pPr>
            <w:r>
              <w:t xml:space="preserve">7,514 (57%)</w:t>
            </w:r>
          </w:p>
        </w:tc>
        <w:tc>
          <w:tcPr/>
          <w:p>
            <w:pPr>
              <w:pStyle w:val="Compact"/>
              <w:jc w:val="left"/>
            </w:pPr>
            <w:r>
              <w:t xml:space="preserve">0 (NA%)</w:t>
            </w:r>
          </w:p>
        </w:tc>
      </w:tr>
      <w:tr>
        <w:tc>
          <w:tcPr/>
          <w:p>
            <w:pPr>
              <w:pStyle w:val="Compact"/>
              <w:jc w:val="left"/>
            </w:pPr>
            <w:r>
              <w:t xml:space="preserve">NON-HISPANIC BLACK ONLY</w:t>
            </w:r>
          </w:p>
        </w:tc>
        <w:tc>
          <w:tcPr/>
          <w:p>
            <w:pPr>
              <w:pStyle w:val="Compact"/>
              <w:jc w:val="left"/>
            </w:pPr>
            <w:r>
              <w:t xml:space="preserve">298 (8.6%)</w:t>
            </w:r>
          </w:p>
        </w:tc>
        <w:tc>
          <w:tcPr/>
          <w:p>
            <w:pPr>
              <w:pStyle w:val="Compact"/>
              <w:jc w:val="left"/>
            </w:pPr>
            <w:r>
              <w:t xml:space="preserve">1,218 (9.3%)</w:t>
            </w:r>
          </w:p>
        </w:tc>
        <w:tc>
          <w:tcPr/>
          <w:p>
            <w:pPr>
              <w:pStyle w:val="Compact"/>
              <w:jc w:val="left"/>
            </w:pPr>
            <w:r>
              <w:t xml:space="preserve">0 (NA%)</w:t>
            </w:r>
          </w:p>
        </w:tc>
      </w:tr>
      <w:tr>
        <w:tc>
          <w:tcPr/>
          <w:p>
            <w:pPr>
              <w:pStyle w:val="Compact"/>
              <w:jc w:val="left"/>
            </w:pPr>
            <w:r>
              <w:t xml:space="preserve">NON-HISPANIC OTHER + MULTIPLE RACE</w:t>
            </w:r>
          </w:p>
        </w:tc>
        <w:tc>
          <w:tcPr/>
          <w:p>
            <w:pPr>
              <w:pStyle w:val="Compact"/>
              <w:jc w:val="left"/>
            </w:pPr>
            <w:r>
              <w:t xml:space="preserve">368 (11%)</w:t>
            </w:r>
          </w:p>
        </w:tc>
        <w:tc>
          <w:tcPr/>
          <w:p>
            <w:pPr>
              <w:pStyle w:val="Compact"/>
              <w:jc w:val="left"/>
            </w:pPr>
            <w:r>
              <w:t xml:space="preserve">1,639 (13%)</w:t>
            </w:r>
          </w:p>
        </w:tc>
        <w:tc>
          <w:tcPr/>
          <w:p>
            <w:pPr>
              <w:pStyle w:val="Compact"/>
              <w:jc w:val="left"/>
            </w:pPr>
            <w:r>
              <w:t xml:space="preserve">0 (NA%)</w:t>
            </w:r>
          </w:p>
        </w:tc>
      </w:tr>
      <w:tr>
        <w:tc>
          <w:tcPr/>
          <w:p>
            <w:pPr>
              <w:pStyle w:val="Compact"/>
              <w:jc w:val="left"/>
            </w:pPr>
            <w:r>
              <w:t xml:space="preserve">Maternal Education-level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LESS THAN 12 YEARS</w:t>
            </w:r>
          </w:p>
        </w:tc>
        <w:tc>
          <w:tcPr/>
          <w:p>
            <w:pPr>
              <w:pStyle w:val="Compact"/>
              <w:jc w:val="left"/>
            </w:pPr>
            <w:r>
              <w:t xml:space="preserve">165 (4.8%)</w:t>
            </w:r>
          </w:p>
        </w:tc>
        <w:tc>
          <w:tcPr/>
          <w:p>
            <w:pPr>
              <w:pStyle w:val="Compact"/>
              <w:jc w:val="left"/>
            </w:pPr>
            <w:r>
              <w:t xml:space="preserve">782 (6.0%)</w:t>
            </w:r>
          </w:p>
        </w:tc>
        <w:tc>
          <w:tcPr/>
          <w:p>
            <w:pPr>
              <w:pStyle w:val="Compact"/>
              <w:jc w:val="left"/>
            </w:pPr>
            <w:r>
              <w:t xml:space="preserve">0 (NA%)</w:t>
            </w:r>
          </w:p>
        </w:tc>
      </w:tr>
      <w:tr>
        <w:tc>
          <w:tcPr/>
          <w:p>
            <w:pPr>
              <w:pStyle w:val="Compact"/>
              <w:jc w:val="left"/>
            </w:pPr>
            <w:r>
              <w:t xml:space="preserve">12 YEARS</w:t>
            </w:r>
          </w:p>
        </w:tc>
        <w:tc>
          <w:tcPr/>
          <w:p>
            <w:pPr>
              <w:pStyle w:val="Compact"/>
              <w:jc w:val="left"/>
            </w:pPr>
            <w:r>
              <w:t xml:space="preserve">508 (15%)</w:t>
            </w:r>
          </w:p>
        </w:tc>
        <w:tc>
          <w:tcPr/>
          <w:p>
            <w:pPr>
              <w:pStyle w:val="Compact"/>
              <w:jc w:val="left"/>
            </w:pPr>
            <w:r>
              <w:t xml:space="preserve">1,943 (15%)</w:t>
            </w:r>
          </w:p>
        </w:tc>
        <w:tc>
          <w:tcPr/>
          <w:p>
            <w:pPr>
              <w:pStyle w:val="Compact"/>
              <w:jc w:val="left"/>
            </w:pPr>
            <w:r>
              <w:t xml:space="preserve">0 (NA%)</w:t>
            </w:r>
          </w:p>
        </w:tc>
      </w:tr>
      <w:tr>
        <w:tc>
          <w:tcPr/>
          <w:p>
            <w:pPr>
              <w:pStyle w:val="Compact"/>
              <w:jc w:val="left"/>
            </w:pPr>
            <w:r>
              <w:t xml:space="preserve">MORE THAN 12 YEARS, NON-COLLEGE GRAD</w:t>
            </w:r>
          </w:p>
        </w:tc>
        <w:tc>
          <w:tcPr/>
          <w:p>
            <w:pPr>
              <w:pStyle w:val="Compact"/>
              <w:jc w:val="left"/>
            </w:pPr>
            <w:r>
              <w:t xml:space="preserve">1,047 (30%)</w:t>
            </w:r>
          </w:p>
        </w:tc>
        <w:tc>
          <w:tcPr/>
          <w:p>
            <w:pPr>
              <w:pStyle w:val="Compact"/>
              <w:jc w:val="left"/>
            </w:pPr>
            <w:r>
              <w:t xml:space="preserve">3,095 (24%)</w:t>
            </w:r>
          </w:p>
        </w:tc>
        <w:tc>
          <w:tcPr/>
          <w:p>
            <w:pPr>
              <w:pStyle w:val="Compact"/>
              <w:jc w:val="left"/>
            </w:pPr>
            <w:r>
              <w:t xml:space="preserve">0 (NA%)</w:t>
            </w:r>
          </w:p>
        </w:tc>
      </w:tr>
      <w:tr>
        <w:tc>
          <w:tcPr/>
          <w:p>
            <w:pPr>
              <w:pStyle w:val="Compact"/>
              <w:jc w:val="left"/>
            </w:pPr>
            <w:r>
              <w:t xml:space="preserve">COLLEGE GRADUATE</w:t>
            </w:r>
          </w:p>
        </w:tc>
        <w:tc>
          <w:tcPr/>
          <w:p>
            <w:pPr>
              <w:pStyle w:val="Compact"/>
              <w:jc w:val="left"/>
            </w:pPr>
            <w:r>
              <w:t xml:space="preserve">1,745 (50%)</w:t>
            </w:r>
          </w:p>
        </w:tc>
        <w:tc>
          <w:tcPr/>
          <w:p>
            <w:pPr>
              <w:pStyle w:val="Compact"/>
              <w:jc w:val="left"/>
            </w:pPr>
            <w:r>
              <w:t xml:space="preserve">7,279 (56%)</w:t>
            </w:r>
          </w:p>
        </w:tc>
        <w:tc>
          <w:tcPr/>
          <w:p>
            <w:pPr>
              <w:pStyle w:val="Compact"/>
              <w:jc w:val="left"/>
            </w:pPr>
            <w:r>
              <w:t xml:space="preserve">0 (NA%)</w:t>
            </w:r>
          </w:p>
        </w:tc>
      </w:tr>
      <w:tr>
        <w:tc>
          <w:tcPr/>
          <w:p>
            <w:pPr>
              <w:pStyle w:val="Compact"/>
              <w:jc w:val="left"/>
            </w:pPr>
            <w:r>
              <w:t xml:space="preserve">Survey Language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ENGLISH</w:t>
            </w:r>
          </w:p>
        </w:tc>
        <w:tc>
          <w:tcPr/>
          <w:p>
            <w:pPr>
              <w:pStyle w:val="Compact"/>
              <w:jc w:val="left"/>
            </w:pPr>
            <w:r>
              <w:t xml:space="preserve">3,297 (95%)</w:t>
            </w:r>
          </w:p>
        </w:tc>
        <w:tc>
          <w:tcPr/>
          <w:p>
            <w:pPr>
              <w:pStyle w:val="Compact"/>
              <w:jc w:val="left"/>
            </w:pPr>
            <w:r>
              <w:t xml:space="preserve">11,993 (92%)</w:t>
            </w:r>
          </w:p>
        </w:tc>
        <w:tc>
          <w:tcPr/>
          <w:p>
            <w:pPr>
              <w:pStyle w:val="Compact"/>
              <w:jc w:val="left"/>
            </w:pPr>
            <w:r>
              <w:t xml:space="preserve">0 (NA%)</w:t>
            </w:r>
          </w:p>
        </w:tc>
      </w:tr>
      <w:tr>
        <w:tc>
          <w:tcPr/>
          <w:p>
            <w:pPr>
              <w:pStyle w:val="Compact"/>
              <w:jc w:val="left"/>
            </w:pPr>
            <w:r>
              <w:t xml:space="preserve">SPANISH</w:t>
            </w:r>
          </w:p>
        </w:tc>
        <w:tc>
          <w:tcPr/>
          <w:p>
            <w:pPr>
              <w:pStyle w:val="Compact"/>
              <w:jc w:val="left"/>
            </w:pPr>
            <w:r>
              <w:t xml:space="preserve">148 (4.3%)</w:t>
            </w:r>
          </w:p>
        </w:tc>
        <w:tc>
          <w:tcPr/>
          <w:p>
            <w:pPr>
              <w:pStyle w:val="Compact"/>
              <w:jc w:val="left"/>
            </w:pPr>
            <w:r>
              <w:t xml:space="preserve">1,019 (7.8%)</w:t>
            </w:r>
          </w:p>
        </w:tc>
        <w:tc>
          <w:tcPr/>
          <w:p>
            <w:pPr>
              <w:pStyle w:val="Compact"/>
              <w:jc w:val="left"/>
            </w:pPr>
            <w:r>
              <w:t xml:space="preserve">0 (NA%)</w:t>
            </w:r>
          </w:p>
        </w:tc>
      </w:tr>
      <w:tr>
        <w:tc>
          <w:tcPr/>
          <w:p>
            <w:pPr>
              <w:pStyle w:val="Compact"/>
              <w:jc w:val="left"/>
            </w:pPr>
            <w:r>
              <w:t xml:space="preserve">OTHER</w:t>
            </w:r>
          </w:p>
        </w:tc>
        <w:tc>
          <w:tcPr/>
          <w:p>
            <w:pPr>
              <w:pStyle w:val="Compact"/>
              <w:jc w:val="left"/>
            </w:pPr>
            <w:r>
              <w:t xml:space="preserve">20 (0.6%)</w:t>
            </w:r>
          </w:p>
        </w:tc>
        <w:tc>
          <w:tcPr/>
          <w:p>
            <w:pPr>
              <w:pStyle w:val="Compact"/>
              <w:jc w:val="left"/>
            </w:pPr>
            <w:r>
              <w:t xml:space="preserve">87 (0.7%)</w:t>
            </w:r>
          </w:p>
        </w:tc>
        <w:tc>
          <w:tcPr/>
          <w:p>
            <w:pPr>
              <w:pStyle w:val="Compact"/>
              <w:jc w:val="left"/>
            </w:pPr>
            <w:r>
              <w:t xml:space="preserve">0 (NA%)</w:t>
            </w:r>
          </w:p>
        </w:tc>
      </w:tr>
      <w:tr>
        <w:tc>
          <w:tcPr/>
          <w:p>
            <w:pPr>
              <w:pStyle w:val="Compact"/>
              <w:jc w:val="left"/>
            </w:pPr>
            <w:r>
              <w:t xml:space="preserve">Housing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OWNED OR BEING BOUGHT</w:t>
            </w:r>
          </w:p>
        </w:tc>
        <w:tc>
          <w:tcPr/>
          <w:p>
            <w:pPr>
              <w:pStyle w:val="Compact"/>
              <w:jc w:val="left"/>
            </w:pPr>
            <w:r>
              <w:t xml:space="preserve">2,622 (76%)</w:t>
            </w:r>
          </w:p>
        </w:tc>
        <w:tc>
          <w:tcPr/>
          <w:p>
            <w:pPr>
              <w:pStyle w:val="Compact"/>
              <w:jc w:val="left"/>
            </w:pPr>
            <w:r>
              <w:t xml:space="preserve">9,810 (75%)</w:t>
            </w:r>
          </w:p>
        </w:tc>
        <w:tc>
          <w:tcPr/>
          <w:p>
            <w:pPr>
              <w:pStyle w:val="Compact"/>
              <w:jc w:val="left"/>
            </w:pPr>
            <w:r>
              <w:t xml:space="preserve">0 (NA%)</w:t>
            </w:r>
          </w:p>
        </w:tc>
      </w:tr>
      <w:tr>
        <w:tc>
          <w:tcPr/>
          <w:p>
            <w:pPr>
              <w:pStyle w:val="Compact"/>
              <w:jc w:val="left"/>
            </w:pPr>
            <w:r>
              <w:t xml:space="preserve">RENTED</w:t>
            </w:r>
          </w:p>
        </w:tc>
        <w:tc>
          <w:tcPr/>
          <w:p>
            <w:pPr>
              <w:pStyle w:val="Compact"/>
              <w:jc w:val="left"/>
            </w:pPr>
            <w:r>
              <w:t xml:space="preserve">737 (21%)</w:t>
            </w:r>
          </w:p>
        </w:tc>
        <w:tc>
          <w:tcPr/>
          <w:p>
            <w:pPr>
              <w:pStyle w:val="Compact"/>
              <w:jc w:val="left"/>
            </w:pPr>
            <w:r>
              <w:t xml:space="preserve">2,951 (23%)</w:t>
            </w:r>
          </w:p>
        </w:tc>
        <w:tc>
          <w:tcPr/>
          <w:p>
            <w:pPr>
              <w:pStyle w:val="Compact"/>
              <w:jc w:val="left"/>
            </w:pPr>
            <w:r>
              <w:t xml:space="preserve">0 (NA%)</w:t>
            </w:r>
          </w:p>
        </w:tc>
      </w:tr>
      <w:tr>
        <w:tc>
          <w:tcPr/>
          <w:p>
            <w:pPr>
              <w:pStyle w:val="Compact"/>
              <w:jc w:val="left"/>
            </w:pPr>
            <w:r>
              <w:t xml:space="preserve">OTHER ARRANGMENT</w:t>
            </w:r>
          </w:p>
        </w:tc>
        <w:tc>
          <w:tcPr/>
          <w:p>
            <w:pPr>
              <w:pStyle w:val="Compact"/>
              <w:jc w:val="left"/>
            </w:pPr>
            <w:r>
              <w:t xml:space="preserve">98 (2.8%)</w:t>
            </w:r>
          </w:p>
        </w:tc>
        <w:tc>
          <w:tcPr/>
          <w:p>
            <w:pPr>
              <w:pStyle w:val="Compact"/>
              <w:jc w:val="left"/>
            </w:pPr>
            <w:r>
              <w:t xml:space="preserve">312 (2.4%)</w:t>
            </w:r>
          </w:p>
        </w:tc>
        <w:tc>
          <w:tcPr/>
          <w:p>
            <w:pPr>
              <w:pStyle w:val="Compact"/>
              <w:jc w:val="left"/>
            </w:pPr>
            <w:r>
              <w:t xml:space="preserve">0 (NA%)</w:t>
            </w:r>
          </w:p>
        </w:tc>
      </w:tr>
      <w:tr>
        <w:tc>
          <w:tcPr/>
          <w:p>
            <w:pPr>
              <w:pStyle w:val="Compact"/>
              <w:jc w:val="left"/>
            </w:pPr>
            <w:r>
              <w:t xml:space="preserve">DON’T KNOW</w:t>
            </w:r>
          </w:p>
        </w:tc>
        <w:tc>
          <w:tcPr/>
          <w:p>
            <w:pPr>
              <w:pStyle w:val="Compact"/>
              <w:jc w:val="left"/>
            </w:pPr>
            <w:r>
              <w:t xml:space="preserve">4 (0.1%)</w:t>
            </w:r>
          </w:p>
        </w:tc>
        <w:tc>
          <w:tcPr/>
          <w:p>
            <w:pPr>
              <w:pStyle w:val="Compact"/>
              <w:jc w:val="left"/>
            </w:pPr>
            <w:r>
              <w:t xml:space="preserve">8 (&lt;0.1%)</w:t>
            </w:r>
          </w:p>
        </w:tc>
        <w:tc>
          <w:tcPr/>
          <w:p>
            <w:pPr>
              <w:pStyle w:val="Compact"/>
              <w:jc w:val="left"/>
            </w:pPr>
            <w:r>
              <w:t xml:space="preserve">0 (NA%)</w:t>
            </w:r>
          </w:p>
        </w:tc>
      </w:tr>
      <w:tr>
        <w:tc>
          <w:tcPr/>
          <w:p>
            <w:pPr>
              <w:pStyle w:val="Compact"/>
              <w:jc w:val="left"/>
            </w:pPr>
            <w:r>
              <w:t xml:space="preserve">REFUSED</w:t>
            </w:r>
          </w:p>
        </w:tc>
        <w:tc>
          <w:tcPr/>
          <w:p>
            <w:pPr>
              <w:pStyle w:val="Compact"/>
              <w:jc w:val="left"/>
            </w:pPr>
            <w:r>
              <w:t xml:space="preserve">4 (0.1%)</w:t>
            </w:r>
          </w:p>
        </w:tc>
        <w:tc>
          <w:tcPr/>
          <w:p>
            <w:pPr>
              <w:pStyle w:val="Compact"/>
              <w:jc w:val="left"/>
            </w:pPr>
            <w:r>
              <w:t xml:space="preserve">18 (0.1%)</w:t>
            </w:r>
          </w:p>
        </w:tc>
        <w:tc>
          <w:tcPr/>
          <w:p>
            <w:pPr>
              <w:pStyle w:val="Compact"/>
              <w:jc w:val="left"/>
            </w:pPr>
            <w:r>
              <w:t xml:space="preserve">0 (NA%)</w:t>
            </w:r>
          </w:p>
        </w:tc>
      </w:tr>
    </w:tbl>
    <w:p>
      <w:pPr>
        <w:pStyle w:val="BodyText"/>
      </w:pPr>
      <w:r>
        <w:t xml:space="preserve">The distribution of the numerical income to poverty ratio can be shown below.</w:t>
      </w:r>
      <w:r>
        <w:t xml:space="preserve"> </w:t>
      </w:r>
      <w:r>
        <w:t xml:space="preserve">It displays a value from 1-3.</w:t>
      </w:r>
      <w:r>
        <w:t xml:space="preserve"> </w:t>
      </w:r>
      <w:r>
        <w:t xml:space="preserve">A ratio displaying less than 1 depicts an income less than the poverty level.Any income ratio &gt;1 indicates an income greater than the poverty level.</w:t>
      </w:r>
      <w:r>
        <w:t xml:space="preserve"> </w:t>
      </w:r>
      <w:r>
        <w:t xml:space="preserve">Most of the observations were gathered from households with income ratios of 3, as shown by the skewed plot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29" name="Picture"/>
                  <a:graphic>
                    <a:graphicData uri="http://schemas.openxmlformats.org/drawingml/2006/picture">
                      <pic:pic>
                        <pic:nvPicPr>
                          <pic:cNvPr descr="./images/income.png" id="30" name="Picture"/>
                          <pic:cNvPicPr>
                            <a:picLocks noChangeArrowheads="1" noChangeAspect="1"/>
                          </pic:cNvPicPr>
                        </pic:nvPicPr>
                        <pic:blipFill>
                          <a:blip r:embed="rId28"/>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Income-poverty ratio distribution</w:t>
            </w:r>
          </w:p>
        </w:tc>
      </w:tr>
    </w:tbl>
    <w:p>
      <w:pPr>
        <w:pStyle w:val="BodyText"/>
      </w:pPr>
      <w:r>
        <w:t xml:space="preserve">Next, the distribution of surveys given per state was analyzed.</w:t>
      </w:r>
      <w:r>
        <w:t xml:space="preserve"> </w:t>
      </w:r>
      <w:r>
        <w:t xml:space="preserve">The state variable shows a more uniformed distribution, suggesting that the observations were gathered fairly across the US states and territory.</w:t>
      </w:r>
      <w:r>
        <w:t xml:space="preserve"> </w:t>
      </w:r>
      <w:r>
        <w:t xml:space="preserve">Although it is noted a few territories provides 0 observations.</w:t>
      </w:r>
      <w:r>
        <w:t xml:space="preserve"> </w:t>
      </w:r>
      <w:r>
        <w:drawing>
          <wp:inline>
            <wp:extent cx="5334000" cy="3416808"/>
            <wp:effectExtent b="0" l="0" r="0" t="0"/>
            <wp:docPr descr="Figure 2. State distribution" title="" id="32" name="Picture"/>
            <a:graphic>
              <a:graphicData uri="http://schemas.openxmlformats.org/drawingml/2006/picture">
                <pic:pic>
                  <pic:nvPicPr>
                    <pic:cNvPr descr="./images/state.distribution.png" id="33" name="Picture"/>
                    <pic:cNvPicPr>
                      <a:picLocks noChangeArrowheads="1" noChangeAspect="1"/>
                    </pic:cNvPicPr>
                  </pic:nvPicPr>
                  <pic:blipFill>
                    <a:blip r:embed="rId31"/>
                    <a:stretch>
                      <a:fillRect/>
                    </a:stretch>
                  </pic:blipFill>
                  <pic:spPr bwMode="auto">
                    <a:xfrm>
                      <a:off x="0" y="0"/>
                      <a:ext cx="5334000" cy="3416808"/>
                    </a:xfrm>
                    <a:prstGeom prst="rect">
                      <a:avLst/>
                    </a:prstGeom>
                    <a:noFill/>
                    <a:ln w="9525">
                      <a:noFill/>
                      <a:headEnd/>
                      <a:tailEnd/>
                    </a:ln>
                  </pic:spPr>
                </pic:pic>
              </a:graphicData>
            </a:graphic>
          </wp:inline>
        </w:drawing>
      </w:r>
    </w:p>
    <w:p>
      <w:pPr>
        <w:pStyle w:val="BodyText"/>
      </w:pPr>
      <w:r>
        <w:t xml:space="preserve">The family income variable provides a more normal distribution with the majority of the observation coming from $75000+ income level.</w:t>
      </w:r>
      <w:r>
        <w:t xml:space="preserve"> </w:t>
      </w:r>
      <w:r>
        <w:drawing>
          <wp:inline>
            <wp:extent cx="5334000" cy="3416808"/>
            <wp:effectExtent b="0" l="0" r="0" t="0"/>
            <wp:docPr descr="Figure 3. The family income distribution" title="" id="35" name="Picture"/>
            <a:graphic>
              <a:graphicData uri="http://schemas.openxmlformats.org/drawingml/2006/picture">
                <pic:pic>
                  <pic:nvPicPr>
                    <pic:cNvPr descr="./images/family.income.distribution.png" id="36" name="Picture"/>
                    <pic:cNvPicPr>
                      <a:picLocks noChangeArrowheads="1" noChangeAspect="1"/>
                    </pic:cNvPicPr>
                  </pic:nvPicPr>
                  <pic:blipFill>
                    <a:blip r:embed="rId34"/>
                    <a:stretch>
                      <a:fillRect/>
                    </a:stretch>
                  </pic:blipFill>
                  <pic:spPr bwMode="auto">
                    <a:xfrm>
                      <a:off x="0" y="0"/>
                      <a:ext cx="5334000" cy="3416808"/>
                    </a:xfrm>
                    <a:prstGeom prst="rect">
                      <a:avLst/>
                    </a:prstGeom>
                    <a:noFill/>
                    <a:ln w="9525">
                      <a:noFill/>
                      <a:headEnd/>
                      <a:tailEnd/>
                    </a:ln>
                  </pic:spPr>
                </pic:pic>
              </a:graphicData>
            </a:graphic>
          </wp:inline>
        </w:drawing>
      </w:r>
    </w:p>
    <w:p>
      <w:pPr>
        <w:pStyle w:val="BodyText"/>
      </w:pPr>
      <w:r>
        <w:t xml:space="preserve">The race and ethnicity variables show a distribution that is similar to the U.S. census data, which concludes that the racial composition of the U.S. is 58.9% white, 13.6% African American, and 19.1% Hispanic or Latino.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38" name="Picture"/>
                  <a:graphic>
                    <a:graphicData uri="http://schemas.openxmlformats.org/drawingml/2006/picture">
                      <pic:pic>
                        <pic:nvPicPr>
                          <pic:cNvPr descr="./images/race.distribution.png" id="39" name="Picture"/>
                          <pic:cNvPicPr>
                            <a:picLocks noChangeArrowheads="1" noChangeAspect="1"/>
                          </pic:cNvPicPr>
                        </pic:nvPicPr>
                        <pic:blipFill>
                          <a:blip r:embed="rId37"/>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4.Racial distribution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41" name="Picture"/>
                  <a:graphic>
                    <a:graphicData uri="http://schemas.openxmlformats.org/drawingml/2006/picture">
                      <pic:pic>
                        <pic:nvPicPr>
                          <pic:cNvPr descr="./images/ethnicity.distribution.png" id="42" name="Picture"/>
                          <pic:cNvPicPr>
                            <a:picLocks noChangeArrowheads="1" noChangeAspect="1"/>
                          </pic:cNvPicPr>
                        </pic:nvPicPr>
                        <pic:blipFill>
                          <a:blip r:embed="rId40"/>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5.Ethnicity distribution</w:t>
            </w:r>
          </w:p>
        </w:tc>
      </w:tr>
    </w:tbl>
    <w:p>
      <w:pPr>
        <w:pStyle w:val="BodyText"/>
      </w:pPr>
      <w:r>
        <w:t xml:space="preserve">The Insurance status variable shows that the majority of the observations came from households with private insurance only.</w:t>
      </w:r>
      <w:r>
        <w:t xml:space="preserve"> </w:t>
      </w:r>
      <w:r>
        <w:t xml:space="preserve">This is followed by any medicaid and then other insurance.</w:t>
      </w:r>
      <w:r>
        <w:t xml:space="preserve"> </w:t>
      </w:r>
      <w:r>
        <w:t xml:space="preserve">This is mirrored in the facility variable, where a majority of its observations show private facilities being the location.</w:t>
      </w:r>
      <w:r>
        <w:t xml:space="preserve"> </w:t>
      </w:r>
      <w:r>
        <w:drawing>
          <wp:inline>
            <wp:extent cx="5334000" cy="3416808"/>
            <wp:effectExtent b="0" l="0" r="0" t="0"/>
            <wp:docPr descr="Figure 6. Insurance status distribution" title="" id="44" name="Picture"/>
            <a:graphic>
              <a:graphicData uri="http://schemas.openxmlformats.org/drawingml/2006/picture">
                <pic:pic>
                  <pic:nvPicPr>
                    <pic:cNvPr descr="./images/insurance.status.distribution.png" id="45" name="Picture"/>
                    <pic:cNvPicPr>
                      <a:picLocks noChangeArrowheads="1" noChangeAspect="1"/>
                    </pic:cNvPicPr>
                  </pic:nvPicPr>
                  <pic:blipFill>
                    <a:blip r:embed="rId43"/>
                    <a:stretch>
                      <a:fillRect/>
                    </a:stretch>
                  </pic:blipFill>
                  <pic:spPr bwMode="auto">
                    <a:xfrm>
                      <a:off x="0" y="0"/>
                      <a:ext cx="5334000" cy="3416808"/>
                    </a:xfrm>
                    <a:prstGeom prst="rect">
                      <a:avLst/>
                    </a:prstGeom>
                    <a:noFill/>
                    <a:ln w="9525">
                      <a:noFill/>
                      <a:headEnd/>
                      <a:tailEnd/>
                    </a:ln>
                  </pic:spPr>
                </pic:pic>
              </a:graphicData>
            </a:graphic>
          </wp:inline>
        </w:drawing>
      </w:r>
      <w:r>
        <w:t xml:space="preserve"> </w:t>
      </w:r>
      <w:r>
        <w:drawing>
          <wp:inline>
            <wp:extent cx="5334000" cy="3416808"/>
            <wp:effectExtent b="0" l="0" r="0" t="0"/>
            <wp:docPr descr="Figure 7. Distribution of the medical facility where the survey was administerred" title="" id="47" name="Picture"/>
            <a:graphic>
              <a:graphicData uri="http://schemas.openxmlformats.org/drawingml/2006/picture">
                <pic:pic>
                  <pic:nvPicPr>
                    <pic:cNvPr descr="./images/facility.distribution.png" id="48" name="Picture"/>
                    <pic:cNvPicPr>
                      <a:picLocks noChangeArrowheads="1" noChangeAspect="1"/>
                    </pic:cNvPicPr>
                  </pic:nvPicPr>
                  <pic:blipFill>
                    <a:blip r:embed="rId46"/>
                    <a:stretch>
                      <a:fillRect/>
                    </a:stretch>
                  </pic:blipFill>
                  <pic:spPr bwMode="auto">
                    <a:xfrm>
                      <a:off x="0" y="0"/>
                      <a:ext cx="5334000" cy="3416808"/>
                    </a:xfrm>
                    <a:prstGeom prst="rect">
                      <a:avLst/>
                    </a:prstGeom>
                    <a:noFill/>
                    <a:ln w="9525">
                      <a:noFill/>
                      <a:headEnd/>
                      <a:tailEnd/>
                    </a:ln>
                  </pic:spPr>
                </pic:pic>
              </a:graphicData>
            </a:graphic>
          </wp:inline>
        </w:drawing>
      </w:r>
    </w:p>
    <w:p>
      <w:pPr>
        <w:pStyle w:val="BodyText"/>
      </w:pPr>
      <w:r>
        <w:t xml:space="preserve">The vaccination variable indicates nearly 80% of the observations had an Up-to-date status for the 1+ shot HPV vaccination.</w:t>
      </w:r>
      <w:r>
        <w:t xml:space="preserve"> </w:t>
      </w:r>
      <w:r>
        <w:t xml:space="preserve">We will follow by examining the percentage of up-to-date vaccination status by state.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674338"/>
                  <wp:effectExtent b="0" l="0" r="0" t="0"/>
                  <wp:docPr descr="" title="" id="50" name="Picture"/>
                  <a:graphic>
                    <a:graphicData uri="http://schemas.openxmlformats.org/drawingml/2006/picture">
                      <pic:pic>
                        <pic:nvPicPr>
                          <pic:cNvPr descr="./images/state-vaccine-completion.png" id="51" name="Picture"/>
                          <pic:cNvPicPr>
                            <a:picLocks noChangeArrowheads="1" noChangeAspect="1"/>
                          </pic:cNvPicPr>
                        </pic:nvPicPr>
                        <pic:blipFill>
                          <a:blip r:embed="rId49"/>
                          <a:stretch>
                            <a:fillRect/>
                          </a:stretch>
                        </pic:blipFill>
                        <pic:spPr bwMode="auto">
                          <a:xfrm>
                            <a:off x="0" y="0"/>
                            <a:ext cx="5334000" cy="6674338"/>
                          </a:xfrm>
                          <a:prstGeom prst="rect">
                            <a:avLst/>
                          </a:prstGeom>
                          <a:noFill/>
                          <a:ln w="9525">
                            <a:noFill/>
                            <a:headEnd/>
                            <a:tailEnd/>
                          </a:ln>
                        </pic:spPr>
                      </pic:pic>
                    </a:graphicData>
                  </a:graphic>
                </wp:inline>
              </w:drawing>
            </w:r>
          </w:p>
          <w:p>
            <w:pPr>
              <w:jc w:val="center"/>
            </w:pPr>
            <w:pPr>
              <w:jc w:val="start"/>
              <w:spacing w:before="200"/>
              <w:pStyle w:val="ImageCaption"/>
            </w:pPr>
            <w:r>
              <w:t xml:space="preserve">Table 2. Vaccine status distribution</w:t>
            </w:r>
          </w:p>
        </w:tc>
      </w:tr>
    </w:tbl>
    <w:p>
      <w:pPr>
        <w:pStyle w:val="BodyText"/>
      </w:pPr>
      <w:r>
        <w:t xml:space="preserve">We examine the facility that submitted the survey, which is stratified by the vaccine completion status of the survey subject.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53" name="Picture"/>
                  <a:graphic>
                    <a:graphicData uri="http://schemas.openxmlformats.org/drawingml/2006/picture">
                      <pic:pic>
                        <pic:nvPicPr>
                          <pic:cNvPr descr="./images/facility-vaccination.png" id="54" name="Picture"/>
                          <pic:cNvPicPr>
                            <a:picLocks noChangeArrowheads="1" noChangeAspect="1"/>
                          </pic:cNvPicPr>
                        </pic:nvPicPr>
                        <pic:blipFill>
                          <a:blip r:embed="rId52"/>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8.Facility and vaccine completion distribution</w:t>
            </w:r>
          </w:p>
        </w:tc>
      </w:tr>
    </w:tbl>
    <w:p>
      <w:pPr>
        <w:pStyle w:val="BodyText"/>
      </w:pPr>
      <w:r>
        <w:t xml:space="preserve">We examine the percentage of vaccination completion by race and ethnicity.</w:t>
      </w:r>
      <w:r>
        <w:t xml:space="preserve"> </w:t>
      </w:r>
      <w:r>
        <w:t xml:space="preserve">Because there are different counts of each race/ethnicity for each factor level, the percentage of those with up-to-date vaccine status out of each race/ethnicity level was determined.</w:t>
      </w:r>
      <w:r>
        <w:t xml:space="preserve"> </w:t>
      </w:r>
      <w:r>
        <w:t xml:space="preserve">This adjusts for the different counts in each racial category.</w:t>
      </w:r>
      <w:r>
        <w:t xml:space="preserve"> </w:t>
      </w:r>
      <w:r>
        <w:t xml:space="preserve">The Hispanic ethnicity was found to have the highest vaccine completion while non-hispanic white has the lowest.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56" name="Picture"/>
                  <a:graphic>
                    <a:graphicData uri="http://schemas.openxmlformats.org/drawingml/2006/picture">
                      <pic:pic>
                        <pic:nvPicPr>
                          <pic:cNvPr descr="./images/raceeth-income-stratified.png" id="57" name="Picture"/>
                          <pic:cNvPicPr>
                            <a:picLocks noChangeArrowheads="1" noChangeAspect="1"/>
                          </pic:cNvPicPr>
                        </pic:nvPicPr>
                        <pic:blipFill>
                          <a:blip r:embed="rId55"/>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Distribution of vaccine completion stratified by race and ethnicity</w:t>
            </w:r>
          </w:p>
        </w:tc>
      </w:tr>
    </w:tbl>
    <w:bookmarkEnd w:id="58"/>
    <w:bookmarkStart w:id="67" w:name="model-and-plot-fitting"/>
    <w:p>
      <w:pPr>
        <w:pStyle w:val="Heading2"/>
      </w:pPr>
      <w:r>
        <w:t xml:space="preserve">3.2 Model and Plot Fitting</w:t>
      </w:r>
    </w:p>
    <w:p>
      <w:pPr>
        <w:pStyle w:val="FirstParagraph"/>
      </w:pPr>
      <w:r>
        <w:t xml:space="preserve">A boxplot is created with income-poverty ratio to vaccination status.</w:t>
      </w:r>
      <w:r>
        <w:t xml:space="preserve"> </w:t>
      </w:r>
      <w:r>
        <w:t xml:space="preserve">The box plot indicates little difference between the two status.</w:t>
      </w:r>
      <w:r>
        <w:t xml:space="preserve"> </w:t>
      </w:r>
      <w:r>
        <w:t xml:space="preserve">A statistical model is fitted to the same variables.</w:t>
      </w:r>
      <w:r>
        <w:t xml:space="preserve"> </w:t>
      </w:r>
      <w:r>
        <w:t xml:space="preserve">A p-value of 0.1358 suggests there is little significance between the income-poverty variable and the vaccination status.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60" name="Picture"/>
                  <a:graphic>
                    <a:graphicData uri="http://schemas.openxmlformats.org/drawingml/2006/picture">
                      <pic:pic>
                        <pic:nvPicPr>
                          <pic:cNvPr descr="./images/income-vaccination.png" id="61" name="Picture"/>
                          <pic:cNvPicPr>
                            <a:picLocks noChangeArrowheads="1" noChangeAspect="1"/>
                          </pic:cNvPicPr>
                        </pic:nvPicPr>
                        <pic:blipFill>
                          <a:blip r:embed="rId59"/>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w:t>
            </w:r>
          </w:p>
        </w:tc>
      </w:tr>
    </w:tbl>
    <w:p>
      <w:pPr>
        <w:pStyle w:val="BodyText"/>
      </w:pPr>
      <w:r>
        <w:t xml:space="preserve">A boxplot is created with income-poverty ratio to insurance status.</w:t>
      </w:r>
      <w:r>
        <w:t xml:space="preserve"> </w:t>
      </w:r>
      <w:r>
        <w:t xml:space="preserve">The box plot indicates there are distinct difference between the two status.</w:t>
      </w:r>
      <w:r>
        <w:t xml:space="preserve"> </w:t>
      </w:r>
      <w:r>
        <w:t xml:space="preserve">A statistical model is fitted to the same variables.</w:t>
      </w:r>
      <w:r>
        <w:t xml:space="preserve"> </w:t>
      </w:r>
      <w:r>
        <w:t xml:space="preserve">The p-value of &lt; 2.26e-16 suggests there is statistical significance between the income-poverty variable and the insurance status.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63" name="Picture"/>
                  <a:graphic>
                    <a:graphicData uri="http://schemas.openxmlformats.org/drawingml/2006/picture">
                      <pic:pic>
                        <pic:nvPicPr>
                          <pic:cNvPr descr="./images/insurance-income-stratified.png" id="64" name="Picture"/>
                          <pic:cNvPicPr>
                            <a:picLocks noChangeArrowheads="1" noChangeAspect="1"/>
                          </pic:cNvPicPr>
                        </pic:nvPicPr>
                        <pic:blipFill>
                          <a:blip r:embed="rId62"/>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Income poverty ratio and insurance status</w:t>
            </w:r>
          </w:p>
        </w:tc>
      </w:tr>
    </w:tbl>
    <w:p>
      <w:pPr>
        <w:pStyle w:val="BodyText"/>
      </w:pPr>
      <w:r>
        <w:t xml:space="preserve">Income-poverty ratio was fit to vaccine status and insurance status in a multi-linear model.</w:t>
      </w:r>
    </w:p>
    <w:p>
      <w:pPr>
        <w:pStyle w:val="BodyText"/>
      </w:pPr>
      <w:r>
        <w:t xml:space="preserve">A box-plot was created for income-poverty level versus race/ethnicity and this was stratified by vaccine completion (UTD or NOT UTD).</w:t>
      </w:r>
      <w:r>
        <w:t xml:space="preserve"> </w:t>
      </w:r>
      <w:r>
        <w:t xml:space="preserve">A lower income-poverty ratio means the group is closer to the poverty line.</w:t>
      </w:r>
      <w:r>
        <w:t xml:space="preserve"> </w:t>
      </w:r>
      <w:r>
        <w:t xml:space="preserve">For the non-Hispanic black and Hispanic racial and ethnic groups, vaccine completion corresponded with a lower mean income-poverty ratio.</w:t>
      </w:r>
      <w:r>
        <w:t xml:space="preserve"> </w:t>
      </w:r>
      <w:r>
        <w:t xml:space="preserve">For mixed ethnic groups, vaccine completion corresponded with a higher mean income-poverty ratio.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16808"/>
                  <wp:effectExtent b="0" l="0" r="0" t="0"/>
                  <wp:docPr descr="" title="" id="65" name="Picture"/>
                  <a:graphic>
                    <a:graphicData uri="http://schemas.openxmlformats.org/drawingml/2006/picture">
                      <pic:pic>
                        <pic:nvPicPr>
                          <pic:cNvPr descr="./images/raceeth-income-stratified.png" id="66" name="Picture"/>
                          <pic:cNvPicPr>
                            <a:picLocks noChangeArrowheads="1" noChangeAspect="1"/>
                          </pic:cNvPicPr>
                        </pic:nvPicPr>
                        <pic:blipFill>
                          <a:blip r:embed="rId55"/>
                          <a:stretch>
                            <a:fillRect/>
                          </a:stretch>
                        </pic:blipFill>
                        <pic:spPr bwMode="auto">
                          <a:xfrm>
                            <a:off x="0" y="0"/>
                            <a:ext cx="5334000" cy="3416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Income-poverty level versus ethnic group</w:t>
            </w:r>
          </w:p>
        </w:tc>
      </w:tr>
    </w:tbl>
    <w:bookmarkEnd w:id="67"/>
    <w:bookmarkStart w:id="68" w:name="analysis"/>
    <w:p>
      <w:pPr>
        <w:pStyle w:val="Heading2"/>
      </w:pPr>
      <w:r>
        <w:t xml:space="preserve">3.3 Analysis</w:t>
      </w:r>
    </w:p>
    <w:p>
      <w:pPr>
        <w:pStyle w:val="FirstParagraph"/>
      </w:pPr>
      <w:r>
        <w:t xml:space="preserve">We begin with various socioeconomic predictors that interest us.</w:t>
      </w:r>
      <w:r>
        <w:t xml:space="preserve"> </w:t>
      </w:r>
      <w:r>
        <w:t xml:space="preserve">Some of these predictors are a subset of the other, or may be used to describe an overall category.</w:t>
      </w:r>
      <w:r>
        <w:t xml:space="preserve"> </w:t>
      </w:r>
      <w:r>
        <w:t xml:space="preserve">For this reason</w:t>
      </w:r>
    </w:p>
    <w:p>
      <w:pPr>
        <w:pStyle w:val="BodyText"/>
      </w:pPr>
      <w:r>
        <w:t xml:space="preserve">The variables used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w:t>
      </w:r>
      <w:r>
        <w:t xml:space="preserve"> </w:t>
      </w:r>
      <w:r>
        <w:t xml:space="preserve">There are seven potential outcome variables for HPV vaccine completion:</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Table 3. Human Papillomavirus vaccine status variables and meanings.</w:t>
            </w:r>
          </w:p>
        </w:tc>
      </w:tr>
    </w:tbl>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significantly high with a single dose.</w:t>
      </w:r>
      <w:r>
        <w:t xml:space="preserve"> </w:t>
      </w:r>
      <w:r>
        <w:t xml:space="preserve">This recommendation was given with the goal of increasing vaccine coverage in areas with lower vaccine accessibility and availability (13).</w:t>
      </w:r>
      <w:r>
        <w:t xml:space="preserve"> </w:t>
      </w:r>
      <w:r>
        <w:t xml:space="preserve">In September of 2023, PAHO followed suit in recommending a single-dose HPV vaccine regime for the Americas (14).</w:t>
      </w:r>
    </w:p>
    <w:p>
      <w:pPr>
        <w:pStyle w:val="BodyText"/>
      </w:pPr>
      <w:r>
        <w:t xml:space="preserve">The predictor variables we chose to examine are listed below:</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Table 4. Potential predictor variable names and meanings.</w:t>
            </w:r>
          </w:p>
        </w:tc>
      </w:tr>
    </w:tbl>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p>
      <w:pPr>
        <w:pStyle w:val="BodyText"/>
      </w:pPr>
      <w:r>
        <w:t xml:space="preserve">To determine which predictor variables will be best suited for a general linear model, I will do a step-wise comparison and then measure the resulting models with AIC and WAIC.</w:t>
      </w:r>
    </w:p>
    <w:bookmarkEnd w:id="68"/>
    <w:bookmarkEnd w:id="69"/>
    <w:bookmarkStart w:id="70" w:name="discussion"/>
    <w:p>
      <w:pPr>
        <w:pStyle w:val="Heading1"/>
      </w:pPr>
      <w:r>
        <w:t xml:space="preserve">4. Discussion</w:t>
      </w:r>
    </w:p>
    <w:bookmarkEnd w:id="70"/>
    <w:bookmarkStart w:id="71" w:name="conclusion"/>
    <w:p>
      <w:pPr>
        <w:pStyle w:val="Heading1"/>
      </w:pPr>
      <w:r>
        <w:t xml:space="preserve">5. Conclusion</w:t>
      </w:r>
    </w:p>
    <w:bookmarkEnd w:id="71"/>
    <w:bookmarkStart w:id="72" w:name="references"/>
    <w:p>
      <w:pPr>
        <w:pStyle w:val="Heading1"/>
      </w:pPr>
      <w:r>
        <w:t xml:space="preserve">6. References</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https://www.womenshealth.gov/a-z-topics/human-papillomavirus#:~:text=Genital%20HPV%20is%20the%20most,79%20million%20Americans%20have%20HPV.&amp;text=It%20is%20so%20common%20that,some%20point%20in%20their%20lifetime.</w:t>
      </w:r>
    </w:p>
    <w:p>
      <w:pPr>
        <w:numPr>
          <w:ilvl w:val="0"/>
          <w:numId w:val="1001"/>
        </w:numPr>
      </w:pPr>
      <w:r>
        <w:t xml:space="preserve">https://www.health.state.mn.us/data/mcrs/data/qfhpv.html#:~:text=Human%20Papillomavirus%20(HPV)%20is%20a,with%20HPV%20in%20their%20lifetime.&amp;text=Around%2050%20percent%20of%20HPV,HPV%2C%20which%20can%20cause%20cancer.</w:t>
      </w:r>
    </w:p>
    <w:p>
      <w:pPr>
        <w:numPr>
          <w:ilvl w:val="0"/>
          <w:numId w:val="1001"/>
        </w:numPr>
      </w:pPr>
      <w:r>
        <w:t xml:space="preserve">HPV and Cancer.</w:t>
      </w:r>
      <w:r>
        <w:t xml:space="preserve"> </w:t>
      </w:r>
      <w:r>
        <w:t xml:space="preserve">In: National Cancer Institute [Internet].</w:t>
      </w:r>
      <w:r>
        <w:t xml:space="preserve"> </w:t>
      </w:r>
      <w:r>
        <w:t xml:space="preserve">1 Mar 2019 [cited 12 Mar 2024].</w:t>
      </w:r>
      <w:r>
        <w:t xml:space="preserve"> </w:t>
      </w:r>
      <w:r>
        <w:t xml:space="preserve">Available: https://www.cancer.gov/about-cancer/causes-prevention/risk/infectious-agents/hpv-and-cancer</w:t>
      </w:r>
    </w:p>
    <w:p>
      <w:pPr>
        <w:numPr>
          <w:ilvl w:val="0"/>
          <w:numId w:val="1001"/>
        </w:numPr>
      </w:pPr>
      <w:r>
        <w:t xml:space="preserve">https://www.cancer.gov/about-cancer/causes-prevention/risk/infectious-agents/hpv-and-cancer</w:t>
      </w:r>
    </w:p>
    <w:p>
      <w:pPr>
        <w:numPr>
          <w:ilvl w:val="0"/>
          <w:numId w:val="1001"/>
        </w:numPr>
      </w:pPr>
      <w:r>
        <w:t xml:space="preserve">https://www.cdc.gov/vaccines/vpd/hpv/hcp/vaccines.html#:~:text=Vaccine%20Composition,45%2C%2052%2C%20and%2058.</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https://www.cdc.gov/vaccines/vpd/hpv/hcp/recommendations.html#:~:text=Two%20doses%20of%20HPV%20vaccine,third%20dose%20of%20HPV%20vaccine.</w:t>
      </w:r>
    </w:p>
    <w:p>
      <w:pPr>
        <w:numPr>
          <w:ilvl w:val="0"/>
          <w:numId w:val="1001"/>
        </w:numPr>
      </w:pPr>
      <w:r>
        <w:t xml:space="preserve">https://www.cdc.gov/mmwr/volumes/72/wr/mm7234a3.htm#:~:text=In%202022%2C%2089.9%25%20of%20adolescents,HPV%20vaccination%20(HPV%20UTD).</w:t>
      </w:r>
    </w:p>
    <w:p>
      <w:pPr>
        <w:numPr>
          <w:ilvl w:val="0"/>
          <w:numId w:val="1001"/>
        </w:numPr>
      </w:pPr>
      <w:r>
        <w:t xml:space="preserve">Sciences, N. A.</w:t>
      </w:r>
      <w:r>
        <w:t xml:space="preserve"> </w:t>
      </w:r>
      <w:r>
        <w:t xml:space="preserve">of, Engineering, &amp; Medicine, and.</w:t>
      </w:r>
      <w:r>
        <w:t xml:space="preserve"> </w:t>
      </w:r>
      <w:r>
        <w:t xml:space="preserve">(2018, March 1).</w:t>
      </w:r>
      <w:r>
        <w:t xml:space="preserve"> </w:t>
      </w:r>
      <w:r>
        <w:t xml:space="preserve">Factors that affect health-care utilization.</w:t>
      </w:r>
      <w:r>
        <w:t xml:space="preserve"> </w:t>
      </w:r>
      <w:r>
        <w:t xml:space="preserve">Health-Care Utilization as a Proxy in Disability Determination.</w:t>
      </w:r>
      <w:r>
        <w:t xml:space="preserve"> </w:t>
      </w:r>
      <w:r>
        <w:t xml:space="preserve">https://www.ncbi.nlm.nih.gov/books/NBK500097/</w:t>
      </w:r>
    </w:p>
    <w:p>
      <w:pPr>
        <w:numPr>
          <w:ilvl w:val="0"/>
          <w:numId w:val="1001"/>
        </w:numPr>
      </w:pPr>
      <w:r>
        <w:t xml:space="preserve">Mansfield, L. N., Chung, R. J., Silva, S. G., Merwin, E. I., &amp; Gonzalez-Guarda, R. M.</w:t>
      </w:r>
      <w:r>
        <w:t xml:space="preserve"> </w:t>
      </w:r>
      <w:r>
        <w:t xml:space="preserve">(2022).</w:t>
      </w:r>
      <w:r>
        <w:t xml:space="preserve"> </w:t>
      </w:r>
      <w:r>
        <w:t xml:space="preserve">Social determinants of human papillomavirus vaccine series completion among U.S. adolescents: A mixed-methods study.</w:t>
      </w:r>
      <w:r>
        <w:t xml:space="preserve"> </w:t>
      </w:r>
      <w:r>
        <w:t xml:space="preserve">SSM - population health, 18, 101082.</w:t>
      </w:r>
      <w:r>
        <w:t xml:space="preserve"> </w:t>
      </w:r>
      <w:r>
        <w:t xml:space="preserve">https://doi.org/10.1016/j.ssmph.2022.101082</w:t>
      </w:r>
    </w:p>
    <w:p>
      <w:pPr>
        <w:numPr>
          <w:ilvl w:val="0"/>
          <w:numId w:val="1001"/>
        </w:numPr>
      </w:pPr>
      <w:r>
        <w:t xml:space="preserve">Casey, R. M., Akaba, H., Hyde, T. B, et al. (2024).</w:t>
      </w:r>
      <w:r>
        <w:t xml:space="preserve"> </w:t>
      </w:r>
      <w:r>
        <w:t xml:space="preserve">Covid-19 pandemic and equity of global human papillomavirus vaccination: descriptive study of World Health Organization-Unicef vaccination coverage estimates.</w:t>
      </w:r>
      <w:r>
        <w:t xml:space="preserve"> </w:t>
      </w:r>
      <w:r>
        <w:t xml:space="preserve">BMJ Medicine, 3, 000726.</w:t>
      </w:r>
      <w:r>
        <w:t xml:space="preserve"> </w:t>
      </w:r>
      <w:r>
        <w:t xml:space="preserve">doi: 10.1136/bmjmed-2023-000726</w:t>
      </w:r>
    </w:p>
    <w:p>
      <w:pPr>
        <w:numPr>
          <w:ilvl w:val="0"/>
          <w:numId w:val="1001"/>
        </w:numPr>
      </w:pPr>
      <w:r>
        <w:t xml:space="preserve">https://www.who.int/news/item/20-12-2022-WHO-updates-recommendations-on-HPV-vaccination-schedule</w:t>
      </w:r>
    </w:p>
    <w:p>
      <w:pPr>
        <w:numPr>
          <w:ilvl w:val="0"/>
          <w:numId w:val="1001"/>
        </w:numPr>
      </w:pPr>
      <w:r>
        <w:t xml:space="preserve">https://www.paho.org/en/news/5-9-2023-paho-technical-advisory-group-recommends-countries-americas-use-single-dose-hpv</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59" Target="media/rId59.png" /><Relationship Type="http://schemas.openxmlformats.org/officeDocument/2006/relationships/image" Id="rId28" Target="media/rId28.png" /><Relationship Type="http://schemas.openxmlformats.org/officeDocument/2006/relationships/image" Id="rId62" Target="media/rId6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2024-04-17T18:43:01Z</dcterms:created>
  <dcterms:modified xsi:type="dcterms:W3CDTF">2024-04-17T18:43:01Z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2024-04-17</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