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2024-04-01</w:t>
      </w:r>
    </w:p>
    <w:bookmarkStart w:id="21" w:name="introduction"/>
    <w:p>
      <w:pPr>
        <w:pStyle w:val="Heading1"/>
      </w:pPr>
      <w:r>
        <w:t xml:space="preserve">1. Introduction</w:t>
      </w:r>
    </w:p>
    <w:bookmarkStart w:id="20" w:name="background"/>
    <w:p>
      <w:pPr>
        <w:pStyle w:val="Heading2"/>
      </w:pPr>
      <w:r>
        <w:t xml:space="preserve">1.1 Background</w:t>
      </w:r>
    </w:p>
    <w:p>
      <w:pPr>
        <w:pStyle w:val="FirstParagraph"/>
      </w:pPr>
      <w:r>
        <w:t xml:space="preserve">Human Papillomavirus (HPV) is a double-stranded DNA virus that infects the cells of the skin and mucosal linings [1]. HPV is the most common sexually transmitted infection (STI) in the United States, where over 90% of sexually active males and 80% of sexually active females will likely become infected within their lifetime [2, 3]. Most cases of HPV are asymptomatic and cleared over time, but certain infections tend to become persistent and can cause genital warts. 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 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 These include HPV 16, 18, 31, 33, 35, 39, 45, 51, 52, 56, 58, and 59, though HPV-16 and HPV-18 are associated with the highest number of HPV-associated cancer cases. In the U.S., there are 37,300 cases of HPV-associated cancer cases every year, including cases of cervical, anal, oropharyngeal (throat and mouth), vulvar, vaginal, and penile cancers [5,6]. In an effort to prevent HPV-associated cancers worldwide, two HPV vaccines were developed and made available in 2006. 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[7]. In recent years, the vaccine used in the U.S., Gardasil 9, has been expanded to contain HPV types 6, 11, 16, 18, 31, 33, 45, 52, and 58 [4]. Currently, the United States Centers for Disease Control and Prevention (CDC) recommends a two-dose Gardasil 9 regime to all teenagers, with a primary dose at age 11 to 12 and a second dose within 6 to 12 months of the first [8]. In 2022, the CDC estimated that 76.0% of teenagers aged 13 to 17 had received at least 1 dose of the HPV vaccine while only 62.6% of teenagers were up-to-date with their vaccination regime [9].</w:t>
      </w:r>
      <w:r>
        <w:t xml:space="preserve"> </w:t>
      </w:r>
      <w:r>
        <w:t xml:space="preserve">## Data</w:t>
      </w:r>
      <w:r>
        <w:t xml:space="preserve"> </w:t>
      </w:r>
      <w:r>
        <w:t xml:space="preserve">The data we chose to use is the National Immunization Survey (NIS) of 2022. It consists survey data that was collected to monitor vaccination coverage for teenagers age 13-17 in the United States of America. The surveys were conducted by the National Center for Immunization and Respiratory Diseases of the Center (NCIRD) for Disease Control and Prevention (CDC). 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 In the data set, there are 43,738 rows and 672 columns, with each row representing an individual and each column representing the answer to a question. The questions pertain to the teenager’s immunization history, demographics, and additional household-reported health information. We have truncated the data set to include 26-selected columns for the ease of observation. We have also filtered the data set to include one year, 2022, which is the most recent year of data that is published. The provided survey data will require cleaning, as there are signs of human errors present.</w:t>
      </w:r>
      <w:r>
        <w:t xml:space="preserve"> </w:t>
      </w:r>
      <w:r>
        <w:t xml:space="preserve">## Research Question</w:t>
      </w:r>
      <w:r>
        <w:t xml:space="preserve"> </w:t>
      </w:r>
      <w:r>
        <w:t xml:space="preserve">Data from the 2022 National Immunization Survey for teens will be used to identify which socioeconomic and geographic factors are associated with HPV vaccination completion for teenagers aged 13 to 17 in the U.S. Specifically, we want to find the most important socioeconomic and geographic factors for a teenager being up-to-date for their HPV vaccinations in the U.S. The outcome of this study will be measured using the overall up-to-date HPV vaccination completion indicator, which includes all age groups in any step of the vaccination process. The variable includes teenagers aged 13 to 17 who are up-to-date and have received at least one HPV shot.</w:t>
      </w:r>
      <w:r>
        <w:t xml:space="preserve"> </w:t>
      </w:r>
      <w:r>
        <w:t xml:space="preserve">## Purpose</w:t>
      </w:r>
      <w:r>
        <w:t xml:space="preserve"> </w:t>
      </w: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 This means that younger teens who are up to date with 1+ shot will not be excluded from the analysis. We aim to measure determinants of socioeconomic status that are engrained into the survey questions. These factors include: family income, poverty status, income-to-poverty ratio, insurance status, insurance breaks, maternal education, living arrangement, and geographic mobility status. Additional demographic factors that are associated with healthcare access and may be examined include: race, ethnicity, language, facility in which the vaccine was administered, and whether the teen had completed a wellness exam between the ages of 11-12. Geographic distribution of the teens will be assessed by true state of residence. We would like to examine the data for correlations between HPV vaccination completion status and the aforementioned socioeconomic determinants, demographics, and geographic location. This serves as valuable information to determine differences in healthcare access and vaccination coverage for teenagers living in the U.S.</w:t>
      </w:r>
      <w:r>
        <w:t xml:space="preserve"> </w:t>
      </w:r>
      <w:r>
        <w:t xml:space="preserve">It is generally known that those of lower income and without insurance have limited healthcare access in the U.S. [10], but it will be interesting to see if this pattern is reflected at the state level. If so, policy should be examined as it may be related to healthcare access disparities. Recent studies have examined HPV vaccination completion according to social determinants, but they have not examined geographic distribution and include data prior to 2019 [11]. More recent years display differences in global HPV vaccination trends due to the COVID19 pandemic [12]. Our study will fill in geographical gaps and provide updated vaccination trends based on socioeconomic factors.</w:t>
      </w:r>
    </w:p>
    <w:p>
      <w:r>
        <w:br w:type="page"/>
      </w:r>
    </w:p>
    <w:bookmarkEnd w:id="20"/>
    <w:bookmarkEnd w:id="21"/>
    <w:bookmarkStart w:id="26" w:name="methods"/>
    <w:p>
      <w:pPr>
        <w:pStyle w:val="Heading1"/>
      </w:pPr>
      <w:r>
        <w:t xml:space="preserve">2. Methods</w:t>
      </w:r>
    </w:p>
    <w:bookmarkStart w:id="23" w:name="data-cleaning-and-processing"/>
    <w:p>
      <w:pPr>
        <w:pStyle w:val="Heading2"/>
      </w:pPr>
      <w:r>
        <w:t xml:space="preserve">2.1 Data Cleaning and Processing</w:t>
      </w:r>
    </w:p>
    <w:bookmarkStart w:id="22" w:name="loading-the-data"/>
    <w:p>
      <w:pPr>
        <w:pStyle w:val="Heading3"/>
      </w:pPr>
      <w:r>
        <w:t xml:space="preserve">2.1.1 Loading the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Next, each of the factor variables were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w:t>
      </w:r>
      <w:r>
        <w:t xml:space="preserve"> </w:t>
      </w:r>
      <w:r>
        <w:t xml:space="preserve">This does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p>
      <w:pPr>
        <w:pStyle w:val="BodyText"/>
      </w:pPr>
      <w:r>
        <w:t xml:space="preserve">Next, we explored the structure of the processed data and searched for any missing values.</w:t>
      </w:r>
      <w:r>
        <w:t xml:space="preserve"> </w:t>
      </w:r>
      <w:r>
        <w:t xml:space="preserve">However, there were no NAs present.</w:t>
      </w:r>
      <w:r>
        <w:t xml:space="preserve"> </w:t>
      </w:r>
      <w:r>
        <w:t xml:space="preserve">There are, however, missing values as labelled factor levels which must be accounted for.</w:t>
      </w:r>
      <w:r>
        <w:t xml:space="preserve"> </w:t>
      </w:r>
      <w:r>
        <w:t xml:space="preserve">We identified the missing value labels by printing the factor levels.</w:t>
      </w:r>
      <w:r>
        <w:t xml:space="preserve"> </w:t>
      </w:r>
      <w:r>
        <w:t xml:space="preserve">We then replaced the all of the values labelled missing with NA values.</w:t>
      </w:r>
      <w:r>
        <w:t xml:space="preserve"> </w:t>
      </w:r>
      <w:r>
        <w:t xml:space="preserve">Next, we found a string of over 27000 NAs all of the variables for vaccination completion.</w:t>
      </w:r>
      <w:r>
        <w:t xml:space="preserve"> </w:t>
      </w:r>
      <w:r>
        <w:t xml:space="preserve">These rows corresponded for all variables related to vaccine completion.</w:t>
      </w:r>
      <w:r>
        <w:t xml:space="preserve"> </w:t>
      </w:r>
      <w:r>
        <w:t xml:space="preserve">Since this is the response variable of our scientific question, we eliminated these rows.</w:t>
      </w:r>
      <w:r>
        <w:t xml:space="preserve"> </w:t>
      </w:r>
      <w:r>
        <w:t xml:space="preserve">We also eliminated rows with small numbers missing values, which were within the columns for facility, Wellchild exams, and insurance breaks.</w:t>
      </w:r>
      <w:r>
        <w:t xml:space="preserve"> </w:t>
      </w:r>
      <w:r>
        <w:t xml:space="preserve">Lastly, we eliminatethe year column, as all of the data comes from the year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p>
    <w:bookmarkEnd w:id="22"/>
    <w:bookmarkEnd w:id="23"/>
    <w:bookmarkStart w:id="24" w:name="exploratory-analysis"/>
    <w:p>
      <w:pPr>
        <w:pStyle w:val="Heading2"/>
      </w:pPr>
      <w:r>
        <w:t xml:space="preserve">2.2 Exploratory Analysis</w:t>
      </w:r>
    </w:p>
    <w:p>
      <w:pPr>
        <w:pStyle w:val="FirstParagraph"/>
      </w:pPr>
      <w:r>
        <w:t xml:space="preserve">We use our exploratory analysis to determine the distribution of our predictors, including the socioeconomic variables that we chose for analysis.</w:t>
      </w:r>
      <w:r>
        <w:t xml:space="preserve"> </w:t>
      </w:r>
      <w:r>
        <w:t xml:space="preserve">The distribution of the numerical income to poverty ratio can be shown below.</w:t>
      </w:r>
      <w:r>
        <w:t xml:space="preserve"> </w:t>
      </w:r>
      <w:r>
        <w:t xml:space="preserve">It displays a value from 1-3.</w:t>
      </w:r>
      <w:r>
        <w:t xml:space="preserve"> </w:t>
      </w:r>
      <w:r>
        <w:t xml:space="preserve">A ratio displaying less than 1 depicts an income less than the poverty level.Any income ratio &gt;1 indicates an income greater than the poverty level.</w:t>
      </w:r>
      <w:r>
        <w:t xml:space="preserve"> </w:t>
      </w:r>
      <w:r>
        <w:t xml:space="preserve">Most of the observations were gathered from households with income ratios of 3, as shown by the skewed plot below.</w:t>
      </w:r>
    </w:p>
    <w:tbl>
      <w:tblPr>
        <w:tblStyle w:val="FigureTable"/>
        <w:tblW w:type="auto" w:w="0"/>
        <w:tblLook w:firstRow="0" w:lastRow="0" w:firstColumn="0" w:lastColumn="0"/>
        <w:jc w:val="center"/>
      </w:tblPr>
      <w:tblGrid>
        <w:gridCol w:w="7920"/>
      </w:tblGrid>
      <w:tr>
        <w:tc>
          <w:tcPr/>
          <w:p>
            <w:pPr>
              <w:pStyle w:val="Compact"/>
              <w:jc w:val="center"/>
            </w:pPr>
            <w:r>
              <w:t xml:space="preserve">Figure 1. Income-poverty ratio distribution</w:t>
            </w:r>
          </w:p>
        </w:tc>
      </w:tr>
    </w:tbl>
    <w:p>
      <w:pPr>
        <w:pStyle w:val="ImageCaption"/>
      </w:pPr>
      <w:r>
        <w:t xml:space="preserve">Figure 1. Income-poverty ratio distribution</w:t>
      </w:r>
    </w:p>
    <w:p>
      <w:pPr>
        <w:pStyle w:val="BodyText"/>
      </w:pPr>
      <w:r>
        <w:t xml:space="preserve">Nest, the distribution of surveys given per state was analyzed.</w:t>
      </w:r>
      <w:r>
        <w:t xml:space="preserve"> </w:t>
      </w:r>
      <w:r>
        <w:t xml:space="preserve">The state variable shows a more uniformed distribution, suggesting that the observations were gathered fairly across the US states and territory.</w:t>
      </w:r>
      <w:r>
        <w:t xml:space="preserve"> </w:t>
      </w:r>
      <w:r>
        <w:t xml:space="preserve">Although it is noted a few territories provides 0 observations.</w:t>
      </w:r>
      <w:r>
        <w:t xml:space="preserve"> </w:t>
      </w:r>
      <w:r>
        <w:t xml:space="preserve">Figure 2. State dsitribution</w:t>
      </w:r>
    </w:p>
    <w:p>
      <w:pPr>
        <w:pStyle w:val="BodyText"/>
      </w:pPr>
      <w:r>
        <w:t xml:space="preserve">The family income variable provides a more normal distribution with the majority of the observation coming from $75000+ income level.</w:t>
      </w:r>
      <w:r>
        <w:t xml:space="preserve"> </w:t>
      </w:r>
      <w:r>
        <w:t xml:space="preserve">Figure 3. The family income distribution</w:t>
      </w:r>
    </w:p>
    <w:p>
      <w:pPr>
        <w:pStyle w:val="BodyText"/>
      </w:pPr>
      <w:r>
        <w:t xml:space="preserve">The race and ethnicity variables show a distribution that is similar to the U.S. census data, which concludes that the racial composition of the U.S. is 58.9% white, 13.6% African American, and 19.1% Hispanic or Latino.</w:t>
      </w:r>
    </w:p>
    <w:p>
      <w:pPr>
        <w:pStyle w:val="BodyText"/>
      </w:pPr>
      <w:r>
        <w:t xml:space="preserve">Figure 4.Racial distribution</w:t>
      </w:r>
      <w:r>
        <w:t xml:space="preserve"> </w:t>
      </w:r>
      <w:r>
        <w:t xml:space="preserve">Figure 5.Ethnicity distribution</w:t>
      </w:r>
    </w:p>
    <w:p>
      <w:pPr>
        <w:pStyle w:val="BodyText"/>
      </w:pPr>
      <w:r>
        <w:t xml:space="preserve">The Insurance status variable shows that the majority of the observations came from households with private insurance only.</w:t>
      </w:r>
      <w:r>
        <w:t xml:space="preserve"> </w:t>
      </w:r>
      <w:r>
        <w:t xml:space="preserve">This is followed by any medicaid and then other insurance.</w:t>
      </w:r>
      <w:r>
        <w:t xml:space="preserve"> </w:t>
      </w:r>
      <w:r>
        <w:t xml:space="preserve">This is mirrored in the facility variable, where a majority of its observations show private facilities being the location.</w:t>
      </w:r>
      <w:r>
        <w:t xml:space="preserve"> </w:t>
      </w:r>
      <w:r>
        <w:t xml:space="preserve">Figure 6. Insurance status distribution</w:t>
      </w:r>
      <w:r>
        <w:t xml:space="preserve"> </w:t>
      </w:r>
      <w:r>
        <w:t xml:space="preserve">Figure 7. Distribution of the medical facility where the survey was administerred</w:t>
      </w:r>
    </w:p>
    <w:p>
      <w:pPr>
        <w:pStyle w:val="BodyText"/>
      </w:pPr>
      <w:r>
        <w:t xml:space="preserve">The vaccination variable indicates nearly 80% of the observations had an Up-to-date status for the 1+ shot HPV vaccination.</w:t>
      </w:r>
      <w:r>
        <w:t xml:space="preserve"> </w:t>
      </w:r>
      <w:r>
        <w:t xml:space="preserve">We will follow by examining the percentage of up-to-date vaccination status by state.</w:t>
      </w:r>
    </w:p>
    <w:tbl>
      <w:tblPr>
        <w:tblStyle w:val="FigureTable"/>
        <w:tblW w:type="auto" w:w="0"/>
        <w:tblLook w:firstRow="0" w:lastRow="0" w:firstColumn="0" w:lastColumn="0"/>
        <w:jc w:val="center"/>
      </w:tblPr>
      <w:tblGrid>
        <w:gridCol w:w="7920"/>
      </w:tblGrid>
      <w:tr>
        <w:tc>
          <w:tcPr/>
          <w:p>
            <w:pPr>
              <w:pStyle w:val="Compact"/>
              <w:jc w:val="center"/>
            </w:pPr>
            <w:r>
              <w:t xml:space="preserve">Figure 8. Vaccine status distribution</w:t>
            </w:r>
          </w:p>
        </w:tc>
      </w:tr>
    </w:tbl>
    <w:p>
      <w:pPr>
        <w:pStyle w:val="ImageCaption"/>
      </w:pPr>
      <w:r>
        <w:t xml:space="preserve">Figure 8. Vaccine status distribution</w:t>
      </w:r>
    </w:p>
    <w:p>
      <w:pPr>
        <w:pStyle w:val="BodyText"/>
      </w:pPr>
      <w:r>
        <w:t xml:space="preserve">We examine the facility that submitted the survey, which is stratified by the vaccine completion status of the survey subject.</w:t>
      </w:r>
    </w:p>
    <w:tbl>
      <w:tblPr>
        <w:tblStyle w:val="FigureTable"/>
        <w:tblW w:type="auto" w:w="0"/>
        <w:tblLook w:firstRow="0" w:lastRow="0" w:firstColumn="0" w:lastColumn="0"/>
        <w:jc w:val="center"/>
      </w:tblPr>
      <w:tblGrid>
        <w:gridCol w:w="7920"/>
      </w:tblGrid>
      <w:tr>
        <w:tc>
          <w:tcPr/>
          <w:p>
            <w:pPr>
              <w:pStyle w:val="Compact"/>
              <w:jc w:val="center"/>
            </w:pPr>
            <w:r>
              <w:t xml:space="preserve">Figure 9.Facility and vaccine completion distribution</w:t>
            </w:r>
          </w:p>
        </w:tc>
      </w:tr>
    </w:tbl>
    <w:p>
      <w:pPr>
        <w:pStyle w:val="ImageCaption"/>
      </w:pPr>
      <w:r>
        <w:t xml:space="preserve">Figure 9.Facility and vaccine completion distribution</w:t>
      </w:r>
    </w:p>
    <w:p>
      <w:pPr>
        <w:pStyle w:val="BodyText"/>
      </w:pPr>
      <w:r>
        <w:t xml:space="preserve">We examine the percentage of vaccination completion by race and ethnicity.</w:t>
      </w:r>
      <w:r>
        <w:t xml:space="preserve"> </w:t>
      </w:r>
      <w:r>
        <w:t xml:space="preserve">Because there are different counts of each race/ethnicity for each factor level, the percentage of those with up-to-date vaccine status out of each race/ethnicity level was determined.</w:t>
      </w:r>
      <w:r>
        <w:t xml:space="preserve"> </w:t>
      </w:r>
      <w:r>
        <w:t xml:space="preserve">This adjusts for the different counts in each racial category.</w:t>
      </w:r>
      <w:r>
        <w:t xml:space="preserve"> </w:t>
      </w:r>
      <w:r>
        <w:t xml:space="preserve">The Hispanic ethnicity was found to have the highest vaccine completion while non-hispanic white has the lowest.</w:t>
      </w:r>
    </w:p>
    <w:tbl>
      <w:tblPr>
        <w:tblStyle w:val="FigureTable"/>
        <w:tblW w:type="auto" w:w="0"/>
        <w:tblLook w:firstRow="0" w:lastRow="0" w:firstColumn="0" w:lastColumn="0"/>
        <w:jc w:val="center"/>
      </w:tblPr>
      <w:tblGrid>
        <w:gridCol w:w="7920"/>
      </w:tblGrid>
      <w:tr>
        <w:tc>
          <w:tcPr/>
          <w:p>
            <w:pPr>
              <w:pStyle w:val="Compact"/>
              <w:jc w:val="center"/>
            </w:pPr>
            <w:r>
              <w:t xml:space="preserve">Figure 10. Distribution of vaccine completion stratified by race and ethnicity</w:t>
            </w:r>
          </w:p>
        </w:tc>
      </w:tr>
    </w:tbl>
    <w:p>
      <w:pPr>
        <w:pStyle w:val="ImageCaption"/>
      </w:pPr>
      <w:r>
        <w:t xml:space="preserve">Figure 10. Distribution of vaccine completion stratified by race and ethnicity</w:t>
      </w:r>
    </w:p>
    <w:bookmarkEnd w:id="24"/>
    <w:bookmarkStart w:id="25" w:name="model-and-plot-fitting"/>
    <w:p>
      <w:pPr>
        <w:pStyle w:val="Heading2"/>
      </w:pPr>
      <w:r>
        <w:t xml:space="preserve">2.3 Model and Plot Fitting</w:t>
      </w:r>
    </w:p>
    <w:p>
      <w:pPr>
        <w:pStyle w:val="FirstParagraph"/>
      </w:pPr>
      <w:r>
        <w:t xml:space="preserve">A boxplot is created with income-poverty ratio to vaccination status.</w:t>
      </w:r>
      <w:r>
        <w:t xml:space="preserve"> </w:t>
      </w:r>
      <w:r>
        <w:t xml:space="preserve">The box plot indicates little difference between the two status.</w:t>
      </w:r>
      <w:r>
        <w:t xml:space="preserve"> </w:t>
      </w:r>
      <w:r>
        <w:t xml:space="preserve">A statistical model is fitted to the same variables.</w:t>
      </w:r>
      <w:r>
        <w:t xml:space="preserve"> </w:t>
      </w:r>
      <w:r>
        <w:t xml:space="preserve">A p-value of 0.1358 suggests there is little significance between the income-poverty variable and the vaccination status.</w:t>
      </w:r>
    </w:p>
    <w:tbl>
      <w:tblPr>
        <w:tblStyle w:val="FigureTable"/>
        <w:tblW w:type="auto" w:w="0"/>
        <w:tblLook w:firstRow="0" w:lastRow="0" w:firstColumn="0" w:lastColumn="0"/>
        <w:jc w:val="center"/>
      </w:tblPr>
      <w:tblGrid>
        <w:gridCol w:w="7920"/>
      </w:tblGrid>
      <w:tr>
        <w:tc>
          <w:tcPr/>
          <w:p>
            <w:pPr>
              <w:pStyle w:val="Compact"/>
              <w:jc w:val="center"/>
            </w:pPr>
            <w:r>
              <w:t xml:space="preserve">Figure 11.</w:t>
            </w:r>
          </w:p>
        </w:tc>
      </w:tr>
    </w:tbl>
    <w:p>
      <w:pPr>
        <w:pStyle w:val="ImageCaption"/>
      </w:pPr>
      <w:r>
        <w:t xml:space="preserve">Figure 11.</w:t>
      </w:r>
    </w:p>
    <w:p>
      <w:pPr>
        <w:pStyle w:val="BodyText"/>
      </w:pPr>
      <w:r>
        <w:t xml:space="preserve">A boxplot is created with income-poverty ratio to insurance status.</w:t>
      </w:r>
      <w:r>
        <w:t xml:space="preserve"> </w:t>
      </w:r>
      <w:r>
        <w:t xml:space="preserve">The box plot indicates there are distinct difference between the two status.</w:t>
      </w:r>
      <w:r>
        <w:t xml:space="preserve"> </w:t>
      </w:r>
      <w:r>
        <w:t xml:space="preserve">A statistical model is fitted to the same variables.</w:t>
      </w:r>
      <w:r>
        <w:t xml:space="preserve"> </w:t>
      </w:r>
      <w:r>
        <w:t xml:space="preserve">The p-value of &lt; 2.26e-16 suggests there is statistical significance between the income-poverty variable and the insurance status.</w:t>
      </w:r>
    </w:p>
    <w:tbl>
      <w:tblPr>
        <w:tblStyle w:val="FigureTable"/>
        <w:tblW w:type="auto" w:w="0"/>
        <w:tblLook w:firstRow="0" w:lastRow="0" w:firstColumn="0" w:lastColumn="0"/>
        <w:jc w:val="center"/>
      </w:tblPr>
      <w:tblGrid>
        <w:gridCol w:w="7920"/>
      </w:tblGrid>
      <w:tr>
        <w:tc>
          <w:tcPr/>
          <w:p>
            <w:pPr>
              <w:pStyle w:val="Compact"/>
              <w:jc w:val="center"/>
            </w:pPr>
            <w:r>
              <w:t xml:space="preserve">Figure 12. Income poverty ratio and insurance status</w:t>
            </w:r>
          </w:p>
        </w:tc>
      </w:tr>
    </w:tbl>
    <w:p>
      <w:pPr>
        <w:pStyle w:val="ImageCaption"/>
      </w:pPr>
      <w:r>
        <w:t xml:space="preserve">Figure 12. Income poverty ratio and insurance status</w:t>
      </w:r>
    </w:p>
    <w:p>
      <w:pPr>
        <w:pStyle w:val="BodyText"/>
      </w:pPr>
      <w:r>
        <w:t xml:space="preserve">Income-poverty ratio was fit to vaccine status and insurance status in a multi-linear model.</w:t>
      </w:r>
    </w:p>
    <w:p>
      <w:pPr>
        <w:pStyle w:val="BodyText"/>
      </w:pPr>
      <w:r>
        <w:t xml:space="preserve">A box-plot was created for income-poverty level versus race/ethnicity and this was stratified by vaccine completion (UTD or NOT UTD).</w:t>
      </w:r>
      <w:r>
        <w:t xml:space="preserve"> </w:t>
      </w:r>
      <w:r>
        <w:t xml:space="preserve">A lower income-poverty ratio means the group is closer to the poverty line.</w:t>
      </w:r>
      <w:r>
        <w:t xml:space="preserve"> </w:t>
      </w:r>
      <w:r>
        <w:t xml:space="preserve">For the non-Hispanic black and Hispanic racial and ethnic groups, vaccine completion corresponded with a lower mean income-poverty ratio.</w:t>
      </w:r>
      <w:r>
        <w:t xml:space="preserve"> </w:t>
      </w:r>
      <w:r>
        <w:t xml:space="preserve">For mixed ethnic groups, vaccine completion corresponded with a higher mean income-poverty ratio.</w:t>
      </w:r>
    </w:p>
    <w:tbl>
      <w:tblPr>
        <w:tblStyle w:val="FigureTable"/>
        <w:tblW w:type="auto" w:w="0"/>
        <w:tblLook w:firstRow="0" w:lastRow="0" w:firstColumn="0" w:lastColumn="0"/>
        <w:jc w:val="center"/>
      </w:tblPr>
      <w:tblGrid>
        <w:gridCol w:w="7920"/>
      </w:tblGrid>
      <w:tr>
        <w:tc>
          <w:tcPr/>
          <w:p>
            <w:pPr>
              <w:pStyle w:val="Compact"/>
              <w:jc w:val="center"/>
            </w:pPr>
            <w:r>
              <w:t xml:space="preserve">Figure 14. Income-poverty level versus ethnic group</w:t>
            </w:r>
          </w:p>
        </w:tc>
      </w:tr>
    </w:tbl>
    <w:p>
      <w:pPr>
        <w:pStyle w:val="ImageCaption"/>
      </w:pPr>
      <w:r>
        <w:t xml:space="preserve">Figure 14. Income-poverty level versus ethnic group</w:t>
      </w:r>
    </w:p>
    <w:p>
      <w:r>
        <w:br w:type="page"/>
      </w:r>
    </w:p>
    <w:bookmarkEnd w:id="25"/>
    <w:bookmarkEnd w:id="26"/>
    <w:bookmarkStart w:id="27" w:name="analysis"/>
    <w:p>
      <w:pPr>
        <w:pStyle w:val="Heading1"/>
      </w:pPr>
      <w:r>
        <w:t xml:space="preserve">3. Analysis</w:t>
      </w:r>
    </w:p>
    <w:p>
      <w:pPr>
        <w:pStyle w:val="FirstParagraph"/>
      </w:pPr>
      <w:r>
        <w:t xml:space="preserve">We begin with various socioeconomic predictors that interest us.</w:t>
      </w:r>
      <w:r>
        <w:t xml:space="preserve"> </w:t>
      </w:r>
      <w:r>
        <w:t xml:space="preserve">Some of these predictors are a subset of the other, or may be used to describe an overall category.</w:t>
      </w:r>
      <w:r>
        <w:t xml:space="preserve"> </w:t>
      </w:r>
      <w:r>
        <w:t xml:space="preserve">For this reason</w:t>
      </w:r>
    </w:p>
    <w:p>
      <w:pPr>
        <w:pStyle w:val="BodyText"/>
      </w:pPr>
      <w:r>
        <w:t xml:space="preserve">The variables used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w:t>
      </w:r>
      <w:r>
        <w:t xml:space="preserve"> </w:t>
      </w:r>
      <w:r>
        <w:t xml:space="preserve">There are seven potential outcome variables for HPV vaccine completion:</w:t>
      </w:r>
    </w:p>
    <w:tbl>
      <w:tblPr>
        <w:tblStyle w:val="FigureTable"/>
        <w:tblW w:type="auto" w:w="0"/>
        <w:tblLook w:firstRow="0" w:lastRow="0" w:firstColumn="0" w:lastColumn="0"/>
        <w:jc w:val="center"/>
      </w:tblPr>
      <w:tblGrid>
        <w:gridCol w:w="7920"/>
      </w:tblGrid>
      <w:tr>
        <w:tc>
          <w:tcPr/>
          <w:p>
            <w:pPr>
              <w:pStyle w:val="Compact"/>
              <w:jc w:val="center"/>
            </w:pPr>
            <w:r>
              <w:t xml:space="preserve">Table 3. Human Papillomavirus vaccine status variables and meanings.</w:t>
            </w:r>
          </w:p>
        </w:tc>
      </w:tr>
    </w:tbl>
    <w:p>
      <w:pPr>
        <w:pStyle w:val="ImageCaption"/>
      </w:pPr>
      <w:r>
        <w:t xml:space="preserve">Table 3. Human Papillomavirus vaccine status variables and meanings.</w:t>
      </w:r>
    </w:p>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significantly high with a single dose.</w:t>
      </w:r>
      <w:r>
        <w:t xml:space="preserve"> </w:t>
      </w:r>
      <w:r>
        <w:t xml:space="preserve">This recommendation was given with the goal of increasing vaccine coverage in areas with lower vaccine accessibility and availability (13).</w:t>
      </w:r>
      <w:r>
        <w:t xml:space="preserve"> </w:t>
      </w:r>
      <w:r>
        <w:t xml:space="preserve">In September of 2023, PAHO followed suit in recommending a single-dose HPV vaccine regime for the Americas (14).</w:t>
      </w:r>
    </w:p>
    <w:p>
      <w:pPr>
        <w:pStyle w:val="BodyText"/>
      </w:pPr>
      <w:r>
        <w:t xml:space="preserve">The predictor variables we chose to examine are listed below:</w:t>
      </w:r>
    </w:p>
    <w:tbl>
      <w:tblPr>
        <w:tblStyle w:val="FigureTable"/>
        <w:tblW w:type="auto" w:w="0"/>
        <w:tblLook w:firstRow="0" w:lastRow="0" w:firstColumn="0" w:lastColumn="0"/>
        <w:jc w:val="center"/>
      </w:tblPr>
      <w:tblGrid>
        <w:gridCol w:w="7920"/>
      </w:tblGrid>
      <w:tr>
        <w:tc>
          <w:tcPr/>
          <w:p>
            <w:pPr>
              <w:pStyle w:val="Compact"/>
              <w:jc w:val="center"/>
            </w:pPr>
            <w:r>
              <w:t xml:space="preserve">Table 4. Potential predictor variable names and meanings.</w:t>
            </w:r>
          </w:p>
        </w:tc>
      </w:tr>
    </w:tbl>
    <w:p>
      <w:pPr>
        <w:pStyle w:val="ImageCaption"/>
      </w:pPr>
      <w:r>
        <w:t xml:space="preserve">Table 4. Potential predictor variable names and meanings.</w:t>
      </w:r>
    </w:p>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p>
      <w:pPr>
        <w:pStyle w:val="BodyText"/>
      </w:pPr>
      <w:r>
        <w:t xml:space="preserve">To determine which predictor variables will be best suited for a general linear model, I will do a step-wise comparison and then measure the resulting models with AIC and WAIC.</w:t>
      </w:r>
    </w:p>
    <w:bookmarkEnd w:id="27"/>
    <w:bookmarkStart w:id="28" w:name="references"/>
    <w:p>
      <w:pPr>
        <w:pStyle w:val="Heading1"/>
      </w:pPr>
      <w:r>
        <w:t xml:space="preserve">4. References</w:t>
      </w:r>
    </w:p>
    <w:bookmarkEnd w:id="28"/>
    <w:bookmarkStart w:id="29" w:name="references-1"/>
    <w:p>
      <w:pPr>
        <w:pStyle w:val="Heading1"/>
      </w:pPr>
      <w:r>
        <w:t xml:space="preserve">5. References</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https://www.womenshealth.gov/a-z-topics/human-papillomavirus#:~:text=Genital%20HPV%20is%20the%20most,79%20million%20Americans%20have%20HPV.&amp;text=It%20is%20so%20common%20that,some%20point%20in%20their%20lifetime.</w:t>
      </w:r>
    </w:p>
    <w:p>
      <w:pPr>
        <w:numPr>
          <w:ilvl w:val="0"/>
          <w:numId w:val="1001"/>
        </w:numPr>
      </w:pPr>
      <w:r>
        <w:t xml:space="preserve">https://www.health.state.mn.us/data/mcrs/data/qfhpv.html#:~:text=Human%20Papillomavirus%20(HPV)%20is%20a,with%20HPV%20in%20their%20lifetime.&amp;text=Around%2050%20percent%20of%20HPV,HPV%2C%20which%20can%20cause%20cancer.</w:t>
      </w:r>
    </w:p>
    <w:p>
      <w:pPr>
        <w:numPr>
          <w:ilvl w:val="0"/>
          <w:numId w:val="1001"/>
        </w:numPr>
      </w:pPr>
      <w:r>
        <w:t xml:space="preserve">HPV and Cancer. In: National Cancer Institute [Internet]. 1 Mar 2019 [cited 12 Mar 2024]. Available: https://www.cancer.gov/about-cancer/causes-prevention/risk/infectious-agents/hpv-and-cancer</w:t>
      </w:r>
    </w:p>
    <w:p>
      <w:pPr>
        <w:numPr>
          <w:ilvl w:val="0"/>
          <w:numId w:val="1001"/>
        </w:numPr>
      </w:pPr>
      <w:r>
        <w:t xml:space="preserve">https://www.cancer.gov/about-cancer/causes-prevention/risk/infectious-agents/hpv-and-cancer</w:t>
      </w:r>
    </w:p>
    <w:p>
      <w:pPr>
        <w:numPr>
          <w:ilvl w:val="0"/>
          <w:numId w:val="1001"/>
        </w:numPr>
      </w:pPr>
      <w:r>
        <w:t xml:space="preserve">https://www.cdc.gov/vaccines/vpd/hpv/hcp/vaccines.html#:~:text=Vaccine%20Composition,45%2C%2052%2C%20and%2058.</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https://www.cdc.gov/vaccines/vpd/hpv/hcp/recommendations.html#:~:text=Two%20doses%20of%20HPV%20vaccine,third%20dose%20of%20HPV%20vaccine.</w:t>
      </w:r>
    </w:p>
    <w:p>
      <w:pPr>
        <w:numPr>
          <w:ilvl w:val="0"/>
          <w:numId w:val="1001"/>
        </w:numPr>
      </w:pPr>
      <w:r>
        <w:t xml:space="preserve">https://www.cdc.gov/mmwr/volumes/72/wr/mm7234a3.htm#:~:text=In%202022%2C%2089.9%25%20of%20adolescents,HPV%20vaccination%20(HPV%20UTD).</w:t>
      </w:r>
    </w:p>
    <w:p>
      <w:pPr>
        <w:numPr>
          <w:ilvl w:val="0"/>
          <w:numId w:val="1001"/>
        </w:numPr>
      </w:pPr>
      <w:r>
        <w:t xml:space="preserve">Sciences, N. A. of, Engineering, &amp; Medicine, and. (2018, March 1). Factors that affect health-care utilization. Health-Care Utilization as a Proxy in Disability Determination. https://www.ncbi.nlm.nih.gov/books/NBK500097/</w:t>
      </w:r>
    </w:p>
    <w:p>
      <w:pPr>
        <w:numPr>
          <w:ilvl w:val="0"/>
          <w:numId w:val="1001"/>
        </w:numPr>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Pr>
      <w:r>
        <w:t xml:space="preserve">Casey, R. M., Akaba, H., Hyde, T. B, et al. (2024). Covid-19 pandemic and equity of global human papillomavirus vaccination: descriptive study of World Health Organization-Unicef vaccination coverage estimates. BMJ Medicine, 3, 000726. doi: 10.1136/bmjmed-2023-000726</w:t>
      </w:r>
    </w:p>
    <w:p>
      <w:pPr>
        <w:numPr>
          <w:ilvl w:val="0"/>
          <w:numId w:val="1001"/>
        </w:numPr>
      </w:pPr>
      <w:r>
        <w:t xml:space="preserve">https://www.who.int/news/item/20-12-2022-WHO-updates-recommendations-on-HPV-vaccination-schedule</w:t>
      </w:r>
    </w:p>
    <w:p>
      <w:pPr>
        <w:numPr>
          <w:ilvl w:val="0"/>
          <w:numId w:val="1001"/>
        </w:numPr>
      </w:pPr>
      <w:r>
        <w:t xml:space="preserve">https://www.paho.org/en/news/5-9-2023-paho-technical-advisory-group-recommends-countries-americas-use-single-dose-hpv</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2024-04-02T03:43:37Z</dcterms:created>
  <dcterms:modified xsi:type="dcterms:W3CDTF">2024-04-02T03:43:37Z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2024-04-01</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