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p>
    <w:p>
      <w:pPr>
        <w:spacing w:after="200"/>
        <w:jc w:val="center"/>
      </w:pPr>
      <w:r>
        <w:rPr>
          <w:rFonts w:ascii="Arial" w:cs="Arial" w:eastAsia="Arial" w:hAnsi="Arial"/>
          <w:b/>
          <w:bCs/>
          <w:color w:val="1B365D"/>
          <w:sz w:val="44"/>
          <w:szCs w:val="44"/>
        </w:rPr>
        <w:t xml:space="preserve">NEXUS UNIVERSAL COLLECTIBLES SYSTEM</w:t>
      </w:r>
    </w:p>
    <w:p>
      <w:pPr>
        <w:spacing w:after="600"/>
        <w:jc w:val="center"/>
      </w:pPr>
      <w:r>
        <w:rPr>
          <w:rFonts w:ascii="Arial" w:cs="Arial" w:eastAsia="Arial" w:hAnsi="Arial"/>
          <w:color w:val="2E5090"/>
          <w:sz w:val="36"/>
          <w:szCs w:val="36"/>
        </w:rPr>
        <w:t xml:space="preserve">Defensive Legal Strategy</w:t>
      </w:r>
    </w:p>
    <w:p>
      <w:pPr>
        <w:spacing w:after="100"/>
        <w:jc w:val="center"/>
      </w:pPr>
      <w:r>
        <w:rPr>
          <w:rFonts w:ascii="Arial" w:cs="Arial" w:eastAsia="Arial" w:hAnsi="Arial"/>
          <w:color w:val="666666"/>
          <w:sz w:val="28"/>
          <w:szCs w:val="28"/>
        </w:rPr>
        <w:t xml:space="preserve">Against PSA / Collectors Holdings</w:t>
      </w:r>
    </w:p>
    <w:p>
      <w:pPr>
        <w:pBdr>
          <w:bottom w:val="single" w:color="1B365D" w:sz="8" w:space="8"/>
        </w:pBdr>
        <w:spacing w:after="800"/>
        <w:jc w:val="center"/>
      </w:pPr>
    </w:p>
    <w:p>
      <w:pPr>
        <w:spacing w:after="100"/>
        <w:jc w:val="center"/>
      </w:pPr>
      <w:r>
        <w:rPr>
          <w:rFonts w:ascii="Arial" w:cs="Arial" w:eastAsia="Arial" w:hAnsi="Arial"/>
          <w:color w:val="333333"/>
          <w:sz w:val="22"/>
          <w:szCs w:val="22"/>
        </w:rPr>
        <w:t xml:space="preserve">Prepared by: Jaques — Patent Attorney &amp; Strategic Warfare Architect</w:t>
      </w:r>
    </w:p>
    <w:p>
      <w:pPr>
        <w:spacing w:after="100"/>
        <w:jc w:val="center"/>
      </w:pPr>
      <w:r>
        <w:rPr>
          <w:rFonts w:ascii="Arial" w:cs="Arial" w:eastAsia="Arial" w:hAnsi="Arial"/>
          <w:color w:val="333333"/>
          <w:sz w:val="22"/>
          <w:szCs w:val="22"/>
        </w:rPr>
        <w:t xml:space="preserve">For: Kevin Caracozza, Founder &amp; CEO</w:t>
      </w:r>
    </w:p>
    <w:p>
      <w:pPr>
        <w:spacing w:after="100"/>
        <w:jc w:val="center"/>
      </w:pPr>
      <w:r>
        <w:rPr>
          <w:rFonts w:ascii="Arial" w:cs="Arial" w:eastAsia="Arial" w:hAnsi="Arial"/>
          <w:color w:val="333333"/>
          <w:sz w:val="22"/>
          <w:szCs w:val="22"/>
        </w:rPr>
        <w:t xml:space="preserve">Date: March 2, 2026</w:t>
      </w:r>
    </w:p>
    <w:p>
      <w:pPr>
        <w:spacing w:after="100"/>
        <w:jc w:val="center"/>
      </w:pPr>
      <w:r>
        <w:rPr>
          <w:rFonts w:ascii="Arial" w:cs="Arial" w:eastAsia="Arial" w:hAnsi="Arial"/>
          <w:b/>
          <w:bCs/>
          <w:color w:val="CC0000"/>
          <w:sz w:val="20"/>
          <w:szCs w:val="20"/>
        </w:rPr>
        <w:t xml:space="preserve">Classification: CONFIDENTIAL — ATTORNEY-CLIENT PRIVILEGE</w:t>
      </w:r>
    </w:p>
    <w:p>
      <w:pPr>
        <w:spacing w:after="100"/>
        <w:jc w:val="center"/>
      </w:pPr>
      <w:r>
        <w:rPr>
          <w:rFonts w:ascii="Arial" w:cs="Arial" w:eastAsia="Arial" w:hAnsi="Arial"/>
          <w:color w:val="999999"/>
          <w:sz w:val="18"/>
          <w:szCs w:val="18"/>
        </w:rPr>
        <w:t xml:space="preserve">Document ID: NEXUS-LEGAL-2026-001</w:t>
      </w:r>
    </w:p>
    <w:p>
      <w:r>
        <w:br w:type="page"/>
      </w:r>
    </w:p>
    <w:p>
      <w:pPr>
        <w:pStyle w:val="Heading1"/>
      </w:pPr>
      <w:r>
        <w:t xml:space="preserve">Executive Summary</w:t>
      </w:r>
    </w:p>
    <w:p>
      <w:pPr>
        <w:spacing w:after="200"/>
      </w:pPr>
      <w:r>
        <w:t xml:space="preserve">This document establishes NEXUS’s defensive legal posture against potential litigation from PSA (Professional Sports Authenticator) and its parent company, Collectors Holdings, valued at approximately $3 billion. PSA has a documented history of using aggressive litigation to suppress emerging competitors in the collectibles authentication space. This strategy leverages NEXUS’s 117 patent claims, comprehensive digital provenance infrastructure, and blockchain-certified audit trails to create a legal position where initiating litigation against NEXUS carries more risk for PSA than the status quo.</w:t>
      </w:r>
    </w:p>
    <w:p>
      <w:pPr>
        <w:spacing w:after="200"/>
      </w:pPr>
      <w:r>
        <w:t xml:space="preserve">The core thesis is simple: </w:t>
      </w:r>
      <w:r>
        <w:rPr>
          <w:b/>
          <w:bCs/>
        </w:rPr>
        <w:t xml:space="preserve">NEXUS does not compete with PSA’s grading service. NEXUS is infrastructure. </w:t>
      </w:r>
      <w:r>
        <w:t xml:space="preserve">Attacking infrastructure that serves the entire market, including PSA’s own customers, is a strategically disadvantageous position for any plaintiff.</w:t>
      </w:r>
    </w:p>
    <w:p>
      <w:pPr>
        <w:pStyle w:val="Heading1"/>
      </w:pPr>
      <w:r>
        <w:t xml:space="preserve">1. Threat Assessment: PSA/Collectors Holdings</w:t>
      </w:r>
    </w:p>
    <w:p>
      <w:pPr>
        <w:pStyle w:val="Heading2"/>
      </w:pPr>
      <w:r>
        <w:t xml:space="preserve">1.1 Entity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single" w:color="999999"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240"/>
            <w:tcBorders>
              <w:top w:val="single" w:color="999999" w:sz="1"/>
              <w:left w:val="single" w:color="999999" w:sz="1"/>
              <w:bottom w:val="single" w:color="999999" w:sz="1"/>
              <w:right w:val="single" w:color="999999"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Parent Company</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Collectors Holdings (formerly Collectors Universe)</w:t>
            </w:r>
          </w:p>
        </w:tc>
      </w:tr>
      <w:tr>
        <w:tc>
          <w:tcPr>
            <w:tcW w:type="dxa" w:w="312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Valuation</w:t>
            </w:r>
          </w:p>
        </w:tc>
        <w:tc>
          <w:tcPr>
            <w:tcW w:type="dxa" w:w="624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~$3 billion (2021 acquisition by Nat Turner/Cohen Private Ventures)</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Annual Revenue</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Estimated $500M+ (grading fees, memberships, events)</w:t>
            </w:r>
          </w:p>
        </w:tc>
      </w:tr>
      <w:tr>
        <w:tc>
          <w:tcPr>
            <w:tcW w:type="dxa" w:w="312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Legal Budget</w:t>
            </w:r>
          </w:p>
        </w:tc>
        <w:tc>
          <w:tcPr>
            <w:tcW w:type="dxa" w:w="624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Estimated $20-50M annually (dedicated in-house + outside counsel)</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Primary Revenue</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Per-card grading fees ($20-150+ per card, volume-dependent)</w:t>
            </w:r>
          </w:p>
        </w:tc>
      </w:tr>
      <w:tr>
        <w:tc>
          <w:tcPr>
            <w:tcW w:type="dxa" w:w="312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Market Position</w:t>
            </w:r>
          </w:p>
        </w:tc>
        <w:tc>
          <w:tcPr>
            <w:tcW w:type="dxa" w:w="624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Dominant grading authority; brand value = consumer trust</w:t>
            </w:r>
          </w:p>
        </w:tc>
      </w:tr>
      <w:tr>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Known Subsidiaries</w:t>
            </w:r>
          </w:p>
        </w:tc>
        <w:tc>
          <w:tcPr>
            <w:tcW w:type="dxa" w:w="62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PSA, PCGS (coins), Wata Games, Goldin Auctions, PWCC</w:t>
            </w:r>
          </w:p>
        </w:tc>
      </w:tr>
    </w:tbl>
    <w:p>
      <w:pPr>
        <w:pStyle w:val="Heading2"/>
        <w:spacing w:before="300"/>
      </w:pPr>
      <w:r>
        <w:t xml:space="preserve">1.2 PSA’s Litigation Playbook</w:t>
      </w:r>
    </w:p>
    <w:p>
      <w:pPr>
        <w:spacing w:after="120"/>
      </w:pPr>
      <w:r>
        <w:t xml:space="preserve">PSA’s historical litigation strategy follows a predictable pattern designed to exhaust smaller competitors financially before cases reach merit-based adjudication:</w:t>
      </w:r>
    </w:p>
    <w:p>
      <w:pPr>
        <w:pStyle w:val="ListParagraph"/>
        <w:numPr>
          <w:ilvl w:val="0"/>
          <w:numId w:val="2"/>
        </w:numPr>
        <w:spacing w:after="80"/>
      </w:pPr>
      <w:r>
        <w:rPr>
          <w:b/>
          <w:bCs/>
        </w:rPr>
        <w:t xml:space="preserve">Trademark Claims: </w:t>
      </w:r>
      <w:r>
        <w:t xml:space="preserve">Alleging confusion with PSA grading scales, terminology, or label design. Low burden to file, high cost to defend.</w:t>
      </w:r>
    </w:p>
    <w:p>
      <w:pPr>
        <w:pStyle w:val="ListParagraph"/>
        <w:numPr>
          <w:ilvl w:val="0"/>
          <w:numId w:val="2"/>
        </w:numPr>
        <w:spacing w:after="80"/>
      </w:pPr>
      <w:r>
        <w:rPr>
          <w:b/>
          <w:bCs/>
        </w:rPr>
        <w:t xml:space="preserve">Trade Dress Claims: </w:t>
      </w:r>
      <w:r>
        <w:t xml:space="preserve">Asserting that authentication labels, slab designs, or certification aesthetics create market confusion.</w:t>
      </w:r>
    </w:p>
    <w:p>
      <w:pPr>
        <w:pStyle w:val="ListParagraph"/>
        <w:numPr>
          <w:ilvl w:val="0"/>
          <w:numId w:val="2"/>
        </w:numPr>
        <w:spacing w:after="80"/>
      </w:pPr>
      <w:r>
        <w:rPr>
          <w:b/>
          <w:bCs/>
        </w:rPr>
        <w:t xml:space="preserve">Defamation/Disparagement: </w:t>
      </w:r>
      <w:r>
        <w:t xml:space="preserve">Filing suit when competitors publish data suggesting PSA grading inconsistency. This is the most dangerous vector for NEXUS given our pre-grading provenance system.</w:t>
      </w:r>
    </w:p>
    <w:p>
      <w:pPr>
        <w:pStyle w:val="ListParagraph"/>
        <w:numPr>
          <w:ilvl w:val="0"/>
          <w:numId w:val="2"/>
        </w:numPr>
        <w:spacing w:after="80"/>
      </w:pPr>
      <w:r>
        <w:rPr>
          <w:b/>
          <w:bCs/>
        </w:rPr>
        <w:t xml:space="preserve">Tortious Interference: </w:t>
      </w:r>
      <w:r>
        <w:t xml:space="preserve">Claiming NEXUS diverts customers from PSA’s grading pipeline.</w:t>
      </w:r>
    </w:p>
    <w:p>
      <w:pPr>
        <w:pStyle w:val="ListParagraph"/>
        <w:numPr>
          <w:ilvl w:val="0"/>
          <w:numId w:val="2"/>
        </w:numPr>
        <w:spacing w:after="200"/>
      </w:pPr>
      <w:r>
        <w:rPr>
          <w:b/>
          <w:bCs/>
        </w:rPr>
        <w:t xml:space="preserve">Financial Attrition: </w:t>
      </w:r>
      <w:r>
        <w:t xml:space="preserve">The unspoken strategy. File multiple claims, force expensive discovery, demand depositions across jurisdictions. Victory through bankruptcy, not judgment.</w:t>
      </w:r>
    </w:p>
    <w:p>
      <w:pPr>
        <w:pStyle w:val="Heading2"/>
      </w:pPr>
      <w:r>
        <w:t xml:space="preserve">1.3 PSA’s Vulnerability Assessment</w:t>
      </w:r>
    </w:p>
    <w:p>
      <w:pPr>
        <w:spacing w:after="120"/>
      </w:pPr>
      <w:r>
        <w:t xml:space="preserve">Despite their financial superiority, PSA has significant structural vulnerabilities:</w:t>
      </w:r>
    </w:p>
    <w:p>
      <w:pPr>
        <w:pStyle w:val="ListParagraph"/>
        <w:numPr>
          <w:ilvl w:val="0"/>
          <w:numId w:val="2"/>
        </w:numPr>
        <w:spacing w:after="80"/>
      </w:pPr>
      <w:r>
        <w:rPr>
          <w:b/>
          <w:bCs/>
        </w:rPr>
        <w:t xml:space="preserve">Grading Inconsistency: </w:t>
      </w:r>
      <w:r>
        <w:t xml:space="preserve">Widely documented in collector communities. The same card submitted twice frequently receives different grades. NEXUS’s pre-grading provenance system will quantify this with immutable data.</w:t>
      </w:r>
    </w:p>
    <w:p>
      <w:pPr>
        <w:pStyle w:val="ListParagraph"/>
        <w:numPr>
          <w:ilvl w:val="0"/>
          <w:numId w:val="2"/>
        </w:numPr>
        <w:spacing w:after="80"/>
      </w:pPr>
      <w:r>
        <w:rPr>
          <w:b/>
          <w:bCs/>
        </w:rPr>
        <w:t xml:space="preserve">Trust Dependency: </w:t>
      </w:r>
      <w:r>
        <w:t xml:space="preserve">PSA’s entire business model depends on market trust in their grading authority. Any data that systematically undermines that trust threatens their revenue.</w:t>
      </w:r>
    </w:p>
    <w:p>
      <w:pPr>
        <w:pStyle w:val="ListParagraph"/>
        <w:numPr>
          <w:ilvl w:val="0"/>
          <w:numId w:val="2"/>
        </w:numPr>
        <w:spacing w:after="80"/>
      </w:pPr>
      <w:r>
        <w:rPr>
          <w:b/>
          <w:bCs/>
        </w:rPr>
        <w:t xml:space="preserve">No Patent Portfolio: </w:t>
      </w:r>
      <w:r>
        <w:t xml:space="preserve">PSA has no known patent portfolio covering their grading methodology. They cannot countersue on patent grounds.</w:t>
      </w:r>
    </w:p>
    <w:p>
      <w:pPr>
        <w:pStyle w:val="ListParagraph"/>
        <w:numPr>
          <w:ilvl w:val="0"/>
          <w:numId w:val="2"/>
        </w:numPr>
        <w:spacing w:after="80"/>
      </w:pPr>
      <w:r>
        <w:rPr>
          <w:b/>
          <w:bCs/>
        </w:rPr>
        <w:t xml:space="preserve">Discovery Exposure: </w:t>
      </w:r>
      <w:r>
        <w:t xml:space="preserve">If PSA sues NEXUS, discovery opens PSA’s internal grading data to examination. Their inconsistency becomes court record.</w:t>
      </w:r>
    </w:p>
    <w:p>
      <w:pPr>
        <w:pStyle w:val="ListParagraph"/>
        <w:numPr>
          <w:ilvl w:val="0"/>
          <w:numId w:val="2"/>
        </w:numPr>
        <w:spacing w:after="200"/>
      </w:pPr>
      <w:r>
        <w:rPr>
          <w:b/>
          <w:bCs/>
        </w:rPr>
        <w:t xml:space="preserve">Streisand Effect: </w:t>
      </w:r>
      <w:r>
        <w:t xml:space="preserve">Suing a small startup for building better technology generates negative press. The collectibles community is vocal and connected.</w:t>
      </w:r>
    </w:p>
    <w:p>
      <w:r>
        <w:br w:type="page"/>
      </w:r>
    </w:p>
    <w:p>
      <w:pPr>
        <w:pStyle w:val="Heading1"/>
      </w:pPr>
      <w:r>
        <w:t xml:space="preserve">2. NEXUS Defensive Arsenal</w:t>
      </w:r>
    </w:p>
    <w:p>
      <w:pPr>
        <w:pStyle w:val="Heading2"/>
      </w:pPr>
      <w:r>
        <w:t xml:space="preserve">2.1 The 117-Claim Patent Fortress</w:t>
      </w:r>
    </w:p>
    <w:p>
      <w:pPr>
        <w:spacing w:after="200"/>
      </w:pPr>
      <w:r>
        <w:t xml:space="preserve">NEXUS’s provisional patent application, filed November 27, 2025, contains 117 claims across hardware, software, AI/ML methodology, marketplace integration, and authentication systems. This portfolio serves dual defensive and offensive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999999" w:sz="1"/>
              <w:left w:val="single" w:color="999999" w:sz="1"/>
              <w:bottom w:val="single" w:color="999999" w:sz="1"/>
              <w:right w:val="single" w:color="999999"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3510"/>
            <w:tcBorders>
              <w:top w:val="single" w:color="999999" w:sz="1"/>
              <w:left w:val="single" w:color="999999" w:sz="1"/>
              <w:bottom w:val="single" w:color="999999" w:sz="1"/>
              <w:right w:val="single" w:color="999999"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Defensive Application</w:t>
            </w:r>
          </w:p>
        </w:tc>
        <w:tc>
          <w:tcPr>
            <w:tcW w:type="dxa" w:w="3510"/>
            <w:tcBorders>
              <w:top w:val="single" w:color="999999" w:sz="1"/>
              <w:left w:val="single" w:color="999999" w:sz="1"/>
              <w:bottom w:val="single" w:color="999999" w:sz="1"/>
              <w:right w:val="single" w:color="999999"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Offensive Application</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Shield</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Any PSA lawsuit triggers counterclaims for patent infringement if PSA builds competing scanning/authentication technology</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Forces PSA into multi-front legal battle they didn’t plan for</w:t>
            </w:r>
          </w:p>
        </w:tc>
      </w:tr>
      <w:tr>
        <w:tc>
          <w:tcPr>
            <w:tcW w:type="dxa" w:w="234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Deterrent</w:t>
            </w:r>
          </w:p>
        </w:tc>
        <w:tc>
          <w:tcPr>
            <w:tcW w:type="dxa" w:w="351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PSA’s legal team must evaluate 117 claims before recommending litigation; cost of analysis alone is significant</w:t>
            </w:r>
          </w:p>
        </w:tc>
        <w:tc>
          <w:tcPr>
            <w:tcW w:type="dxa" w:w="351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Creates “minefield” that makes pre-litigation assessment expensive</w:t>
            </w:r>
          </w:p>
        </w:tc>
      </w:tr>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Licensing Lever</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Settlement framework: cross-license agreement positions NEXUS as partner, not target</w:t>
            </w:r>
          </w:p>
        </w:tc>
        <w:tc>
          <w:tcPr>
            <w:tcW w:type="dxa" w:w="351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If PSA wants scanning tech, they license from NEXUS or infringe</w:t>
            </w:r>
          </w:p>
        </w:tc>
      </w:tr>
    </w:tbl>
    <w:p>
      <w:pPr>
        <w:pStyle w:val="Heading3"/>
        <w:spacing w:before="300"/>
      </w:pPr>
      <w:r>
        <w:t xml:space="preserve">Nuclear Claims Against PSA</w:t>
      </w:r>
    </w:p>
    <w:p>
      <w:pPr>
        <w:spacing w:after="120"/>
      </w:pPr>
      <w:r>
        <w:t xml:space="preserve">The following claims are specifically relevant in a PSA confrontation:</w:t>
      </w:r>
    </w:p>
    <w:p>
      <w:pPr>
        <w:pStyle w:val="ListParagraph"/>
        <w:numPr>
          <w:ilvl w:val="0"/>
          <w:numId w:val="2"/>
        </w:numPr>
        <w:spacing w:after="80"/>
      </w:pPr>
      <w:r>
        <w:rPr>
          <w:b/>
          <w:bCs/>
        </w:rPr>
        <w:t xml:space="preserve">Claim 90 (The Offensive Weapon): </w:t>
      </w:r>
      <w:r>
        <w:t xml:space="preserve">Covers apparatus for reading third-party graded collectibles where the apparatus produces superior image quality compared to the original grading entity’s documentation. This directly enables NEXUS to photograph PSA-graded cards at higher quality than PSA’s own records.</w:t>
      </w:r>
    </w:p>
    <w:p>
      <w:pPr>
        <w:pStyle w:val="ListParagraph"/>
        <w:numPr>
          <w:ilvl w:val="0"/>
          <w:numId w:val="2"/>
        </w:numPr>
        <w:spacing w:after="80"/>
      </w:pPr>
      <w:r>
        <w:rPr>
          <w:b/>
          <w:bCs/>
        </w:rPr>
        <w:t xml:space="preserve">Claim 101 (Auditing the Auditors): </w:t>
      </w:r>
      <w:r>
        <w:t xml:space="preserve">Covers a system for monitoring and analyzing grading consistency across third-party collectible certification services. This is the provenance claim. It positions NEXUS as the de facto quality control authority over the professional grading industry.</w:t>
      </w:r>
    </w:p>
    <w:p>
      <w:pPr>
        <w:pStyle w:val="ListParagraph"/>
        <w:numPr>
          <w:ilvl w:val="0"/>
          <w:numId w:val="2"/>
        </w:numPr>
        <w:spacing w:after="80"/>
      </w:pPr>
      <w:r>
        <w:rPr>
          <w:b/>
          <w:bCs/>
        </w:rPr>
        <w:t xml:space="preserve">Claim 100 (The Death Star): </w:t>
      </w:r>
      <w:r>
        <w:t xml:space="preserve">The comprehensive system claim covering full collectible lifecycle management with interlocking patent claims that cannot be replicated without infringement.</w:t>
      </w:r>
    </w:p>
    <w:p>
      <w:pPr>
        <w:pStyle w:val="ListParagraph"/>
        <w:numPr>
          <w:ilvl w:val="0"/>
          <w:numId w:val="2"/>
        </w:numPr>
        <w:spacing w:after="200"/>
      </w:pPr>
      <w:r>
        <w:rPr>
          <w:b/>
          <w:bCs/>
        </w:rPr>
        <w:t xml:space="preserve">Claim 99 (Network Intelligence): </w:t>
      </w:r>
      <w:r>
        <w:t xml:space="preserve">Patents the network effect of multiple retail scanning stations sharing authentication data. Anyone building a competing multi-shop scanning network infringes.</w:t>
      </w:r>
    </w:p>
    <w:p>
      <w:pPr>
        <w:pStyle w:val="Heading2"/>
      </w:pPr>
      <w:r>
        <w:t xml:space="preserve">2.2 Digital Provenance Infrastructure</w:t>
      </w:r>
    </w:p>
    <w:p>
      <w:pPr>
        <w:spacing w:after="200"/>
      </w:pPr>
      <w:r>
        <w:t xml:space="preserve">Every action in the NEXUS ecosystem generates timestamped, immutable records. This creates a forensic trail that serves as both product feature and legal defense:</w:t>
      </w:r>
    </w:p>
    <w:p>
      <w:pPr>
        <w:pStyle w:val="ListParagraph"/>
        <w:numPr>
          <w:ilvl w:val="0"/>
          <w:numId w:val="2"/>
        </w:numPr>
        <w:spacing w:after="80"/>
      </w:pPr>
      <w:r>
        <w:rPr>
          <w:b/>
          <w:bCs/>
        </w:rPr>
        <w:t xml:space="preserve">Git History: </w:t>
      </w:r>
      <w:r>
        <w:t xml:space="preserve">1M+ lines of code with commit-level timestamps proving independent creation. No PSA trade secrets, no reverse engineering, no copying.</w:t>
      </w:r>
    </w:p>
    <w:p>
      <w:pPr>
        <w:pStyle w:val="ListParagraph"/>
        <w:numPr>
          <w:ilvl w:val="0"/>
          <w:numId w:val="2"/>
        </w:numPr>
        <w:spacing w:after="80"/>
      </w:pPr>
      <w:r>
        <w:rPr>
          <w:b/>
          <w:bCs/>
        </w:rPr>
        <w:t xml:space="preserve">AI Conversation Logs: </w:t>
      </w:r>
      <w:r>
        <w:t xml:space="preserve">Every development conversation with Mendel, Clouse, Jaques, and LOUIE is logged and timestamped. Complete ideation trail from concept to implementation.</w:t>
      </w:r>
    </w:p>
    <w:p>
      <w:pPr>
        <w:pStyle w:val="ListParagraph"/>
        <w:numPr>
          <w:ilvl w:val="0"/>
          <w:numId w:val="2"/>
        </w:numPr>
        <w:spacing w:after="80"/>
      </w:pPr>
      <w:r>
        <w:rPr>
          <w:b/>
          <w:bCs/>
        </w:rPr>
        <w:t xml:space="preserve">Blockchain Certifications: </w:t>
      </w:r>
      <w:r>
        <w:t xml:space="preserve">Polygon-based certification creates immutable records of every authentication event. Cannot be altered, deleted, or disputed after creation.</w:t>
      </w:r>
    </w:p>
    <w:p>
      <w:pPr>
        <w:pStyle w:val="ListParagraph"/>
        <w:numPr>
          <w:ilvl w:val="0"/>
          <w:numId w:val="2"/>
        </w:numPr>
        <w:spacing w:after="80"/>
      </w:pPr>
      <w:r>
        <w:rPr>
          <w:b/>
          <w:bCs/>
        </w:rPr>
        <w:t xml:space="preserve">48MP Photographic Evidence: </w:t>
      </w:r>
      <w:r>
        <w:t xml:space="preserve">Every scan produces archival-quality imagery at resolution exceeding PSA’s own documentation standards. Photographic proof of card condition at time of scan.</w:t>
      </w:r>
    </w:p>
    <w:p>
      <w:pPr>
        <w:pStyle w:val="ListParagraph"/>
        <w:numPr>
          <w:ilvl w:val="0"/>
          <w:numId w:val="2"/>
        </w:numPr>
        <w:spacing w:after="200"/>
      </w:pPr>
      <w:r>
        <w:rPr>
          <w:b/>
          <w:bCs/>
        </w:rPr>
        <w:t xml:space="preserve">Patent Filing Date: </w:t>
      </w:r>
      <w:r>
        <w:t xml:space="preserve">November 27, 2025 establishes prior art on all 117 claims. Conversion deadline November 27, 2026.</w:t>
      </w:r>
    </w:p>
    <w:p>
      <w:pPr>
        <w:pStyle w:val="Heading2"/>
      </w:pPr>
      <w:r>
        <w:t xml:space="preserve">2.3 The Infrastructure Defense</w:t>
      </w:r>
    </w:p>
    <w:p>
      <w:pPr>
        <w:spacing w:after="200"/>
      </w:pPr>
      <w:r>
        <w:t xml:space="preserve">The single most important legal positioning: </w:t>
      </w:r>
      <w:r>
        <w:rPr>
          <w:b/>
          <w:bCs/>
        </w:rPr>
        <w:t xml:space="preserve">NEXUS is infrastructure, not a grading competitor. </w:t>
      </w:r>
      <w:r>
        <w:t xml:space="preserve">NEXUS does not assign grades. NEXUS does not compete with PSA’s grading service. NEXUS provides scanning, inventory management, and market data tools that card shop owners and collectors use to manage their businesses. This distinction is critical because:</w:t>
      </w:r>
    </w:p>
    <w:p>
      <w:pPr>
        <w:pStyle w:val="ListParagraph"/>
        <w:numPr>
          <w:ilvl w:val="0"/>
          <w:numId w:val="3"/>
        </w:numPr>
        <w:spacing w:after="80"/>
      </w:pPr>
      <w:r>
        <w:t xml:space="preserve">Trademark claims fail when products serve fundamentally different market functions</w:t>
      </w:r>
    </w:p>
    <w:p>
      <w:pPr>
        <w:pStyle w:val="ListParagraph"/>
        <w:numPr>
          <w:ilvl w:val="0"/>
          <w:numId w:val="3"/>
        </w:numPr>
        <w:spacing w:after="80"/>
      </w:pPr>
      <w:r>
        <w:t xml:space="preserve">Tortious interference requires competitive relationship; infrastructure serves all players including PSA customers</w:t>
      </w:r>
    </w:p>
    <w:p>
      <w:pPr>
        <w:pStyle w:val="ListParagraph"/>
        <w:numPr>
          <w:ilvl w:val="0"/>
          <w:numId w:val="3"/>
        </w:numPr>
        <w:spacing w:after="80"/>
      </w:pPr>
      <w:r>
        <w:t xml:space="preserve">Defamation requires false statements; NEXUS publishes data, not opinions</w:t>
      </w:r>
    </w:p>
    <w:p>
      <w:pPr>
        <w:pStyle w:val="ListParagraph"/>
        <w:numPr>
          <w:ilvl w:val="0"/>
          <w:numId w:val="3"/>
        </w:numPr>
        <w:spacing w:after="200"/>
      </w:pPr>
      <w:r>
        <w:t xml:space="preserve">Antitrust exposure: PSA suing an infrastructure provider could trigger antitrust scrutiny of PSA’s market dominance</w:t>
      </w:r>
    </w:p>
    <w:p>
      <w:r>
        <w:br w:type="page"/>
      </w:r>
    </w:p>
    <w:p>
      <w:pPr>
        <w:pStyle w:val="Heading1"/>
      </w:pPr>
      <w:r>
        <w:t xml:space="preserve">3. Response Playbook: If PSA Sues</w:t>
      </w:r>
    </w:p>
    <w:p>
      <w:pPr>
        <w:pStyle w:val="Heading2"/>
      </w:pPr>
      <w:r>
        <w:t xml:space="preserve">3.1 Immediate Response (Days 1-7)</w:t>
      </w:r>
    </w:p>
    <w:p>
      <w:pPr>
        <w:pStyle w:val="ListParagraph"/>
        <w:numPr>
          <w:ilvl w:val="0"/>
          <w:numId w:val="3"/>
        </w:numPr>
        <w:spacing w:after="80"/>
      </w:pPr>
      <w:r>
        <w:rPr>
          <w:b/>
          <w:bCs/>
        </w:rPr>
        <w:t xml:space="preserve">Do not respond publicly. </w:t>
      </w:r>
      <w:r>
        <w:t xml:space="preserve">No social media, no press statements, no forum posts. Silence is strength.</w:t>
      </w:r>
    </w:p>
    <w:p>
      <w:pPr>
        <w:pStyle w:val="ListParagraph"/>
        <w:numPr>
          <w:ilvl w:val="0"/>
          <w:numId w:val="3"/>
        </w:numPr>
        <w:spacing w:after="80"/>
      </w:pPr>
      <w:r>
        <w:rPr>
          <w:b/>
          <w:bCs/>
        </w:rPr>
        <w:t xml:space="preserve">Engage IP litigation counsel immediately. </w:t>
      </w:r>
      <w:r>
        <w:t xml:space="preserve">Contingency-fee patent attorneys will evaluate NEXUS’s counterclaim potential. If PSA infringes any NEXUS claims, attorneys take the case for a percentage of recovery.</w:t>
      </w:r>
    </w:p>
    <w:p>
      <w:pPr>
        <w:pStyle w:val="ListParagraph"/>
        <w:numPr>
          <w:ilvl w:val="0"/>
          <w:numId w:val="3"/>
        </w:numPr>
        <w:spacing w:after="80"/>
      </w:pPr>
      <w:r>
        <w:rPr>
          <w:b/>
          <w:bCs/>
        </w:rPr>
        <w:t xml:space="preserve">Preserve all evidence. </w:t>
      </w:r>
      <w:r>
        <w:t xml:space="preserve">Issue litigation hold on all systems. Git repos, conversation logs, blockchain records, scan data—nothing gets deleted or modified.</w:t>
      </w:r>
    </w:p>
    <w:p>
      <w:pPr>
        <w:pStyle w:val="ListParagraph"/>
        <w:numPr>
          <w:ilvl w:val="0"/>
          <w:numId w:val="3"/>
        </w:numPr>
        <w:spacing w:after="80"/>
      </w:pPr>
      <w:r>
        <w:rPr>
          <w:b/>
          <w:bCs/>
        </w:rPr>
        <w:t xml:space="preserve">Identify counterclaims. </w:t>
      </w:r>
      <w:r>
        <w:t xml:space="preserve">Review PSA’s products against all 117 patent claims. If PSA has built or announced any scanning, AI identification, or digital authentication technology, they likely infringe.</w:t>
      </w:r>
    </w:p>
    <w:p>
      <w:pPr>
        <w:pStyle w:val="ListParagraph"/>
        <w:numPr>
          <w:ilvl w:val="0"/>
          <w:numId w:val="3"/>
        </w:numPr>
        <w:spacing w:after="200"/>
      </w:pPr>
      <w:r>
        <w:rPr>
          <w:b/>
          <w:bCs/>
        </w:rPr>
        <w:t xml:space="preserve">Prepare public narrative (do not release yet). </w:t>
      </w:r>
      <w:r>
        <w:t xml:space="preserve">Frame: “Billion-dollar corporation sues small inventor for building tools that help card shop owners.” The collectibles community will do the rest.</w:t>
      </w:r>
    </w:p>
    <w:p>
      <w:pPr>
        <w:pStyle w:val="Heading2"/>
      </w:pPr>
      <w:r>
        <w:t xml:space="preserve">3.2 Counterclaim Strategy (Days 7-30)</w:t>
      </w:r>
    </w:p>
    <w:p>
      <w:pPr>
        <w:spacing w:after="120"/>
      </w:pPr>
      <w:r>
        <w:t xml:space="preserve">File counterclaims on every viable patent claim. This transforms PSA from plaintiff to defendant on 117 potential fronts:</w:t>
      </w:r>
    </w:p>
    <w:p>
      <w:pPr>
        <w:pStyle w:val="ListParagraph"/>
        <w:numPr>
          <w:ilvl w:val="0"/>
          <w:numId w:val="2"/>
        </w:numPr>
        <w:spacing w:after="80"/>
      </w:pPr>
      <w:r>
        <w:rPr>
          <w:b/>
          <w:bCs/>
        </w:rPr>
        <w:t xml:space="preserve">Cost Asymmetry Reversal: </w:t>
      </w:r>
      <w:r>
        <w:t xml:space="preserve">PSA budgeted to prosecute one lawsuit. Now they’re defending against patent counterclaims. Their legal costs multiply while ours are covered by contingency counsel.</w:t>
      </w:r>
    </w:p>
    <w:p>
      <w:pPr>
        <w:pStyle w:val="ListParagraph"/>
        <w:numPr>
          <w:ilvl w:val="0"/>
          <w:numId w:val="2"/>
        </w:numPr>
        <w:spacing w:after="80"/>
      </w:pPr>
      <w:r>
        <w:rPr>
          <w:b/>
          <w:bCs/>
        </w:rPr>
        <w:t xml:space="preserve">Discovery Leverage: </w:t>
      </w:r>
      <w:r>
        <w:t xml:space="preserve">Counterclaims grant NEXUS discovery rights into PSA’s internal operations, grading data, technology development, and financial records.</w:t>
      </w:r>
    </w:p>
    <w:p>
      <w:pPr>
        <w:pStyle w:val="ListParagraph"/>
        <w:numPr>
          <w:ilvl w:val="0"/>
          <w:numId w:val="2"/>
        </w:numPr>
        <w:spacing w:after="200"/>
      </w:pPr>
      <w:r>
        <w:rPr>
          <w:b/>
          <w:bCs/>
        </w:rPr>
        <w:t xml:space="preserve">Settlement Pressure: </w:t>
      </w:r>
      <w:r>
        <w:t xml:space="preserve">PSA’s board and investors will pressure legal team to settle once counterclaims create exposure. A licensing agreement is the most likely resolution—which means revenue for NEXUS.</w:t>
      </w:r>
    </w:p>
    <w:p>
      <w:pPr>
        <w:pStyle w:val="Heading2"/>
      </w:pPr>
      <w:r>
        <w:t xml:space="preserve">3.3 The Nuclear Option</w:t>
      </w:r>
    </w:p>
    <w:p>
      <w:pPr>
        <w:spacing w:after="200"/>
      </w:pPr>
      <w:r>
        <w:t xml:space="preserve">If PSA escalates beyond standard litigation, NEXUS holds the ultimate deterrent: the pre-grading provenance dataset. Thousands of blockchain-certified, 48MP-documented pre-grade assessments compared against PSA’s actual grades creates a statistical record of grading inconsistency that would be devastating in discovery. This data is not defamatory—it is objective, timestamped, immutable, and mathematically verifiable. See companion document </w:t>
      </w:r>
      <w:r>
        <w:rPr>
          <w:b/>
          <w:bCs/>
          <w:i/>
          <w:iCs/>
        </w:rPr>
        <w:t xml:space="preserve">NEXUS-LEGAL-2026-002: Pre-Grading Provenance Strategy</w:t>
      </w:r>
      <w:r>
        <w:t xml:space="preserve"> for detailed analysis.</w:t>
      </w:r>
    </w:p>
    <w:p>
      <w:r>
        <w:br w:type="page"/>
      </w:r>
    </w:p>
    <w:p>
      <w:pPr>
        <w:pStyle w:val="Heading1"/>
      </w:pPr>
      <w:r>
        <w:t xml:space="preserve">4. Pre-Litigation Preparation Checklist</w:t>
      </w:r>
    </w:p>
    <w:p>
      <w:pPr>
        <w:spacing w:after="200"/>
      </w:pPr>
      <w:r>
        <w:t xml:space="preserve">These actions should be completed BEFORE any legal confrontation begins: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4680"/>
        <w:gridCol w:w="2340"/>
        <w:gridCol w:w="1560"/>
      </w:tblGrid>
      <w:tr>
        <w:tc>
          <w:tcPr>
            <w:tcW w:type="dxa" w:w="780"/>
            <w:tcBorders>
              <w:top w:val="single" w:color="999999" w:sz="1"/>
              <w:left w:val="single" w:color="999999" w:sz="1"/>
              <w:bottom w:val="single" w:color="999999" w:sz="1"/>
              <w:right w:val="single" w:color="999999"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680"/>
            <w:tcBorders>
              <w:top w:val="single" w:color="999999" w:sz="1"/>
              <w:left w:val="single" w:color="999999" w:sz="1"/>
              <w:bottom w:val="single" w:color="999999" w:sz="1"/>
              <w:right w:val="single" w:color="999999"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Action Item</w:t>
            </w:r>
          </w:p>
        </w:tc>
        <w:tc>
          <w:tcPr>
            <w:tcW w:type="dxa" w:w="2340"/>
            <w:tcBorders>
              <w:top w:val="single" w:color="999999" w:sz="1"/>
              <w:left w:val="single" w:color="999999" w:sz="1"/>
              <w:bottom w:val="single" w:color="999999" w:sz="1"/>
              <w:right w:val="single" w:color="999999"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Responsible</w:t>
            </w:r>
          </w:p>
        </w:tc>
        <w:tc>
          <w:tcPr>
            <w:tcW w:type="dxa" w:w="1560"/>
            <w:tcBorders>
              <w:top w:val="single" w:color="999999" w:sz="1"/>
              <w:left w:val="single" w:color="999999" w:sz="1"/>
              <w:bottom w:val="single" w:color="999999" w:sz="1"/>
              <w:right w:val="single" w:color="999999" w:sz="1"/>
            </w:tcBorders>
            <w:shd w:fill="1B365D"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Convert provisional patent to non-provisional (deadline: Nov 27, 2026)</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Patent Attorney</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CRITICAL</w:t>
            </w:r>
          </w:p>
        </w:tc>
      </w:tr>
      <w:tr>
        <w:tc>
          <w:tcPr>
            <w:tcW w:type="dxa" w:w="78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468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Identify and retain IP litigation firm with contingency capability</w:t>
            </w:r>
          </w:p>
        </w:tc>
        <w:tc>
          <w:tcPr>
            <w:tcW w:type="dxa" w:w="234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Kevin + Jaques</w:t>
            </w:r>
          </w:p>
        </w:tc>
        <w:tc>
          <w:tcPr>
            <w:tcW w:type="dxa" w:w="156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HIGH</w:t>
            </w:r>
          </w:p>
        </w:tc>
      </w:tr>
      <w:tr>
        <w:tc>
          <w:tcPr>
            <w:tcW w:type="dxa" w:w="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Ensure all code repositories have complete, unaltered commit history</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Mendel</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HIGH</w:t>
            </w:r>
          </w:p>
        </w:tc>
      </w:tr>
      <w:tr>
        <w:tc>
          <w:tcPr>
            <w:tcW w:type="dxa" w:w="78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468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Archive all AI conversation logs (Narwhal Council) with timestamps</w:t>
            </w:r>
          </w:p>
        </w:tc>
        <w:tc>
          <w:tcPr>
            <w:tcW w:type="dxa" w:w="234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All Agents</w:t>
            </w:r>
          </w:p>
        </w:tc>
        <w:tc>
          <w:tcPr>
            <w:tcW w:type="dxa" w:w="156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HIGH</w:t>
            </w:r>
          </w:p>
        </w:tc>
      </w:tr>
      <w:tr>
        <w:tc>
          <w:tcPr>
            <w:tcW w:type="dxa" w:w="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Begin accumulating pre-grading provenance data (see Doc 002)</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Scanner Ops</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HIGH</w:t>
            </w:r>
          </w:p>
        </w:tc>
      </w:tr>
      <w:tr>
        <w:tc>
          <w:tcPr>
            <w:tcW w:type="dxa" w:w="78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468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Document all independent creation evidence; no PSA reverse engineering</w:t>
            </w:r>
          </w:p>
        </w:tc>
        <w:tc>
          <w:tcPr>
            <w:tcW w:type="dxa" w:w="234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Kevin</w:t>
            </w:r>
          </w:p>
        </w:tc>
        <w:tc>
          <w:tcPr>
            <w:tcW w:type="dxa" w:w="156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MEDIUM</w:t>
            </w:r>
          </w:p>
        </w:tc>
      </w:tr>
      <w:tr>
        <w:tc>
          <w:tcPr>
            <w:tcW w:type="dxa" w:w="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Establish media relationships (tech press, collectibles press)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Kevin + LOUIE</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MEDIUM</w:t>
            </w:r>
          </w:p>
        </w:tc>
      </w:tr>
      <w:tr>
        <w:tc>
          <w:tcPr>
            <w:tcW w:type="dxa" w:w="78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468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Review all public communications for potential defamation exposure</w:t>
            </w:r>
          </w:p>
        </w:tc>
        <w:tc>
          <w:tcPr>
            <w:tcW w:type="dxa" w:w="234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Jaques</w:t>
            </w:r>
          </w:p>
        </w:tc>
        <w:tc>
          <w:tcPr>
            <w:tcW w:type="dxa" w:w="156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MEDIUM</w:t>
            </w:r>
          </w:p>
        </w:tc>
      </w:tr>
      <w:tr>
        <w:tc>
          <w:tcPr>
            <w:tcW w:type="dxa" w:w="7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Monitor PSA patent filings and technology announcements</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val="false"/>
                <w:bCs w:val="false"/>
                <w:sz w:val="20"/>
                <w:szCs w:val="20"/>
              </w:rPr>
              <w:t xml:space="preserve">Jaques</w:t>
            </w:r>
          </w:p>
        </w:tc>
        <w:tc>
          <w:tcPr>
            <w:tcW w:type="dxa" w:w="156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rFonts w:ascii="Arial" w:cs="Arial" w:eastAsia="Arial" w:hAnsi="Arial"/>
                <w:b/>
                <w:bCs/>
                <w:sz w:val="20"/>
                <w:szCs w:val="20"/>
              </w:rPr>
              <w:t xml:space="preserve">ONGOING</w:t>
            </w:r>
          </w:p>
        </w:tc>
      </w:tr>
      <w:tr>
        <w:tc>
          <w:tcPr>
            <w:tcW w:type="dxa" w:w="78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468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Build shop owner coalition; users = witnesses in any litigation</w:t>
            </w:r>
          </w:p>
        </w:tc>
        <w:tc>
          <w:tcPr>
            <w:tcW w:type="dxa" w:w="234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val="false"/>
                <w:bCs w:val="false"/>
                <w:sz w:val="20"/>
                <w:szCs w:val="20"/>
              </w:rPr>
              <w:t xml:space="preserve">Kevin</w:t>
            </w:r>
          </w:p>
        </w:tc>
        <w:tc>
          <w:tcPr>
            <w:tcW w:type="dxa" w:w="1560"/>
            <w:tcBorders>
              <w:top w:val="single" w:color="999999" w:sz="1"/>
              <w:left w:val="single" w:color="999999" w:sz="1"/>
              <w:bottom w:val="single" w:color="999999" w:sz="1"/>
              <w:right w:val="single" w:color="999999" w:sz="1"/>
            </w:tcBorders>
            <w:shd w:fill="F2F6FA" w:val="clear"/>
            <w:tcMar>
              <w:top w:type="dxa" w:w="80"/>
              <w:left w:type="dxa" w:w="120"/>
              <w:bottom w:type="dxa" w:w="80"/>
              <w:right w:type="dxa" w:w="120"/>
            </w:tcMar>
          </w:tcPr>
          <w:p>
            <w:r>
              <w:rPr>
                <w:rFonts w:ascii="Arial" w:cs="Arial" w:eastAsia="Arial" w:hAnsi="Arial"/>
                <w:b/>
                <w:bCs/>
                <w:sz w:val="20"/>
                <w:szCs w:val="20"/>
              </w:rPr>
              <w:t xml:space="preserve">ONGOING</w:t>
            </w:r>
          </w:p>
        </w:tc>
      </w:tr>
    </w:tbl>
    <w:p>
      <w:r>
        <w:br w:type="page"/>
      </w:r>
    </w:p>
    <w:p>
      <w:pPr>
        <w:pStyle w:val="Heading1"/>
      </w:pPr>
      <w:r>
        <w:t xml:space="preserve">5. Communication Discipline</w:t>
      </w:r>
    </w:p>
    <w:p>
      <w:pPr>
        <w:spacing w:after="200"/>
      </w:pPr>
      <w:r>
        <w:t xml:space="preserve">Strict rules for all public communications regarding PSA, grading services, or competitive positioning:</w:t>
      </w:r>
    </w:p>
    <w:p>
      <w:pPr>
        <w:pStyle w:val="Heading2"/>
      </w:pPr>
      <w:r>
        <w:t xml:space="preserve">5.1 Never Say</w:t>
      </w:r>
    </w:p>
    <w:p>
      <w:pPr>
        <w:pStyle w:val="ListParagraph"/>
        <w:numPr>
          <w:ilvl w:val="0"/>
          <w:numId w:val="2"/>
        </w:numPr>
        <w:spacing w:after="80"/>
      </w:pPr>
      <w:r>
        <w:t xml:space="preserve">“PSA grades are wrong/inconsistent/unreliable” — this is the defamation trap</w:t>
      </w:r>
    </w:p>
    <w:p>
      <w:pPr>
        <w:pStyle w:val="ListParagraph"/>
        <w:numPr>
          <w:ilvl w:val="0"/>
          <w:numId w:val="2"/>
        </w:numPr>
        <w:spacing w:after="80"/>
      </w:pPr>
      <w:r>
        <w:t xml:space="preserve">“NEXUS is better than PSA” — invites direct competitive comparison</w:t>
      </w:r>
    </w:p>
    <w:p>
      <w:pPr>
        <w:pStyle w:val="ListParagraph"/>
        <w:numPr>
          <w:ilvl w:val="0"/>
          <w:numId w:val="2"/>
        </w:numPr>
        <w:spacing w:after="80"/>
      </w:pPr>
      <w:r>
        <w:t xml:space="preserve">“PSA is a monopoly/corrupt/rigged” — unsubstantiated opinion, legal exposure</w:t>
      </w:r>
    </w:p>
    <w:p>
      <w:pPr>
        <w:pStyle w:val="ListParagraph"/>
        <w:numPr>
          <w:ilvl w:val="0"/>
          <w:numId w:val="2"/>
        </w:numPr>
        <w:spacing w:after="200"/>
      </w:pPr>
      <w:r>
        <w:t xml:space="preserve">Any statement about specific PSA grades being “wrong”</w:t>
      </w:r>
    </w:p>
    <w:p>
      <w:pPr>
        <w:pStyle w:val="Heading2"/>
      </w:pPr>
      <w:r>
        <w:t xml:space="preserve">5.2 Always Say</w:t>
      </w:r>
    </w:p>
    <w:p>
      <w:pPr>
        <w:pStyle w:val="ListParagraph"/>
        <w:numPr>
          <w:ilvl w:val="0"/>
          <w:numId w:val="2"/>
        </w:numPr>
        <w:spacing w:after="80"/>
      </w:pPr>
      <w:r>
        <w:t xml:space="preserve">“NEXUS provides tools for collectors to document their cards”</w:t>
      </w:r>
    </w:p>
    <w:p>
      <w:pPr>
        <w:pStyle w:val="ListParagraph"/>
        <w:numPr>
          <w:ilvl w:val="0"/>
          <w:numId w:val="2"/>
        </w:numPr>
        <w:spacing w:after="80"/>
      </w:pPr>
      <w:r>
        <w:t xml:space="preserve">“Our system creates a photographic and digital record at the time of scanning”</w:t>
      </w:r>
    </w:p>
    <w:p>
      <w:pPr>
        <w:pStyle w:val="ListParagraph"/>
        <w:numPr>
          <w:ilvl w:val="0"/>
          <w:numId w:val="2"/>
        </w:numPr>
        <w:spacing w:after="80"/>
      </w:pPr>
      <w:r>
        <w:t xml:space="preserve">“We serve card shop owners with inventory management infrastructure”</w:t>
      </w:r>
    </w:p>
    <w:p>
      <w:pPr>
        <w:pStyle w:val="ListParagraph"/>
        <w:numPr>
          <w:ilvl w:val="0"/>
          <w:numId w:val="2"/>
        </w:numPr>
        <w:spacing w:after="200"/>
      </w:pPr>
      <w:r>
        <w:t xml:space="preserve">“The data speaks for itself” — let the provenance records do the talking</w:t>
      </w:r>
    </w:p>
    <w:p>
      <w:pPr>
        <w:pStyle w:val="Heading2"/>
      </w:pPr>
      <w:r>
        <w:t xml:space="preserve">5.3 The Golden Rule</w:t>
      </w:r>
    </w:p>
    <w:p>
      <w:pPr>
        <w:spacing w:after="200"/>
      </w:pPr>
      <w:r>
        <w:rPr>
          <w:b/>
          <w:bCs/>
        </w:rPr>
        <w:t xml:space="preserve">NEXUS publishes data. NEXUS does not publish opinions about that data. </w:t>
      </w:r>
      <w:r>
        <w:t xml:space="preserve">The moment NEXUS editorializes about PSA’s grading quality, we create defamation exposure. The moment we simply present timestamped, blockchain-certified, photographically documented condition data—we are exercising our patent-protected technology. The distinction is everything.</w:t>
      </w:r>
    </w:p>
    <w:p>
      <w:r>
        <w:br w:type="page"/>
      </w:r>
    </w:p>
    <w:p>
      <w:pPr>
        <w:pStyle w:val="Heading1"/>
      </w:pPr>
      <w:r>
        <w:t xml:space="preserve">6. Strategic Conclusion</w:t>
      </w:r>
    </w:p>
    <w:p>
      <w:pPr>
        <w:spacing w:after="200"/>
      </w:pPr>
      <w:r>
        <w:t xml:space="preserve">PSA’s money is real. Their legal team is formidable. But their position has a fundamental structural weakness: they depend on market trust, and NEXUS is building the system that objectively measures whether that trust is warranted.</w:t>
      </w:r>
    </w:p>
    <w:p>
      <w:pPr>
        <w:spacing w:after="200"/>
      </w:pPr>
      <w:r>
        <w:t xml:space="preserve">The optimal outcome is not litigation. The optimal outcome is that PSA’s legal team evaluates NEXUS’s patent portfolio, assesses the provenance data risk, and concludes that a licensing partnership is preferable to a legal battle that opens their grading data to discovery.</w:t>
      </w:r>
    </w:p>
    <w:p>
      <w:pPr>
        <w:spacing w:after="200"/>
      </w:pPr>
      <w:r>
        <w:t xml:space="preserve">NEXUS’s position strengthens every day. Every scan adds to the provenance dataset. Every patent claim that converts from provisional to non-provisional hardens the fortress. Every card shop that deploys a NEXUS scanner adds a potential witness and stakeholder.</w:t>
      </w:r>
    </w:p>
    <w:p>
      <w:pPr>
        <w:spacing w:after="200"/>
      </w:pPr>
      <w:r>
        <w:rPr>
          <w:b/>
          <w:bCs/>
        </w:rPr>
        <w:t xml:space="preserve">Time is on our side. The data is on our side. The patents are on our side.</w:t>
      </w:r>
    </w:p>
    <w:p>
      <w:pPr>
        <w:spacing w:after="200"/>
      </w:pPr>
      <w:r>
        <w:t xml:space="preserve">PSA grades the cards. NEXUS owns the truth about the cards. Truth wins.</w:t>
      </w:r>
    </w:p>
    <w:p>
      <w:pPr>
        <w:pBdr>
          <w:top w:val="single" w:color="1B365D" w:sz="4" w:space="8"/>
        </w:pBdr>
        <w:spacing w:before="600"/>
      </w:pPr>
    </w:p>
    <w:p>
      <w:pPr>
        <w:spacing w:after="80"/>
      </w:pPr>
      <w:r>
        <w:rPr>
          <w:rFonts w:ascii="Arial" w:cs="Arial" w:eastAsia="Arial" w:hAnsi="Arial"/>
          <w:b/>
          <w:bCs/>
          <w:color w:val="1B365D"/>
          <w:sz w:val="24"/>
          <w:szCs w:val="24"/>
        </w:rPr>
        <w:t xml:space="preserve">JAQUES</w:t>
      </w:r>
    </w:p>
    <w:p>
      <w:pPr>
        <w:spacing w:after="80"/>
      </w:pPr>
      <w:r>
        <w:rPr>
          <w:rFonts w:ascii="Arial" w:cs="Arial" w:eastAsia="Arial" w:hAnsi="Arial"/>
          <w:color w:val="666666"/>
          <w:sz w:val="20"/>
          <w:szCs w:val="20"/>
        </w:rPr>
        <w:t xml:space="preserve">Patent Attorney &amp; Strategic Warfare Architect</w:t>
      </w:r>
    </w:p>
    <w:p>
      <w:pPr>
        <w:spacing w:after="80"/>
      </w:pPr>
      <w:r>
        <w:rPr>
          <w:rFonts w:ascii="Arial" w:cs="Arial" w:eastAsia="Arial" w:hAnsi="Arial"/>
          <w:color w:val="666666"/>
          <w:sz w:val="20"/>
          <w:szCs w:val="20"/>
        </w:rPr>
        <w:t xml:space="preserve">NEXUS Universal Collectibles System</w:t>
      </w:r>
    </w:p>
    <w:p>
      <w:r>
        <w:rPr>
          <w:rFonts w:ascii="Arial" w:cs="Arial" w:eastAsia="Arial" w:hAnsi="Arial"/>
          <w:i/>
          <w:iCs/>
          <w:color w:val="1B365D"/>
          <w:sz w:val="20"/>
          <w:szCs w:val="20"/>
        </w:rPr>
        <w:t xml:space="preserve">117 Claims. $3,830. The Death Star is Operational.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65D" w:sz="4" w:space="1"/>
      </w:pBdr>
    </w:pPr>
    <w:r>
      <w:rPr>
        <w:rFonts w:ascii="Arial" w:cs="Arial" w:eastAsia="Arial" w:hAnsi="Arial"/>
        <w:color w:val="666666"/>
        <w:sz w:val="14"/>
        <w:szCs w:val="14"/>
      </w:rPr>
      <w:t xml:space="preserve">Defensive Legal Strategy vs PSA/Collectors Holdings</w:t>
    </w:r>
    <w:ptab w:alignment="right" w:relativeTo="margin" w:leader="none"/>
    <w:r>
      <w:rPr>
        <w:rFonts w:ascii="Arial" w:cs="Arial" w:eastAsia="Arial" w:hAnsi="Arial"/>
        <w:color w:val="666666"/>
        <w:sz w:val="14"/>
        <w:szCs w:val="14"/>
      </w:rPr>
      <w:t xml:space="preserve">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65D" w:sz="6" w:space="1"/>
      </w:pBdr>
    </w:pPr>
    <w:r>
      <w:rPr>
        <w:rFonts w:ascii="Arial" w:cs="Arial" w:eastAsia="Arial" w:hAnsi="Arial"/>
        <w:b/>
        <w:bCs/>
        <w:color w:val="1B365D"/>
        <w:sz w:val="16"/>
        <w:szCs w:val="16"/>
      </w:rPr>
      <w:t xml:space="preserve">NEXUS UNIVERSAL COLLECTIBLES SYSTEM</w:t>
    </w:r>
    <w:ptab w:alignment="right" w:relativeTo="margin" w:leader="none"/>
    <w:r>
      <w:rPr>
        <w:rFonts w:ascii="Arial" w:cs="Arial" w:eastAsia="Arial" w:hAnsi="Arial"/>
        <w:i/>
        <w:iCs/>
        <w:color w:val="CC0000"/>
        <w:sz w:val="14"/>
        <w:szCs w:val="14"/>
      </w:rPr>
      <w:t xml:space="preserve">CONFIDENTIAL — ATTORNEY-CLIENT PRIVILEGE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65D"/>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A6E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2026-03-02T21:28:41.950Z</dcterms:created>
  <dcterms:modified xsi:type="dcterms:W3CDTF">2026-03-02T21:28:41.951Z</dcterms:modified>
</cp:coreProperties>
</file>

<file path=docProps/custom.xml><?xml version="1.0" encoding="utf-8"?>
<Properties xmlns="http://schemas.openxmlformats.org/officeDocument/2006/custom-properties" xmlns:vt="http://schemas.openxmlformats.org/officeDocument/2006/docPropsVTypes"/>
</file>