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sz w:val="40"/>
          <w:szCs w:val="40"/>
        </w:rPr>
        <w:t xml:space="preserve">NEXUS UNIVERSAL COLLECTIBLES SYSTEM</w:t>
      </w:r>
    </w:p>
    <w:p>
      <w:pPr>
        <w:spacing w:after="300"/>
      </w:pPr>
    </w:p>
    <w:p>
      <w:pPr>
        <w:jc w:val="center"/>
      </w:pPr>
      <w:r>
        <w:rPr>
          <w:rFonts w:ascii="Arial" w:cs="Arial" w:eastAsia="Arial" w:hAnsi="Arial"/>
          <w:b/>
          <w:bCs/>
          <w:sz w:val="36"/>
          <w:szCs w:val="36"/>
        </w:rPr>
        <w:t xml:space="preserve">MASTER LEGAL &amp; PATENT STRATEGY</w:t>
      </w:r>
    </w:p>
    <w:p>
      <w:pPr>
        <w:spacing w:after="100"/>
      </w:pPr>
    </w:p>
    <w:p>
      <w:pPr>
        <w:jc w:val="center"/>
      </w:pPr>
      <w:r>
        <w:rPr>
          <w:rFonts w:ascii="Arial" w:cs="Arial" w:eastAsia="Arial" w:hAnsi="Arial"/>
          <w:i/>
          <w:iCs/>
          <w:sz w:val="24"/>
          <w:szCs w:val="24"/>
        </w:rPr>
        <w:t xml:space="preserve">Consolidated Threat Assessment, FTO Analysis &amp; Compliance Framework</w:t>
      </w:r>
    </w:p>
    <w:p>
      <w:pPr>
        <w:spacing w:after="600"/>
      </w:pPr>
    </w:p>
    <w:p>
      <w:pPr>
        <w:spacing w:after="100"/>
        <w:jc w:val="center"/>
      </w:pPr>
      <w:r>
        <w:rPr>
          <w:rFonts w:ascii="Arial" w:cs="Arial" w:eastAsia="Arial" w:hAnsi="Arial"/>
          <w:sz w:val="22"/>
          <w:szCs w:val="22"/>
        </w:rPr>
        <w:t xml:space="preserve">Prepared by: Jaques — Patent Attorney &amp; Strategic Warfare Architect</w:t>
      </w:r>
    </w:p>
    <w:p>
      <w:pPr>
        <w:spacing w:after="100"/>
        <w:jc w:val="center"/>
      </w:pPr>
      <w:r>
        <w:rPr>
          <w:rFonts w:ascii="Arial" w:cs="Arial" w:eastAsia="Arial" w:hAnsi="Arial"/>
          <w:sz w:val="22"/>
          <w:szCs w:val="22"/>
        </w:rPr>
        <w:t xml:space="preserve">For: Kevin Caracozza, Founder &amp; CEO</w:t>
      </w:r>
    </w:p>
    <w:p>
      <w:pPr>
        <w:spacing w:after="100"/>
        <w:jc w:val="center"/>
      </w:pPr>
      <w:r>
        <w:rPr>
          <w:rFonts w:ascii="Arial" w:cs="Arial" w:eastAsia="Arial" w:hAnsi="Arial"/>
          <w:sz w:val="22"/>
          <w:szCs w:val="22"/>
        </w:rPr>
        <w:t xml:space="preserve">Date: March 2, 2026</w:t>
      </w:r>
    </w:p>
    <w:p>
      <w:pPr>
        <w:spacing w:after="400"/>
        <w:jc w:val="center"/>
      </w:pPr>
      <w:r>
        <w:rPr>
          <w:rFonts w:ascii="Arial" w:cs="Arial" w:eastAsia="Arial" w:hAnsi="Arial"/>
          <w:sz w:val="20"/>
          <w:szCs w:val="20"/>
        </w:rPr>
        <w:t xml:space="preserve">Document ID: NEXUS-LEGAL-2026-MASTER</w:t>
      </w:r>
    </w:p>
    <w:p>
      <w:pPr>
        <w:jc w:val="center"/>
      </w:pPr>
      <w:r>
        <w:rPr>
          <w:rFonts w:ascii="Arial" w:cs="Arial" w:eastAsia="Arial" w:hAnsi="Arial"/>
          <w:b/>
          <w:bCs/>
          <w:sz w:val="18"/>
          <w:szCs w:val="18"/>
        </w:rPr>
        <w:t xml:space="preserve">PRIVILEGED &amp; CONFIDENTIAL — ATTORNEY WORK PRODUCT</w:t>
      </w:r>
    </w:p>
    <w:p>
      <w:pPr>
        <w:spacing w:after="200"/>
      </w:pPr>
    </w:p>
    <w:p>
      <w:pPr>
        <w:jc w:val="center"/>
      </w:pPr>
      <w:r>
        <w:rPr>
          <w:rFonts w:ascii="Arial" w:cs="Arial" w:eastAsia="Arial" w:hAnsi="Arial"/>
          <w:color w:val="CC0000"/>
          <w:sz w:val="18"/>
          <w:szCs w:val="18"/>
        </w:rPr>
        <w:t xml:space="preserve">SUPERSEDES: NEXUS-LEGAL-2026-001, 002, 003</w:t>
      </w:r>
    </w:p>
    <w:p>
      <w:pPr>
        <w:spacing w:after="300"/>
      </w:pPr>
    </w:p>
    <w:p>
      <w:pPr>
        <w:pBdr>
          <w:bottom w:val="single" w:color="2E75B6" w:sz="6"/>
        </w:pBdr>
        <w:jc w:val="center"/>
      </w:pPr>
      <w:r>
        <w:rPr>
          <w:rFonts w:ascii="Arial" w:cs="Arial" w:eastAsia="Arial" w:hAnsi="Arial"/>
          <w:b/>
          <w:bCs/>
          <w:color w:val="CC0000"/>
          <w:sz w:val="24"/>
          <w:szCs w:val="24"/>
        </w:rPr>
        <w:t xml:space="preserve">PATENT CONVERSION DEADLINE: NOVEMBER 27, 2026</w:t>
      </w:r>
    </w:p>
    <w:p>
      <w:r>
        <w:br w:type="page"/>
      </w:r>
    </w:p>
    <w:p>
      <w:pPr>
        <w:pStyle w:val="Heading1"/>
        <w:spacing w:before="400" w:after="200"/>
      </w:pPr>
      <w:r>
        <w:rPr>
          <w:rFonts w:ascii="Arial" w:cs="Arial" w:eastAsia="Arial" w:hAnsi="Arial"/>
          <w:b/>
          <w:bCs/>
          <w:sz w:val="32"/>
          <w:szCs w:val="32"/>
        </w:rPr>
        <w:t xml:space="preserve">Executive Summary</w:t>
      </w:r>
    </w:p>
    <w:p>
      <w:pPr>
        <w:spacing w:after="120"/>
      </w:pPr>
      <w:r>
        <w:rPr>
          <w:rFonts w:ascii="Arial" w:cs="Arial" w:eastAsia="Arial" w:hAnsi="Arial"/>
          <w:b w:val="false"/>
          <w:bCs w:val="false"/>
          <w:sz w:val="22"/>
          <w:szCs w:val="22"/>
        </w:rPr>
        <w:t xml:space="preserve">This document consolidates all legal, patent, and competitive intelligence analysis for NEXUS Universal Collectibles System. It supersedes all previous strategy documents and establishes the definitive framework for patent prosecution, competitive positioning, and regulatory compliance.</w:t>
      </w:r>
    </w:p>
    <w:p>
      <w:pPr>
        <w:spacing w:after="100"/>
      </w:pPr>
    </w:p>
    <w:p>
      <w:pPr>
        <w:spacing w:after="120"/>
      </w:pPr>
      <w:r>
        <w:rPr>
          <w:rFonts w:ascii="Arial" w:cs="Arial" w:eastAsia="Arial" w:hAnsi="Arial"/>
          <w:b/>
          <w:bCs/>
          <w:sz w:val="22"/>
          <w:szCs w:val="22"/>
        </w:rPr>
        <w:t xml:space="preserve">KEY FINDINGS: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PSA/Collectors Holdings has NO patents on grading methodology or AI technology. Their patent threat is LOW.</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TAG Grading holds 4 granted patents (134 claims) on computerized grading. Requires attorney review before non-provisional filing.</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Card Boss holds 1 granted patent on AI card grading. Methodology differs from NEXUS but warrants confirmation.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PSA's pending NFT patent (US20230126016A1) is cleanly separated from NEXUS due to the no-pricing mandate.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The no-pricing discipline provides triple protection: regulatory shield, antitrust immunity, and patent separation.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NEXUS's 117 claims cover territory no competitor has patented: zero-sort, blockchain provenance, network intelligence, marketplace integration.</w:t>
      </w:r>
    </w:p>
    <w:p>
      <w:pPr>
        <w:spacing w:after="100"/>
      </w:pPr>
    </w:p>
    <w:p>
      <w:pPr>
        <w:spacing w:after="120"/>
      </w:pPr>
      <w:r>
        <w:rPr>
          <w:rFonts w:ascii="Arial" w:cs="Arial" w:eastAsia="Arial" w:hAnsi="Arial"/>
          <w:b/>
          <w:bCs/>
          <w:sz w:val="22"/>
          <w:szCs w:val="22"/>
        </w:rPr>
        <w:t xml:space="preserve">BOTTOM LINE:</w:t>
      </w:r>
    </w:p>
    <w:p>
      <w:pPr>
        <w:spacing w:after="120"/>
      </w:pPr>
      <w:r>
        <w:rPr>
          <w:rFonts w:ascii="Arial" w:cs="Arial" w:eastAsia="Arial" w:hAnsi="Arial"/>
          <w:b w:val="false"/>
          <w:bCs w:val="false"/>
          <w:sz w:val="22"/>
          <w:szCs w:val="22"/>
        </w:rPr>
        <w:t xml:space="preserve">NEXUS is the infrastructure layer. Competitors grade the cards. NEXUS owns the truth about the cards. The patent fortress is sound. The legal position is defensible. Execute accordingly.</w:t>
      </w:r>
    </w:p>
    <w:p>
      <w:r>
        <w:br w:type="page"/>
      </w:r>
    </w:p>
    <w:p>
      <w:pPr>
        <w:pStyle w:val="Heading1"/>
        <w:spacing w:before="400" w:after="200"/>
      </w:pPr>
      <w:r>
        <w:rPr>
          <w:rFonts w:ascii="Arial" w:cs="Arial" w:eastAsia="Arial" w:hAnsi="Arial"/>
          <w:b/>
          <w:bCs/>
          <w:sz w:val="32"/>
          <w:szCs w:val="32"/>
        </w:rPr>
        <w:t xml:space="preserve">Part I: The Collectors Empire</w:t>
      </w:r>
    </w:p>
    <w:p>
      <w:pPr>
        <w:spacing w:after="120"/>
      </w:pPr>
      <w:r>
        <w:rPr>
          <w:rFonts w:ascii="Arial" w:cs="Arial" w:eastAsia="Arial" w:hAnsi="Arial"/>
          <w:b w:val="false"/>
          <w:bCs w:val="false"/>
          <w:sz w:val="22"/>
          <w:szCs w:val="22"/>
        </w:rPr>
        <w:t xml:space="preserve">Understanding the adversary's structure is prerequisite to strategy.</w:t>
      </w:r>
    </w:p>
    <w:p>
      <w:pPr>
        <w:pStyle w:val="Heading2"/>
        <w:spacing w:before="300" w:after="150"/>
      </w:pPr>
      <w:r>
        <w:rPr>
          <w:rFonts w:ascii="Arial" w:cs="Arial" w:eastAsia="Arial" w:hAnsi="Arial"/>
          <w:b/>
          <w:bCs/>
          <w:sz w:val="28"/>
          <w:szCs w:val="28"/>
        </w:rPr>
        <w:t xml:space="preserve">1.1 Corporate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Collectors Holdings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 company (~$3B valuation, private since 2021)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grading (76% market share)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Founded 1991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PCGS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Coin grading (industry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Founded 1986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SGC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grading (#3 market)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2024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Beckett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grading + 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 2025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WATA Games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game grading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2021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Ladder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pricing analytics (100M+ 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 2021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Genamint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card fingerprinting technology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 2021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PSA Vault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Secure storage + trading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Collectors Financial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Loans against graded collectibles ($200K-$10M)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Beach Expo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 shows and conventions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2006</w:t>
            </w:r>
          </w:p>
        </w:tc>
      </w:tr>
    </w:tbl>
    <w:p>
      <w:pPr>
        <w:spacing w:after="200"/>
      </w:pPr>
    </w:p>
    <w:p>
      <w:pPr>
        <w:pStyle w:val="Heading2"/>
        <w:spacing w:before="300" w:after="150"/>
      </w:pPr>
      <w:r>
        <w:rPr>
          <w:rFonts w:ascii="Arial" w:cs="Arial" w:eastAsia="Arial" w:hAnsi="Arial"/>
          <w:b/>
          <w:bCs/>
          <w:sz w:val="28"/>
          <w:szCs w:val="28"/>
        </w:rPr>
        <w:t xml:space="preserve">1.2 The Vertical Monopoly</w:t>
      </w:r>
    </w:p>
    <w:p>
      <w:pPr>
        <w:spacing w:after="120"/>
      </w:pPr>
      <w:r>
        <w:rPr>
          <w:rFonts w:ascii="Arial" w:cs="Arial" w:eastAsia="Arial" w:hAnsi="Arial"/>
          <w:b w:val="false"/>
          <w:bCs w:val="false"/>
          <w:sz w:val="22"/>
          <w:szCs w:val="22"/>
        </w:rPr>
        <w:t xml:space="preserve">Collectors Holdings controls the entire collectibles value chain:</w:t>
      </w:r>
    </w:p>
    <w:p>
      <w:pPr>
        <w:spacing w:after="100" w:before="100"/>
        <w:jc w:val="center"/>
      </w:pPr>
      <w:r>
        <w:rPr>
          <w:rFonts w:ascii="Arial" w:cs="Arial" w:eastAsia="Arial" w:hAnsi="Arial"/>
          <w:b/>
          <w:bCs/>
          <w:sz w:val="22"/>
          <w:szCs w:val="22"/>
        </w:rPr>
        <w:t xml:space="preserve">GRADE IT (PSA/PCGS/SGC/Beckett/WATA)</w:t>
      </w:r>
    </w:p>
    <w:p>
      <w:pPr>
        <w:jc w:val="center"/>
      </w:pPr>
      <w:r>
        <w:rPr>
          <w:rFonts w:ascii="Arial" w:cs="Arial" w:eastAsia="Arial" w:hAnsi="Arial"/>
          <w:sz w:val="28"/>
          <w:szCs w:val="28"/>
        </w:rPr>
        <w:t xml:space="preserve">↓</w:t>
      </w:r>
    </w:p>
    <w:p>
      <w:pPr>
        <w:jc w:val="center"/>
      </w:pPr>
      <w:r>
        <w:rPr>
          <w:rFonts w:ascii="Arial" w:cs="Arial" w:eastAsia="Arial" w:hAnsi="Arial"/>
          <w:b/>
          <w:bCs/>
          <w:sz w:val="22"/>
          <w:szCs w:val="22"/>
        </w:rPr>
        <w:t xml:space="preserve">PRICE IT (Card Ladder)</w:t>
      </w:r>
    </w:p>
    <w:p>
      <w:pPr>
        <w:jc w:val="center"/>
      </w:pPr>
      <w:r>
        <w:rPr>
          <w:rFonts w:ascii="Arial" w:cs="Arial" w:eastAsia="Arial" w:hAnsi="Arial"/>
          <w:sz w:val="28"/>
          <w:szCs w:val="28"/>
        </w:rPr>
        <w:t xml:space="preserve">↓</w:t>
      </w:r>
    </w:p>
    <w:p>
      <w:pPr>
        <w:jc w:val="center"/>
      </w:pPr>
      <w:r>
        <w:rPr>
          <w:rFonts w:ascii="Arial" w:cs="Arial" w:eastAsia="Arial" w:hAnsi="Arial"/>
          <w:b/>
          <w:bCs/>
          <w:sz w:val="22"/>
          <w:szCs w:val="22"/>
        </w:rPr>
        <w:t xml:space="preserve">STORE IT (PSA Vault)</w:t>
      </w:r>
    </w:p>
    <w:p>
      <w:pPr>
        <w:jc w:val="center"/>
      </w:pPr>
      <w:r>
        <w:rPr>
          <w:rFonts w:ascii="Arial" w:cs="Arial" w:eastAsia="Arial" w:hAnsi="Arial"/>
          <w:sz w:val="28"/>
          <w:szCs w:val="28"/>
        </w:rPr>
        <w:t xml:space="preserve">↓</w:t>
      </w:r>
    </w:p>
    <w:p>
      <w:pPr>
        <w:jc w:val="center"/>
      </w:pPr>
      <w:r>
        <w:rPr>
          <w:rFonts w:ascii="Arial" w:cs="Arial" w:eastAsia="Arial" w:hAnsi="Arial"/>
          <w:b/>
          <w:bCs/>
          <w:sz w:val="22"/>
          <w:szCs w:val="22"/>
        </w:rPr>
        <w:t xml:space="preserve">LOAN AGAINST IT (Collectors Financial)</w:t>
      </w:r>
    </w:p>
    <w:p>
      <w:pPr>
        <w:jc w:val="center"/>
      </w:pPr>
      <w:r>
        <w:rPr>
          <w:rFonts w:ascii="Arial" w:cs="Arial" w:eastAsia="Arial" w:hAnsi="Arial"/>
          <w:sz w:val="28"/>
          <w:szCs w:val="28"/>
        </w:rPr>
        <w:t xml:space="preserve">↓</w:t>
      </w:r>
    </w:p>
    <w:p>
      <w:pPr>
        <w:spacing w:after="200"/>
        <w:jc w:val="center"/>
      </w:pPr>
      <w:r>
        <w:rPr>
          <w:rFonts w:ascii="Arial" w:cs="Arial" w:eastAsia="Arial" w:hAnsi="Arial"/>
          <w:b/>
          <w:bCs/>
          <w:sz w:val="22"/>
          <w:szCs w:val="22"/>
        </w:rPr>
        <w:t xml:space="preserve">SELL IT (Long Beach Expo)</w:t>
      </w:r>
    </w:p>
    <w:p>
      <w:pPr>
        <w:pStyle w:val="Heading2"/>
        <w:spacing w:before="300" w:after="150"/>
      </w:pPr>
      <w:r>
        <w:rPr>
          <w:rFonts w:ascii="Arial" w:cs="Arial" w:eastAsia="Arial" w:hAnsi="Arial"/>
          <w:b/>
          <w:bCs/>
          <w:sz w:val="28"/>
          <w:szCs w:val="28"/>
        </w:rPr>
        <w:t xml:space="preserve">1.3 Strategic Vulnerability: Collectors Financial</w:t>
      </w:r>
    </w:p>
    <w:p>
      <w:pPr>
        <w:spacing w:after="120"/>
      </w:pPr>
      <w:r>
        <w:rPr>
          <w:rFonts w:ascii="Arial" w:cs="Arial" w:eastAsia="Arial" w:hAnsi="Arial"/>
          <w:b w:val="false"/>
          <w:bCs w:val="false"/>
          <w:sz w:val="22"/>
          <w:szCs w:val="22"/>
        </w:rPr>
        <w:t xml:space="preserve">The lending division creates a unique exposure point. Collectors Financial issues loans of $200K-$10M collateralized by PSA-graded collectibles. The loan valuations are based on PSA grades.</w:t>
      </w:r>
    </w:p>
    <w:p>
      <w:pPr>
        <w:spacing w:after="100"/>
      </w:pPr>
    </w:p>
    <w:p>
      <w:pPr>
        <w:spacing w:after="120"/>
      </w:pPr>
      <w:r>
        <w:rPr>
          <w:rFonts w:ascii="Arial" w:cs="Arial" w:eastAsia="Arial" w:hAnsi="Arial"/>
          <w:b w:val="false"/>
          <w:bCs w:val="false"/>
          <w:sz w:val="22"/>
          <w:szCs w:val="22"/>
        </w:rPr>
        <w:t xml:space="preserve">NEXUS's pre-grading provenance system doesn't just audit grading consistency. It audits the collateral backing their lending division. A PSA 10 backing a $500K loan that should have been a PSA 8 is not merely a reputation issue—it is balance sheet exposure.</w:t>
      </w:r>
    </w:p>
    <w:p>
      <w:r>
        <w:br w:type="page"/>
      </w:r>
    </w:p>
    <w:p>
      <w:pPr>
        <w:pStyle w:val="Heading1"/>
        <w:spacing w:before="400" w:after="200"/>
      </w:pPr>
      <w:r>
        <w:rPr>
          <w:rFonts w:ascii="Arial" w:cs="Arial" w:eastAsia="Arial" w:hAnsi="Arial"/>
          <w:b/>
          <w:bCs/>
          <w:sz w:val="32"/>
          <w:szCs w:val="32"/>
        </w:rPr>
        <w:t xml:space="preserve">Part II: Competitive Patent Landscape</w:t>
      </w:r>
    </w:p>
    <w:p>
      <w:pPr>
        <w:pStyle w:val="Heading2"/>
        <w:spacing w:before="300" w:after="150"/>
      </w:pPr>
      <w:r>
        <w:rPr>
          <w:rFonts w:ascii="Arial" w:cs="Arial" w:eastAsia="Arial" w:hAnsi="Arial"/>
          <w:b/>
          <w:bCs/>
          <w:sz w:val="28"/>
          <w:szCs w:val="28"/>
        </w:rPr>
        <w:t xml:space="preserve">2.1 Collectors Holdings IP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NEXUS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Trademarks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84 registered trademarks (PSA, PCGS, etc.)</w:t>
            </w:r>
          </w:p>
        </w:tc>
        <w:tc>
          <w:tcPr>
            <w:tcW w:type="dxa" w:w="234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Grading Methodology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PATENTS FOUND</w:t>
            </w:r>
          </w:p>
        </w:tc>
        <w:tc>
          <w:tcPr>
            <w:tcW w:type="dxa" w:w="234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AI/ML Technology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Genamint tech acquired, NO PATENTS IDENTIFIED</w:t>
            </w:r>
          </w:p>
        </w:tc>
        <w:tc>
          <w:tcPr>
            <w:tcW w:type="dxa" w:w="234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Encapsulation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patents on tamperproof coin cases (slabs)</w:t>
            </w:r>
          </w:p>
        </w:tc>
        <w:tc>
          <w:tcPr>
            <w:tcW w:type="dxa" w:w="234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NFT/Blockchain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US20230126016A1 — PENDING APPLICATION (not granted)</w:t>
            </w:r>
          </w:p>
        </w:tc>
        <w:tc>
          <w:tcPr>
            <w:tcW w:type="dxa" w:w="234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bl>
    <w:p>
      <w:pPr>
        <w:spacing w:after="120"/>
      </w:pPr>
      <w:r>
        <w:rPr>
          <w:rFonts w:ascii="Arial" w:cs="Arial" w:eastAsia="Arial" w:hAnsi="Arial"/>
          <w:b w:val="false"/>
          <w:bCs w:val="false"/>
          <w:sz w:val="22"/>
          <w:szCs w:val="22"/>
        </w:rPr>
        <w:t xml:space="preserve">*Low risk contingent on maintaining no-pricing mandate. See Part IV.</w:t>
      </w:r>
    </w:p>
    <w:p>
      <w:pPr>
        <w:spacing w:after="200"/>
      </w:pPr>
    </w:p>
    <w:p>
      <w:pPr>
        <w:pStyle w:val="Heading2"/>
        <w:spacing w:before="300" w:after="150"/>
      </w:pPr>
      <w:r>
        <w:rPr>
          <w:rFonts w:ascii="Arial" w:cs="Arial" w:eastAsia="Arial" w:hAnsi="Arial"/>
          <w:b/>
          <w:bCs/>
          <w:sz w:val="28"/>
          <w:szCs w:val="28"/>
        </w:rPr>
        <w:t xml:space="preserve">2.2 TAG Grading (TAG P, LLC)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GRANTED patents, 134 claims 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Patent Numbers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9,767,163 | US 10,146,841 | US 10,445,330 | US 10,459,931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Computerized authentication/grading; photometric stereoscopic imaging; surface defect detection; automated encapsulation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Technology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Multi-angle lighting, 1000-point grading scale, ML defect classification</w:t>
            </w:r>
          </w:p>
        </w:tc>
      </w:tr>
      <w:tr>
        <w:tc>
          <w:tcPr>
            <w:tcW w:type="dxa" w:w="234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sz w:val="20"/>
                <w:szCs w:val="20"/>
              </w:rPr>
              <w:t xml:space="preserve">NEXUS Risk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 Potential methodology overlap with imaging claims. Attorney review required before non-provisional filing.</w:t>
            </w:r>
          </w:p>
        </w:tc>
      </w:tr>
    </w:tbl>
    <w:p>
      <w:pPr>
        <w:spacing w:after="200"/>
      </w:pPr>
    </w:p>
    <w:p>
      <w:pPr>
        <w:pStyle w:val="Heading2"/>
        <w:spacing w:before="300" w:after="150"/>
      </w:pPr>
      <w:r>
        <w:rPr>
          <w:rFonts w:ascii="Arial" w:cs="Arial" w:eastAsia="Arial" w:hAnsi="Arial"/>
          <w:b/>
          <w:bCs/>
          <w:sz w:val="28"/>
          <w:szCs w:val="28"/>
        </w:rPr>
        <w:t xml:space="preserve">2.3 Card Boss (Relentless Ventures, LLC)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GRANTED patent (October 1, 2024)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Patent Number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12,106,334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AI-based card grading using image processing; edge/corner/centering detection via ML models; mobile app implementation</w:t>
            </w:r>
          </w:p>
        </w:tc>
      </w:tr>
      <w:tr>
        <w:tc>
          <w:tcPr>
            <w:tcW w:type="dxa" w:w="234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bCs/>
                <w:sz w:val="20"/>
                <w:szCs w:val="20"/>
              </w:rPr>
              <w:t xml:space="preserve">NEXUS Risk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LOW-MEDIUM — Different methodology (hardware scanner vs. mobile app, cross-polarization vs. standard imaging). Confirm differentiation with attorney.</w:t>
            </w:r>
          </w:p>
        </w:tc>
      </w:tr>
    </w:tbl>
    <w:p>
      <w:pPr>
        <w:spacing w:after="200"/>
      </w:pPr>
    </w:p>
    <w:p>
      <w:pPr>
        <w:pStyle w:val="Heading2"/>
        <w:spacing w:before="300" w:after="150"/>
      </w:pPr>
      <w:r>
        <w:rPr>
          <w:rFonts w:ascii="Arial" w:cs="Arial" w:eastAsia="Arial" w:hAnsi="Arial"/>
          <w:b/>
          <w:bCs/>
          <w:sz w:val="28"/>
          <w:szCs w:val="28"/>
        </w:rPr>
        <w:t xml:space="preserve">2.4 NEXUS Differentiation: Uncontested Territory</w:t>
      </w:r>
    </w:p>
    <w:p>
      <w:pPr>
        <w:spacing w:after="120"/>
      </w:pPr>
      <w:r>
        <w:rPr>
          <w:rFonts w:ascii="Arial" w:cs="Arial" w:eastAsia="Arial" w:hAnsi="Arial"/>
          <w:b w:val="false"/>
          <w:bCs w:val="false"/>
          <w:sz w:val="22"/>
          <w:szCs w:val="22"/>
        </w:rPr>
        <w:t xml:space="preserve">The following NEXUS patent claims cover territory with NO identified competitor patents: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Zero-Sort Call Number System (Claims 73-76) — Library-style cataloging eliminating physical sorting infrastructure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Marketplace Integration (Claims 77-79) — Real-time pricing, multi-seller marketplace with authentication-at-scan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Blockchain Provenance (Claims 91-94) — Polygon-based immutable certification records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Network Intelligence (Claims 95-99) — Multi-shop data aggregation creating market intelligence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Grading Consistency Monitoring (Claim 101) — Auditing third-party graders using provenance data</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Cross-Polarization Imaging (Claims 86-90) — Holographic/foil card capture (differs from TAG's photometric stereo)</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6-DOF Robotic Arm Integration (Claims 51-65) — Mechanical handling apparatus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Multi-Category Recognition (Claims 66-71) — Single system for cards, coins, stamps, comics, etc.</w:t>
      </w:r>
    </w:p>
    <w:p>
      <w:r>
        <w:br w:type="page"/>
      </w:r>
    </w:p>
    <w:p>
      <w:pPr>
        <w:pStyle w:val="Heading1"/>
        <w:spacing w:before="400" w:after="200"/>
      </w:pPr>
      <w:r>
        <w:rPr>
          <w:rFonts w:ascii="Arial" w:cs="Arial" w:eastAsia="Arial" w:hAnsi="Arial"/>
          <w:b/>
          <w:bCs/>
          <w:sz w:val="32"/>
          <w:szCs w:val="32"/>
        </w:rPr>
        <w:t xml:space="preserve">Part III: Consolidated Threat Assessment</w:t>
      </w:r>
    </w:p>
    <w:p>
      <w:pPr>
        <w:pStyle w:val="Heading2"/>
        <w:spacing w:before="300" w:after="150"/>
      </w:pPr>
      <w:r>
        <w:rPr>
          <w:rFonts w:ascii="Arial" w:cs="Arial" w:eastAsia="Arial" w:hAnsi="Arial"/>
          <w:b/>
          <w:bCs/>
          <w:sz w:val="28"/>
          <w:szCs w:val="28"/>
        </w:rPr>
        <w:t xml:space="preserve">3.1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Threat Vector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PSA/Collectors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TAG Grading</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Card Boss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Overall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Patent Counterclaim</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LOW-MED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Litigation Attrition</w:t>
            </w:r>
          </w:p>
        </w:tc>
        <w:tc>
          <w:tcPr>
            <w:tcW w:type="dxa" w:w="1872"/>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Trademark Dispute</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Acquisition Attempt</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spacing w:after="200"/>
      </w:pPr>
    </w:p>
    <w:p>
      <w:pPr>
        <w:pStyle w:val="Heading2"/>
        <w:spacing w:before="300" w:after="150"/>
      </w:pPr>
      <w:r>
        <w:rPr>
          <w:rFonts w:ascii="Arial" w:cs="Arial" w:eastAsia="Arial" w:hAnsi="Arial"/>
          <w:b/>
          <w:bCs/>
          <w:sz w:val="28"/>
          <w:szCs w:val="28"/>
        </w:rPr>
        <w:t xml:space="preserve">3.2 PSA's Attack Vectors (Primary Threat)</w:t>
      </w:r>
    </w:p>
    <w:p>
      <w:pPr>
        <w:spacing w:after="120"/>
      </w:pPr>
      <w:r>
        <w:rPr>
          <w:rFonts w:ascii="Arial" w:cs="Arial" w:eastAsia="Arial" w:hAnsi="Arial"/>
          <w:b w:val="false"/>
          <w:bCs w:val="false"/>
          <w:sz w:val="22"/>
          <w:szCs w:val="22"/>
        </w:rPr>
        <w:t xml:space="preserve">PSA cannot countersue on patent grounds for grading/AI technology. Their weapons are: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Trademark claims — Alleging confusion with PSA terminology, scales, or label design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Trade dress claims — Asserting slab or certification aesthetics create confusion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Defamation/Disparagement — Filing suit if NEXUS publishes data suggesting grading inconsistency</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Tortious interference — Claiming NEXUS diverts customers from PSA's grading pipeline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Financial attrition — Multiple claims, expensive discovery, depositions across jurisdictions</w:t>
      </w:r>
    </w:p>
    <w:p>
      <w:pPr>
        <w:spacing w:after="100"/>
      </w:pPr>
    </w:p>
    <w:p>
      <w:pPr>
        <w:spacing w:after="120"/>
      </w:pPr>
      <w:r>
        <w:rPr>
          <w:rFonts w:ascii="Arial" w:cs="Arial" w:eastAsia="Arial" w:hAnsi="Arial"/>
          <w:b/>
          <w:bCs/>
          <w:sz w:val="22"/>
          <w:szCs w:val="22"/>
        </w:rPr>
        <w:t xml:space="preserve">NEXUS Defense: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Infrastructure positioning — NEXUS serves PSA customers, not competing with PSA service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Data, not opinion — NEXUS publishes blockchain-certified facts, not editorial claims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117-claim patent fortress — Any PSA technology development risks NEXUS counterclaims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Pre-grading provenance — Discovery opens PSA's grading data to examination</w:t>
      </w:r>
    </w:p>
    <w:p>
      <w:r>
        <w:br w:type="page"/>
      </w:r>
    </w:p>
    <w:p>
      <w:pPr>
        <w:pStyle w:val="Heading1"/>
        <w:spacing w:before="400" w:after="200"/>
      </w:pPr>
      <w:r>
        <w:rPr>
          <w:rFonts w:ascii="Arial" w:cs="Arial" w:eastAsia="Arial" w:hAnsi="Arial"/>
          <w:b/>
          <w:bCs/>
          <w:sz w:val="32"/>
          <w:szCs w:val="32"/>
        </w:rPr>
        <w:t xml:space="preserve">Part IV: The No-Pricing Mandate</w:t>
      </w:r>
    </w:p>
    <w:p>
      <w:pPr>
        <w:spacing w:after="120"/>
      </w:pPr>
      <w:r>
        <w:rPr>
          <w:rFonts w:ascii="Arial" w:cs="Arial" w:eastAsia="Arial" w:hAnsi="Arial"/>
          <w:b w:val="false"/>
          <w:bCs w:val="false"/>
          <w:sz w:val="22"/>
          <w:szCs w:val="22"/>
        </w:rPr>
        <w:t xml:space="preserve">The no-pricing discipline is not a limitation. It is a triple-layer strategic advantage.</w:t>
      </w:r>
    </w:p>
    <w:p>
      <w:pPr>
        <w:pStyle w:val="Heading2"/>
        <w:spacing w:before="300" w:after="150"/>
      </w:pPr>
      <w:r>
        <w:rPr>
          <w:rFonts w:ascii="Arial" w:cs="Arial" w:eastAsia="Arial" w:hAnsi="Arial"/>
          <w:b/>
          <w:bCs/>
          <w:sz w:val="28"/>
          <w:szCs w:val="28"/>
        </w:rPr>
        <w:t xml:space="preserve">4.1 Layer 1: Regulatory Shield</w:t>
      </w:r>
    </w:p>
    <w:p>
      <w:pPr>
        <w:spacing w:after="120"/>
      </w:pPr>
      <w:r>
        <w:rPr>
          <w:rFonts w:ascii="Arial" w:cs="Arial" w:eastAsia="Arial" w:hAnsi="Arial"/>
          <w:b w:val="false"/>
          <w:bCs w:val="false"/>
          <w:sz w:val="22"/>
          <w:szCs w:val="22"/>
        </w:rPr>
        <w:t xml:space="preserve">Multiple states require licensure to formally appraise personal property. If NEXUS outputs "This card is worth $4.50," this constitutes an appraisal—a formal opinion of value. NEXUS would be subject to unlicensed appraisal statutes in every jurisdiction where hardware is deployed.</w:t>
      </w:r>
    </w:p>
    <w:p>
      <w:pPr>
        <w:spacing w:after="100"/>
      </w:pPr>
    </w:p>
    <w:p>
      <w:pPr>
        <w:spacing w:after="120"/>
      </w:pPr>
      <w:r>
        <w:rPr>
          <w:rFonts w:ascii="Arial" w:cs="Arial" w:eastAsia="Arial" w:hAnsi="Arial"/>
          <w:b w:val="false"/>
          <w:bCs w:val="false"/>
          <w:sz w:val="22"/>
          <w:szCs w:val="22"/>
        </w:rPr>
        <w:t xml:space="preserve">By displaying only third-party data with source attribution ("TCGPlayer Mid: $4.50"), NEXUS is a data conduit, not an appraiser. Liability transfers to the data provider.</w:t>
      </w:r>
    </w:p>
    <w:p>
      <w:pPr>
        <w:pStyle w:val="Heading2"/>
        <w:spacing w:before="300" w:after="150"/>
      </w:pPr>
      <w:r>
        <w:rPr>
          <w:rFonts w:ascii="Arial" w:cs="Arial" w:eastAsia="Arial" w:hAnsi="Arial"/>
          <w:b/>
          <w:bCs/>
          <w:sz w:val="28"/>
          <w:szCs w:val="28"/>
        </w:rPr>
        <w:t xml:space="preserve">4.2 Layer 2: Antitrust Immunity</w:t>
      </w:r>
    </w:p>
    <w:p>
      <w:pPr>
        <w:spacing w:after="120"/>
      </w:pPr>
      <w:r>
        <w:rPr>
          <w:rFonts w:ascii="Arial" w:cs="Arial" w:eastAsia="Arial" w:hAnsi="Arial"/>
          <w:b w:val="false"/>
          <w:bCs w:val="false"/>
          <w:sz w:val="22"/>
          <w:szCs w:val="22"/>
        </w:rPr>
        <w:t xml:space="preserve">NEXUS's stated strategy is to become the infrastructure layer—the platform competitors must license. At scale, if that infrastructure also determines prices, NEXUS becomes a de facto price-setting mechanism.</w:t>
      </w:r>
    </w:p>
    <w:p>
      <w:pPr>
        <w:spacing w:after="100"/>
      </w:pPr>
    </w:p>
    <w:p>
      <w:pPr>
        <w:spacing w:after="120"/>
      </w:pPr>
      <w:r>
        <w:rPr>
          <w:rFonts w:ascii="Arial" w:cs="Arial" w:eastAsia="Arial" w:hAnsi="Arial"/>
          <w:b/>
          <w:bCs/>
          <w:sz w:val="22"/>
          <w:szCs w:val="22"/>
        </w:rPr>
        <w:t xml:space="preserve">Sherman Act §1 Risk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Exposure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NEXUS sets "market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Horizontal price influence</w:t>
            </w:r>
          </w:p>
        </w:tc>
        <w:tc>
          <w:tcPr>
            <w:tcW w:type="dxa" w:w="312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val="false"/>
                <w:bCs w:val="false"/>
                <w:sz w:val="20"/>
                <w:szCs w:val="20"/>
              </w:rPr>
              <w:t xml:space="preserve">Per se illegal (Sherman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NEXUS suggests buylist prices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Indirect price coordination</w:t>
            </w:r>
          </w:p>
        </w:tc>
        <w:tc>
          <w:tcPr>
            <w:tcW w:type="dxa" w:w="312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Actionable (FTC Act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"Consensus price" in marketplace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price-setting</w:t>
            </w:r>
          </w:p>
        </w:tc>
        <w:tc>
          <w:tcPr>
            <w:tcW w:type="dxa" w:w="312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val="false"/>
                <w:bCs w:val="false"/>
                <w:sz w:val="20"/>
                <w:szCs w:val="20"/>
              </w:rPr>
              <w:t xml:space="preserve">DOJ Antitrust investigation</w:t>
            </w:r>
          </w:p>
        </w:tc>
      </w:tr>
    </w:tbl>
    <w:p>
      <w:pPr>
        <w:spacing w:after="100"/>
      </w:pPr>
    </w:p>
    <w:p>
      <w:pPr>
        <w:spacing w:after="120"/>
      </w:pPr>
      <w:r>
        <w:rPr>
          <w:rFonts w:ascii="Arial" w:cs="Arial" w:eastAsia="Arial" w:hAnsi="Arial"/>
          <w:b w:val="false"/>
          <w:bCs w:val="false"/>
          <w:sz w:val="22"/>
          <w:szCs w:val="22"/>
        </w:rPr>
        <w:t xml:space="preserve">These risks scale with market penetration. At 3 shops, nobody cares. At 30,000 shops, the DOJ cares. NEXUS must be architected for scale from day one.</w:t>
      </w:r>
    </w:p>
    <w:p>
      <w:pPr>
        <w:pStyle w:val="Heading2"/>
        <w:spacing w:before="300" w:after="150"/>
      </w:pPr>
      <w:r>
        <w:rPr>
          <w:rFonts w:ascii="Arial" w:cs="Arial" w:eastAsia="Arial" w:hAnsi="Arial"/>
          <w:b/>
          <w:bCs/>
          <w:sz w:val="28"/>
          <w:szCs w:val="28"/>
        </w:rPr>
        <w:t xml:space="preserve">4.3 Layer 3: Patent Separation (US20230126016A1)</w:t>
      </w:r>
    </w:p>
    <w:p>
      <w:pPr>
        <w:spacing w:after="120"/>
      </w:pPr>
      <w:r>
        <w:rPr>
          <w:rFonts w:ascii="Arial" w:cs="Arial" w:eastAsia="Arial" w:hAnsi="Arial"/>
          <w:b w:val="false"/>
          <w:bCs w:val="false"/>
          <w:sz w:val="22"/>
          <w:szCs w:val="22"/>
        </w:rPr>
        <w:t xml:space="preserve">Collectors Universe's pending NFT patent claims: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Generating current value of collectible based on assigned grade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Generating fiat currency value of NFT based on token count and current value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Vault authentication device for physical custody verification</w:t>
      </w:r>
    </w:p>
    <w:p>
      <w:pPr>
        <w:spacing w:after="100"/>
      </w:pPr>
    </w:p>
    <w:p>
      <w:pPr>
        <w:spacing w:after="120"/>
      </w:pPr>
      <w:r>
        <w:rPr>
          <w:rFonts w:ascii="Arial" w:cs="Arial" w:eastAsia="Arial" w:hAnsi="Arial"/>
          <w:b w:val="false"/>
          <w:bCs w:val="false"/>
          <w:sz w:val="22"/>
          <w:szCs w:val="22"/>
        </w:rPr>
        <w:t xml:space="preserve">NEXUS blockchain certification: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Records authentication EVENT (timestamp, scan data, identification)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NO value embedded in certification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NO vault, no physical custody required</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NO token economics or royalty mechanism</w:t>
      </w:r>
    </w:p>
    <w:p>
      <w:pPr>
        <w:spacing w:after="100"/>
      </w:pPr>
    </w:p>
    <w:p>
      <w:pPr>
        <w:spacing w:after="120"/>
      </w:pPr>
      <w:r>
        <w:rPr>
          <w:rFonts w:ascii="Arial" w:cs="Arial" w:eastAsia="Arial" w:hAnsi="Arial"/>
          <w:b/>
          <w:bCs/>
          <w:sz w:val="22"/>
          <w:szCs w:val="22"/>
        </w:rPr>
        <w:t xml:space="preserve">CRITICAL:</w:t>
      </w:r>
    </w:p>
    <w:p>
      <w:pPr>
        <w:spacing w:after="120"/>
      </w:pPr>
      <w:r>
        <w:rPr>
          <w:rFonts w:ascii="Arial" w:cs="Arial" w:eastAsia="Arial" w:hAnsi="Arial"/>
          <w:b w:val="false"/>
          <w:bCs w:val="false"/>
          <w:sz w:val="22"/>
          <w:szCs w:val="22"/>
        </w:rPr>
        <w:t xml:space="preserve">The no-pricing mandate is the keystone of this FTO analysis. If NEXUS were to generate values, there would be functional overlap with US20230126016A1's core claims. Maintaining the bright line on pricing keeps NEXUS in a completely different patent lane from Collectors Universe.</w:t>
      </w:r>
    </w:p>
    <w:p>
      <w:pPr>
        <w:pStyle w:val="Heading2"/>
        <w:spacing w:before="300" w:after="150"/>
      </w:pPr>
      <w:r>
        <w:rPr>
          <w:rFonts w:ascii="Arial" w:cs="Arial" w:eastAsia="Arial" w:hAnsi="Arial"/>
          <w:b/>
          <w:bCs/>
          <w:sz w:val="28"/>
          <w:szCs w:val="28"/>
        </w:rPr>
        <w:t xml:space="preserve">4.4 The Bright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b/>
                <w:bCs/>
                <w:sz w:val="20"/>
                <w:szCs w:val="20"/>
              </w:rPr>
              <w:t xml:space="preserve">PERMITTED (Data Aggregation)</w:t>
            </w:r>
          </w:p>
        </w:tc>
        <w:tc>
          <w:tcPr>
            <w:tcW w:type="dxa" w:w="468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sz w:val="20"/>
                <w:szCs w:val="20"/>
              </w:rPr>
              <w:t xml:space="preserve">PROHIBITED (Valuation)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third-party data with source attribution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calculate, or determine a price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Show "TCGPlayer Mid: $4.50" (attributed)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"NEXUS Value: $4.50" (unattributed)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historical sales from public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Suggest, recommend, or calculate buy/sell prices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 shop owner set their own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"consensus price" from aggregated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that 47 sales occurred (factual)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 investment scores or buy/sell signals</w:t>
            </w:r>
          </w:p>
        </w:tc>
      </w:tr>
    </w:tbl>
    <w:p>
      <w:pPr>
        <w:spacing w:after="200"/>
      </w:pPr>
    </w:p>
    <w:p>
      <w:pPr>
        <w:spacing w:after="120"/>
      </w:pPr>
      <w:r>
        <w:rPr>
          <w:rFonts w:ascii="Arial" w:cs="Arial" w:eastAsia="Arial" w:hAnsi="Arial"/>
          <w:b/>
          <w:bCs/>
          <w:sz w:val="22"/>
          <w:szCs w:val="22"/>
        </w:rPr>
        <w:t xml:space="preserve">The Stock Ticker Analogy:</w:t>
      </w:r>
    </w:p>
    <w:p>
      <w:pPr>
        <w:spacing w:after="120"/>
      </w:pPr>
      <w:r>
        <w:rPr>
          <w:rFonts w:ascii="Arial" w:cs="Arial" w:eastAsia="Arial" w:hAnsi="Arial"/>
          <w:i/>
          <w:iCs/>
          <w:sz w:val="22"/>
          <w:szCs w:val="22"/>
        </w:rPr>
        <w:t xml:space="preserve">Yahoo Finance displays AAPL at $180. They are reporting NASDAQ data, not telling you what Apple is worth. NEXUS reports market data. Period.</w:t>
      </w:r>
    </w:p>
    <w:p>
      <w:r>
        <w:br w:type="page"/>
      </w:r>
    </w:p>
    <w:p>
      <w:pPr>
        <w:pStyle w:val="Heading1"/>
        <w:spacing w:before="400" w:after="200"/>
      </w:pPr>
      <w:r>
        <w:rPr>
          <w:rFonts w:ascii="Arial" w:cs="Arial" w:eastAsia="Arial" w:hAnsi="Arial"/>
          <w:b/>
          <w:bCs/>
          <w:sz w:val="32"/>
          <w:szCs w:val="32"/>
        </w:rPr>
        <w:t xml:space="preserve">Part V: Pre-Grading Provenance Strategy</w:t>
      </w:r>
    </w:p>
    <w:p>
      <w:pPr>
        <w:spacing w:after="120"/>
      </w:pPr>
      <w:r>
        <w:rPr>
          <w:rFonts w:ascii="Arial" w:cs="Arial" w:eastAsia="Arial" w:hAnsi="Arial"/>
          <w:b w:val="false"/>
          <w:bCs w:val="false"/>
          <w:sz w:val="22"/>
          <w:szCs w:val="22"/>
        </w:rPr>
        <w:t xml:space="preserve">The pre-grading feature is not merely consumer convenience. It is a strategic weapon.</w:t>
      </w:r>
    </w:p>
    <w:p>
      <w:pPr>
        <w:pStyle w:val="Heading2"/>
        <w:spacing w:before="300" w:after="150"/>
      </w:pPr>
      <w:r>
        <w:rPr>
          <w:rFonts w:ascii="Arial" w:cs="Arial" w:eastAsia="Arial" w:hAnsi="Arial"/>
          <w:b/>
          <w:bCs/>
          <w:sz w:val="28"/>
          <w:szCs w:val="28"/>
        </w:rPr>
        <w:t xml:space="preserve">5.1 What NEXUS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Element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Technical Detail</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Legal Significance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48MP Photograph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Cross-polarized lighting, multi-angle capture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Resolution exceeds PSA's documentation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Condition Analysis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scores for centering, corners, edges, surface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Objective, algorithmic, reproducible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UTC timestamp embedded in metadata + blockchain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Before/after timeline for any grading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Scanner ID, shop ID, GPS coordinates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Chain of custody proof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Blockchain Certificate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Polygon-based immutable hash of all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Admissible under FRE 803(6)</w:t>
            </w:r>
          </w:p>
        </w:tc>
      </w:tr>
    </w:tbl>
    <w:p>
      <w:pPr>
        <w:spacing w:after="200"/>
      </w:pPr>
    </w:p>
    <w:p>
      <w:pPr>
        <w:pStyle w:val="Heading2"/>
        <w:spacing w:before="300" w:after="150"/>
      </w:pPr>
      <w:r>
        <w:rPr>
          <w:rFonts w:ascii="Arial" w:cs="Arial" w:eastAsia="Arial" w:hAnsi="Arial"/>
          <w:b/>
          <w:bCs/>
          <w:sz w:val="28"/>
          <w:szCs w:val="28"/>
        </w:rPr>
        <w:t xml:space="preserve">5.2 The Provenance Scenario</w:t>
      </w:r>
    </w:p>
    <w:p>
      <w:pPr>
        <w:spacing w:after="120"/>
      </w:pPr>
      <w:r>
        <w:rPr>
          <w:rFonts w:ascii="Arial" w:cs="Arial" w:eastAsia="Arial" w:hAnsi="Arial"/>
          <w:b w:val="false"/>
          <w:bCs w:val="false"/>
          <w:sz w:val="22"/>
          <w:szCs w:val="22"/>
        </w:rPr>
        <w:t xml:space="preserve">1. Card owner visits NEXUS-equipped shop with 1st Edition Charizard.</w:t>
      </w:r>
    </w:p>
    <w:p>
      <w:pPr>
        <w:spacing w:after="120"/>
      </w:pPr>
      <w:r>
        <w:rPr>
          <w:rFonts w:ascii="Arial" w:cs="Arial" w:eastAsia="Arial" w:hAnsi="Arial"/>
          <w:b w:val="false"/>
          <w:bCs w:val="false"/>
          <w:sz w:val="22"/>
          <w:szCs w:val="22"/>
        </w:rPr>
        <w:t xml:space="preserve">2. NEXUS pre-grade scan: AI analysis predicts PSA 9-10, 87% confidence. Blockchain certificate minted.</w:t>
      </w:r>
    </w:p>
    <w:p>
      <w:pPr>
        <w:spacing w:after="120"/>
      </w:pPr>
      <w:r>
        <w:rPr>
          <w:rFonts w:ascii="Arial" w:cs="Arial" w:eastAsia="Arial" w:hAnsi="Arial"/>
          <w:b w:val="false"/>
          <w:bCs w:val="false"/>
          <w:sz w:val="22"/>
          <w:szCs w:val="22"/>
        </w:rPr>
        <w:t xml:space="preserve">3. Card shipped to PSA through standard submission.</w:t>
      </w:r>
    </w:p>
    <w:p>
      <w:pPr>
        <w:spacing w:after="120"/>
      </w:pPr>
      <w:r>
        <w:rPr>
          <w:rFonts w:ascii="Arial" w:cs="Arial" w:eastAsia="Arial" w:hAnsi="Arial"/>
          <w:b w:val="false"/>
          <w:bCs w:val="false"/>
          <w:sz w:val="22"/>
          <w:szCs w:val="22"/>
        </w:rPr>
        <w:t xml:space="preserve">4. PSA returns grade: PSA 7 (two grades below prediction).</w:t>
      </w:r>
    </w:p>
    <w:p>
      <w:pPr>
        <w:spacing w:after="120"/>
      </w:pPr>
      <w:r>
        <w:rPr>
          <w:rFonts w:ascii="Arial" w:cs="Arial" w:eastAsia="Arial" w:hAnsi="Arial"/>
          <w:b w:val="false"/>
          <w:bCs w:val="false"/>
          <w:sz w:val="22"/>
          <w:szCs w:val="22"/>
        </w:rPr>
        <w:t xml:space="preserve">5. Card owner has blockchain-certified, 48MP-documented proof the card was in PSA 9-10 condition BEFORE it entered PSA's custody.</w:t>
      </w:r>
    </w:p>
    <w:p>
      <w:pPr>
        <w:spacing w:after="100"/>
      </w:pPr>
    </w:p>
    <w:p>
      <w:pPr>
        <w:spacing w:after="120"/>
      </w:pPr>
      <w:r>
        <w:rPr>
          <w:rFonts w:ascii="Arial" w:cs="Arial" w:eastAsia="Arial" w:hAnsi="Arial"/>
          <w:b w:val="false"/>
          <w:bCs w:val="false"/>
          <w:sz w:val="22"/>
          <w:szCs w:val="22"/>
        </w:rPr>
        <w:t xml:space="preserve">The question becomes: What happened between the NEXUS scan and PSA's grading desk?</w:t>
      </w:r>
    </w:p>
    <w:p>
      <w:pPr>
        <w:pStyle w:val="Heading2"/>
        <w:spacing w:before="300" w:after="150"/>
      </w:pPr>
      <w:r>
        <w:rPr>
          <w:rFonts w:ascii="Arial" w:cs="Arial" w:eastAsia="Arial" w:hAnsi="Arial"/>
          <w:b/>
          <w:bCs/>
          <w:sz w:val="28"/>
          <w:szCs w:val="28"/>
        </w:rPr>
        <w:t xml:space="preserve">5.3 Data, Not Defamation</w:t>
      </w:r>
    </w:p>
    <w:p>
      <w:pPr>
        <w:spacing w:after="120"/>
      </w:pPr>
      <w:r>
        <w:rPr>
          <w:rFonts w:ascii="Arial" w:cs="Arial" w:eastAsia="Arial" w:hAnsi="Arial"/>
          <w:b w:val="false"/>
          <w:bCs w:val="false"/>
          <w:sz w:val="22"/>
          <w:szCs w:val="22"/>
        </w:rPr>
        <w:t xml:space="preserve">NEXUS never states that PSA's grades are wrong. NEXUS publishes objective data about card condition at a specific point in time.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Truth is absolute defense to defamation — NEXUS data is machine-generated, timestamped, blockchain-certified</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NEXUS draws no conclusions — The system presents data; users/journalists/attorneys draw conclusions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Scientific methodology defense — AI model is trained, reproducible, operates within documented confidence intervals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 protection covers methodology — Claim 101 explicitly covers grading consistency monitoring</w:t>
      </w:r>
    </w:p>
    <w:p>
      <w:pPr>
        <w:pStyle w:val="Heading2"/>
        <w:spacing w:before="300" w:after="150"/>
      </w:pPr>
      <w:r>
        <w:rPr>
          <w:rFonts w:ascii="Arial" w:cs="Arial" w:eastAsia="Arial" w:hAnsi="Arial"/>
          <w:b/>
          <w:bCs/>
          <w:sz w:val="28"/>
          <w:szCs w:val="28"/>
        </w:rPr>
        <w:t xml:space="preserve">5.4 Collectors Financial Exposure</w:t>
      </w:r>
    </w:p>
    <w:p>
      <w:pPr>
        <w:spacing w:after="120"/>
      </w:pPr>
      <w:r>
        <w:rPr>
          <w:rFonts w:ascii="Arial" w:cs="Arial" w:eastAsia="Arial" w:hAnsi="Arial"/>
          <w:b w:val="false"/>
          <w:bCs w:val="false"/>
          <w:sz w:val="22"/>
          <w:szCs w:val="22"/>
        </w:rPr>
        <w:t xml:space="preserve">This is the nuclear button. Collectors Financial loans $200K-$10M against PSA-graded collectibles. If NEXUS provenance data proves systematic grading inconsistency, those loan collateral valuations become legally questionable.</w:t>
      </w:r>
    </w:p>
    <w:p>
      <w:pPr>
        <w:spacing w:after="100"/>
      </w:pPr>
    </w:p>
    <w:p>
      <w:pPr>
        <w:spacing w:after="120"/>
      </w:pPr>
      <w:r>
        <w:rPr>
          <w:rFonts w:ascii="Arial" w:cs="Arial" w:eastAsia="Arial" w:hAnsi="Arial"/>
          <w:b w:val="false"/>
          <w:bCs w:val="false"/>
          <w:sz w:val="22"/>
          <w:szCs w:val="22"/>
        </w:rPr>
        <w:t xml:space="preserve">NEXUS doesn't just audit grading. NEXUS audits the collateral backing their lending division.</w:t>
      </w:r>
    </w:p>
    <w:p>
      <w:r>
        <w:br w:type="page"/>
      </w:r>
    </w:p>
    <w:p>
      <w:pPr>
        <w:pStyle w:val="Heading1"/>
        <w:spacing w:before="400" w:after="200"/>
      </w:pPr>
      <w:r>
        <w:rPr>
          <w:rFonts w:ascii="Arial" w:cs="Arial" w:eastAsia="Arial" w:hAnsi="Arial"/>
          <w:b/>
          <w:bCs/>
          <w:sz w:val="32"/>
          <w:szCs w:val="32"/>
        </w:rPr>
        <w:t xml:space="preserve">Part VI: Action Items &amp; Timeline</w:t>
      </w:r>
    </w:p>
    <w:p>
      <w:pPr>
        <w:pStyle w:val="Heading2"/>
        <w:spacing w:before="300" w:after="150"/>
      </w:pPr>
      <w:r>
        <w:rPr>
          <w:rFonts w:ascii="Arial" w:cs="Arial" w:eastAsia="Arial" w:hAnsi="Arial"/>
          <w:b/>
          <w:bCs/>
          <w:sz w:val="28"/>
          <w:szCs w:val="28"/>
        </w:rPr>
        <w:t xml:space="preserve">6.1 Before Non-Provisional Filing (November 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 TAG patents (9,767,163; 10,146,841; 10,445,330; 10,459,931) to patent attorney for claim-by-claim comparison with NEXUS Claims 66-71 and 86-90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Kevin</w:t>
            </w:r>
          </w:p>
        </w:tc>
        <w:tc>
          <w:tcPr>
            <w:tcW w:type="dxa" w:w="15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 Card Boss patent (12,106,334) to patent attorney for comparison with NEXUS AI/ML claims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Kevin</w:t>
            </w:r>
          </w:p>
        </w:tc>
        <w:tc>
          <w:tcPr>
            <w:tcW w:type="dxa" w:w="15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cross-polarization methodology differentiation from TAG's photometric stereo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Mendel</w:t>
            </w:r>
          </w:p>
        </w:tc>
        <w:tc>
          <w:tcPr>
            <w:tcW w:type="dxa" w:w="15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text search of 117 claims for prohibited pricing language; produce redline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Jaques</w:t>
            </w:r>
          </w:p>
        </w:tc>
        <w:tc>
          <w:tcPr>
            <w:tcW w:type="dxa" w:w="15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formal FTO opinion letter for US20230126016A1 through retained patent counsel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Attorney</w:t>
            </w:r>
          </w:p>
        </w:tc>
        <w:tc>
          <w:tcPr>
            <w:tcW w:type="dxa" w:w="15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Consider filing continuation claims for multi-source data aggregation 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Attorney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spacing w:after="200"/>
      </w:pPr>
    </w:p>
    <w:p>
      <w:pPr>
        <w:pStyle w:val="Heading2"/>
        <w:spacing w:before="300" w:after="150"/>
      </w:pPr>
      <w:r>
        <w:rPr>
          <w:rFonts w:ascii="Arial" w:cs="Arial" w:eastAsia="Arial" w:hAnsi="Arial"/>
          <w:b/>
          <w:bCs/>
          <w:sz w:val="28"/>
          <w:szCs w:val="28"/>
        </w:rPr>
        <w:t xml:space="preserve">6.2 Before Kickstarter Launch</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Review all campaign materials for pricing/valuation claims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Draft standard disclaimer for all screens displaying market data</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Confirm Polygon blockchain certification schema contains no value/price fields</w:t>
      </w:r>
    </w:p>
    <w:p>
      <w:pPr>
        <w:pStyle w:val="Heading2"/>
        <w:spacing w:before="300" w:after="150"/>
      </w:pPr>
      <w:r>
        <w:rPr>
          <w:rFonts w:ascii="Arial" w:cs="Arial" w:eastAsia="Arial" w:hAnsi="Arial"/>
          <w:b/>
          <w:bCs/>
          <w:sz w:val="28"/>
          <w:szCs w:val="28"/>
        </w:rPr>
        <w:t xml:space="preserve">6.3 Ongoing Monitoring</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Monitor US20230126016A1 prosecution status — if granted, conduct updated FTO analysis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Monitor TAG and Card Boss for new patent applications or continuations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Track any PSA patent filings related to Genamint technology</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As market penetration scales, engage antitrust counsel for proactive FTC compliance review</w:t>
      </w:r>
    </w:p>
    <w:p>
      <w:r>
        <w:br w:type="page"/>
      </w:r>
    </w:p>
    <w:p>
      <w:pPr>
        <w:pStyle w:val="Heading1"/>
        <w:spacing w:before="400" w:after="200"/>
      </w:pPr>
      <w:r>
        <w:rPr>
          <w:rFonts w:ascii="Arial" w:cs="Arial" w:eastAsia="Arial" w:hAnsi="Arial"/>
          <w:b/>
          <w:bCs/>
          <w:sz w:val="32"/>
          <w:szCs w:val="32"/>
        </w:rPr>
        <w:t xml:space="preserve">Part VII: Strategic Conclusion</w:t>
      </w:r>
    </w:p>
    <w:p>
      <w:pPr>
        <w:spacing w:after="120"/>
      </w:pPr>
      <w:r>
        <w:rPr>
          <w:rFonts w:ascii="Arial" w:cs="Arial" w:eastAsia="Arial" w:hAnsi="Arial"/>
          <w:b w:val="false"/>
          <w:bCs w:val="false"/>
          <w:sz w:val="22"/>
          <w:szCs w:val="22"/>
        </w:rPr>
        <w:t xml:space="preserve">The competitive landscape is now fully mapped:</w:t>
      </w:r>
    </w:p>
    <w:p>
      <w:pPr>
        <w:spacing w:after="100"/>
      </w:pPr>
    </w:p>
    <w:p>
      <w:pPr>
        <w:spacing w:after="120"/>
      </w:pPr>
      <w:r>
        <w:rPr>
          <w:rFonts w:ascii="Arial" w:cs="Arial" w:eastAsia="Arial" w:hAnsi="Arial"/>
          <w:b/>
          <w:bCs/>
          <w:sz w:val="22"/>
          <w:szCs w:val="22"/>
        </w:rPr>
        <w:t xml:space="preserve">WHAT THEY HAVE: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$3B valuation and $20-50M annual legal budget</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76% market share in card grading</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Vertical integration (grade → price → store → loan → sell)</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84 trademarks</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100M+ pricing data points</w:t>
      </w:r>
    </w:p>
    <w:p>
      <w:pPr>
        <w:spacing w:after="100"/>
      </w:pPr>
    </w:p>
    <w:p>
      <w:pPr>
        <w:spacing w:after="120"/>
      </w:pPr>
      <w:r>
        <w:rPr>
          <w:rFonts w:ascii="Arial" w:cs="Arial" w:eastAsia="Arial" w:hAnsi="Arial"/>
          <w:b/>
          <w:bCs/>
          <w:sz w:val="22"/>
          <w:szCs w:val="22"/>
        </w:rPr>
        <w:t xml:space="preserve">WHAT THEY DON'T HAVE: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Patents on grading methodology</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Patents on AI/ML authentication</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Patents on scanning technology</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Patents on blockchain provenance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Patents on network intelligence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Patents on marketplace integration</w:t>
      </w:r>
    </w:p>
    <w:p>
      <w:pPr>
        <w:spacing w:after="100"/>
      </w:pPr>
    </w:p>
    <w:p>
      <w:pPr>
        <w:spacing w:after="120"/>
      </w:pPr>
      <w:r>
        <w:rPr>
          <w:rFonts w:ascii="Arial" w:cs="Arial" w:eastAsia="Arial" w:hAnsi="Arial"/>
          <w:b/>
          <w:bCs/>
          <w:sz w:val="22"/>
          <w:szCs w:val="22"/>
        </w:rPr>
        <w:t xml:space="preserve">WHAT YOU HAVE: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117 patent claims covering technology they cannot replicate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Zero-sort call number system (unique)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Blockchain provenance certification (unique)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Network intelligence architecture (unique)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Multi-category recognition (unique)</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Pre-grading provenance system (the sword)</w:t>
      </w:r>
    </w:p>
    <w:p>
      <w:pPr>
        <w:spacing w:after="80"/>
        <w:ind w:left="720" w:hanging="360"/>
      </w:pPr>
      <w:r>
        <w:rPr>
          <w:rFonts w:ascii="Arial" w:cs="Arial" w:eastAsia="Arial" w:hAnsi="Arial"/>
          <w:sz w:val="22"/>
          <w:szCs w:val="22"/>
        </w:rPr>
        <w:t xml:space="preserve">• </w:t>
      </w:r>
      <w:r>
        <w:rPr>
          <w:rFonts w:ascii="Arial" w:cs="Arial" w:eastAsia="Arial" w:hAnsi="Arial"/>
          <w:b w:val="false"/>
          <w:bCs w:val="false"/>
          <w:sz w:val="22"/>
          <w:szCs w:val="22"/>
        </w:rPr>
        <w:t xml:space="preserve">No-pricing mandate (triple protection)</w:t>
      </w:r>
    </w:p>
    <w:p>
      <w:pPr>
        <w:spacing w:after="200"/>
      </w:pPr>
    </w:p>
    <w:p>
      <w:pPr>
        <w:spacing w:after="120"/>
      </w:pPr>
      <w:r>
        <w:rPr>
          <w:rFonts w:ascii="Arial" w:cs="Arial" w:eastAsia="Arial" w:hAnsi="Arial"/>
          <w:b/>
          <w:bCs/>
          <w:sz w:val="22"/>
          <w:szCs w:val="22"/>
        </w:rPr>
        <w:t xml:space="preserve">The empire is big. The empire has money. The empire does NOT have patents.</w:t>
      </w:r>
    </w:p>
    <w:p>
      <w:pPr>
        <w:spacing w:after="100"/>
      </w:pPr>
    </w:p>
    <w:p>
      <w:pPr>
        <w:spacing w:after="120"/>
      </w:pPr>
      <w:r>
        <w:rPr>
          <w:rFonts w:ascii="Arial" w:cs="Arial" w:eastAsia="Arial" w:hAnsi="Arial"/>
          <w:b w:val="false"/>
          <w:bCs w:val="false"/>
          <w:sz w:val="22"/>
          <w:szCs w:val="22"/>
        </w:rPr>
        <w:t xml:space="preserve">You built the IP. They built the market share.</w:t>
      </w:r>
    </w:p>
    <w:p>
      <w:pPr>
        <w:spacing w:after="100"/>
      </w:pPr>
    </w:p>
    <w:p>
      <w:pPr>
        <w:spacing w:after="120"/>
      </w:pPr>
      <w:r>
        <w:rPr>
          <w:rFonts w:ascii="Arial" w:cs="Arial" w:eastAsia="Arial" w:hAnsi="Arial"/>
          <w:b w:val="false"/>
          <w:bCs w:val="false"/>
          <w:sz w:val="22"/>
          <w:szCs w:val="22"/>
        </w:rPr>
        <w:t xml:space="preserve">NEXUS is the pipe that delivers the water. NEXUS is not the water.</w:t>
      </w:r>
    </w:p>
    <w:p>
      <w:pPr>
        <w:spacing w:after="100"/>
      </w:pPr>
    </w:p>
    <w:p>
      <w:pPr>
        <w:spacing w:after="120"/>
      </w:pPr>
      <w:r>
        <w:rPr>
          <w:rFonts w:ascii="Arial" w:cs="Arial" w:eastAsia="Arial" w:hAnsi="Arial"/>
          <w:b w:val="false"/>
          <w:bCs w:val="false"/>
          <w:sz w:val="22"/>
          <w:szCs w:val="22"/>
        </w:rPr>
        <w:t xml:space="preserve">PSA grades the cards. NEXUS owns the truth about the cards.</w:t>
      </w:r>
    </w:p>
    <w:p>
      <w:pPr>
        <w:spacing w:after="100"/>
      </w:pPr>
    </w:p>
    <w:p>
      <w:pPr>
        <w:spacing w:after="120"/>
      </w:pPr>
      <w:r>
        <w:rPr>
          <w:rFonts w:ascii="Arial" w:cs="Arial" w:eastAsia="Arial" w:hAnsi="Arial"/>
          <w:b/>
          <w:bCs/>
          <w:sz w:val="22"/>
          <w:szCs w:val="22"/>
        </w:rPr>
        <w:t xml:space="preserve">Truth wins.</w:t>
      </w:r>
    </w:p>
    <w:p>
      <w:pPr>
        <w:spacing w:after="400"/>
      </w:pPr>
    </w:p>
    <w:p>
      <w:pPr>
        <w:jc w:val="center"/>
      </w:pPr>
      <w:r>
        <w:rPr>
          <w:rFonts w:ascii="Arial" w:cs="Arial" w:eastAsia="Arial" w:hAnsi="Arial"/>
          <w:b/>
          <w:bCs/>
          <w:sz w:val="28"/>
          <w:szCs w:val="28"/>
        </w:rPr>
        <w:t xml:space="preserve">JAQUES</w:t>
      </w:r>
    </w:p>
    <w:p>
      <w:pPr>
        <w:jc w:val="center"/>
      </w:pPr>
      <w:r>
        <w:rPr>
          <w:rFonts w:ascii="Arial" w:cs="Arial" w:eastAsia="Arial" w:hAnsi="Arial"/>
          <w:i/>
          <w:iCs/>
          <w:sz w:val="22"/>
          <w:szCs w:val="22"/>
        </w:rPr>
        <w:t xml:space="preserve">Patent Attorney &amp; Strategic Warfare Architect</w:t>
      </w:r>
    </w:p>
    <w:p>
      <w:pPr>
        <w:jc w:val="center"/>
      </w:pPr>
      <w:r>
        <w:rPr>
          <w:rFonts w:ascii="Arial" w:cs="Arial" w:eastAsia="Arial" w:hAnsi="Arial"/>
          <w:sz w:val="22"/>
          <w:szCs w:val="22"/>
        </w:rPr>
        <w:t xml:space="preserve">NEXUS Universal Collectibles System</w:t>
      </w:r>
    </w:p>
    <w:p>
      <w:pPr>
        <w:spacing w:before="100"/>
        <w:jc w:val="center"/>
      </w:pPr>
      <w:r>
        <w:rPr>
          <w:rFonts w:ascii="Arial" w:cs="Arial" w:eastAsia="Arial" w:hAnsi="Arial"/>
          <w:i/>
          <w:iCs/>
          <w:sz w:val="20"/>
          <w:szCs w:val="20"/>
        </w:rPr>
        <w:t xml:space="preserve">117 Claims. The Death Star is Operational.</w:t>
      </w:r>
    </w:p>
    <w:p>
      <w:pPr>
        <w:spacing w:after="300"/>
      </w:pPr>
    </w:p>
    <w:p>
      <w:pPr>
        <w:jc w:val="center"/>
      </w:pPr>
      <w:r>
        <w:rPr>
          <w:rFonts w:ascii="Arial" w:cs="Arial" w:eastAsia="Arial" w:hAnsi="Arial"/>
          <w:i/>
          <w:iCs/>
          <w:sz w:val="18"/>
          <w:szCs w:val="18"/>
        </w:rPr>
        <w:t xml:space="preserve">DISCLAIMER: This memorandum is generated by an AI agent operating in a legal strategy advisory role. It does not constitute formal legal advice and should be reviewed by licensed patent counsel before any filings or legal actions are taken.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2026-03-02T22:22:29.561Z</dcterms:created>
  <dcterms:modified xsi:type="dcterms:W3CDTF">2026-03-02T22:22:29.600Z</dcterms:modified>
</cp:coreProperties>
</file>

<file path=docProps/custom.xml><?xml version="1.0" encoding="utf-8"?>
<Properties xmlns="http://schemas.openxmlformats.org/officeDocument/2006/custom-properties" xmlns:vt="http://schemas.openxmlformats.org/officeDocument/2006/docPropsVTypes"/>
</file>