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200"/>
        <w:jc w:val="center"/>
      </w:pPr>
      <w:r>
        <w:rPr>
          <w:rFonts w:ascii="Arial" w:cs="Arial" w:eastAsia="Arial" w:hAnsi="Arial"/>
          <w:b/>
          <w:bCs/>
          <w:color w:val="8B1A1A"/>
          <w:sz w:val="44"/>
          <w:szCs w:val="44"/>
        </w:rPr>
        <w:t xml:space="preserve">NEXUS UNIVERSAL COLLECTIBLES SYSTEM</w:t>
      </w:r>
    </w:p>
    <w:p>
      <w:pPr>
        <w:spacing w:after="600"/>
        <w:jc w:val="center"/>
      </w:pPr>
      <w:r>
        <w:rPr>
          <w:rFonts w:ascii="Arial" w:cs="Arial" w:eastAsia="Arial" w:hAnsi="Arial"/>
          <w:color w:val="A62626"/>
          <w:sz w:val="36"/>
          <w:szCs w:val="36"/>
        </w:rPr>
        <w:t xml:space="preserve">Pre-Grading Provenance Strategy</w:t>
      </w:r>
    </w:p>
    <w:p>
      <w:pPr>
        <w:spacing w:after="100"/>
        <w:jc w:val="center"/>
      </w:pPr>
      <w:r>
        <w:rPr>
          <w:rFonts w:ascii="Arial" w:cs="Arial" w:eastAsia="Arial" w:hAnsi="Arial"/>
          <w:i/>
          <w:iCs/>
          <w:color w:val="666666"/>
          <w:sz w:val="28"/>
          <w:szCs w:val="28"/>
        </w:rPr>
        <w:t xml:space="preserve">The Sword</w:t>
      </w:r>
    </w:p>
    <w:p>
      <w:pPr>
        <w:pBdr>
          <w:bottom w:val="single" w:color="8B1A1A" w:sz="8" w:space="8"/>
        </w:pBdr>
        <w:spacing w:after="800"/>
        <w:jc w:val="center"/>
      </w:pPr>
    </w:p>
    <w:p>
      <w:pPr>
        <w:spacing w:after="100"/>
        <w:jc w:val="center"/>
      </w:pPr>
      <w:r>
        <w:rPr>
          <w:rFonts w:ascii="Arial" w:cs="Arial" w:eastAsia="Arial" w:hAnsi="Arial"/>
          <w:color w:val="333333"/>
          <w:sz w:val="22"/>
          <w:szCs w:val="22"/>
        </w:rPr>
        <w:t xml:space="preserve">Prepared by: Jaques — Patent Attorney &amp; Strategic Warfare Architect</w:t>
      </w:r>
    </w:p>
    <w:p>
      <w:pPr>
        <w:spacing w:after="100"/>
        <w:jc w:val="center"/>
      </w:pPr>
      <w:r>
        <w:rPr>
          <w:rFonts w:ascii="Arial" w:cs="Arial" w:eastAsia="Arial" w:hAnsi="Arial"/>
          <w:color w:val="333333"/>
          <w:sz w:val="22"/>
          <w:szCs w:val="22"/>
        </w:rPr>
        <w:t xml:space="preserve">For: Kevin Caracozza, Founder &amp; CEO</w:t>
      </w:r>
    </w:p>
    <w:p>
      <w:pPr>
        <w:spacing w:after="100"/>
        <w:jc w:val="center"/>
      </w:pPr>
      <w:r>
        <w:rPr>
          <w:rFonts w:ascii="Arial" w:cs="Arial" w:eastAsia="Arial" w:hAnsi="Arial"/>
          <w:color w:val="333333"/>
          <w:sz w:val="22"/>
          <w:szCs w:val="22"/>
        </w:rPr>
        <w:t xml:space="preserve">Date: March 2, 2026</w:t>
      </w:r>
    </w:p>
    <w:p>
      <w:pPr>
        <w:spacing w:after="100"/>
        <w:jc w:val="center"/>
      </w:pPr>
      <w:r>
        <w:rPr>
          <w:rFonts w:ascii="Arial" w:cs="Arial" w:eastAsia="Arial" w:hAnsi="Arial"/>
          <w:b/>
          <w:bCs/>
          <w:color w:val="CC0000"/>
          <w:sz w:val="20"/>
          <w:szCs w:val="20"/>
        </w:rPr>
        <w:t xml:space="preserve">Classification: CONFIDENTIAL — ATTORNEY-CLIENT PRIVILEGE</w:t>
      </w:r>
    </w:p>
    <w:p>
      <w:pPr>
        <w:spacing w:after="100"/>
        <w:jc w:val="center"/>
      </w:pPr>
      <w:r>
        <w:rPr>
          <w:rFonts w:ascii="Arial" w:cs="Arial" w:eastAsia="Arial" w:hAnsi="Arial"/>
          <w:color w:val="999999"/>
          <w:sz w:val="18"/>
          <w:szCs w:val="18"/>
        </w:rPr>
        <w:t xml:space="preserve">Document ID: NEXUS-LEGAL-2026-002</w:t>
      </w:r>
    </w:p>
    <w:p>
      <w:pPr>
        <w:spacing w:after="100"/>
        <w:jc w:val="center"/>
      </w:pPr>
      <w:r>
        <w:rPr>
          <w:rFonts w:ascii="Arial" w:cs="Arial" w:eastAsia="Arial" w:hAnsi="Arial"/>
          <w:color w:val="999999"/>
          <w:sz w:val="18"/>
          <w:szCs w:val="18"/>
        </w:rPr>
        <w:t xml:space="preserve">Companion to: NEXUS-LEGAL-2026-001 (Defensive Legal Strategy)</w:t>
      </w:r>
    </w:p>
    <w:p>
      <w:r>
        <w:br w:type="page"/>
      </w:r>
    </w:p>
    <w:p>
      <w:pPr>
        <w:pStyle w:val="Heading1"/>
      </w:pPr>
      <w:r>
        <w:t xml:space="preserve">Executive Summary</w:t>
      </w:r>
    </w:p>
    <w:p>
      <w:pPr>
        <w:spacing w:after="200"/>
      </w:pPr>
      <w:r>
        <w:t xml:space="preserve">The NEXUS pre-grading feature is not merely a consumer convenience—it is a strategic weapon of extraordinary legal and market significance. Every pre-grade scan creates a blockchain-certified, 48MP-documented, timestamped provenance record that captures the exact condition of a collectible </w:t>
      </w:r>
      <w:r>
        <w:rPr>
          <w:i/>
          <w:iCs/>
        </w:rPr>
        <w:t xml:space="preserve">before</w:t>
      </w:r>
      <w:r>
        <w:t xml:space="preserve"> it enters any third-party grading service’s chain of custody.</w:t>
      </w:r>
    </w:p>
    <w:p>
      <w:pPr>
        <w:spacing w:after="200"/>
      </w:pPr>
      <w:r>
        <w:t xml:space="preserve">This document details how the pre-grading provenance system functions as a dual-purpose instrument: a premium product feature that collectors will pay for, and a forensic accountability layer that fundamentally changes the power dynamics between grading services and the market they serve.</w:t>
      </w:r>
    </w:p>
    <w:p>
      <w:pPr>
        <w:spacing w:after="200"/>
      </w:pPr>
      <w:r>
        <w:rPr>
          <w:b/>
          <w:bCs/>
        </w:rPr>
        <w:t xml:space="preserve">The core insight: NEXUS gives every card owner a receipt that no grading company can dispute.</w:t>
      </w:r>
    </w:p>
    <w:p>
      <w:pPr>
        <w:pStyle w:val="Heading1"/>
      </w:pPr>
      <w:r>
        <w:t xml:space="preserve">1. The Provenance Chain: What NEXUS Captures</w:t>
      </w:r>
    </w:p>
    <w:p>
      <w:pPr>
        <w:spacing w:after="120"/>
      </w:pPr>
      <w:r>
        <w:t xml:space="preserve">Every pre-grade scan through a NEXUS scanner generates the following immutable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Data Element</w:t>
            </w:r>
          </w:p>
        </w:tc>
        <w:tc>
          <w:tcPr>
            <w:tcW w:type="dxa" w:w="3510"/>
            <w:tcBorders>
              <w:top w:val="single" w:color="999999" w:sz="1"/>
              <w:left w:val="single" w:color="999999" w:sz="1"/>
              <w:bottom w:val="single" w:color="999999" w:sz="1"/>
              <w:right w:val="single" w:color="999999"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Technical Detail</w:t>
            </w:r>
          </w:p>
        </w:tc>
        <w:tc>
          <w:tcPr>
            <w:tcW w:type="dxa" w:w="3510"/>
            <w:tcBorders>
              <w:top w:val="single" w:color="999999" w:sz="1"/>
              <w:left w:val="single" w:color="999999" w:sz="1"/>
              <w:bottom w:val="single" w:color="999999" w:sz="1"/>
              <w:right w:val="single" w:color="999999"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Legal Significance</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48MP Photograph</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Arducam 48MP sensor, cross-polarized lighting eliminates glare, multi-angle capture protocol</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Resolution exceeds PSA’s own documentation. Irrefutable photographic evidence of card condition at scan time.</w:t>
            </w:r>
          </w:p>
        </w:tc>
      </w:tr>
      <w:tr>
        <w:tc>
          <w:tcPr>
            <w:tcW w:type="dxa" w:w="234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bCs/>
                <w:sz w:val="20"/>
                <w:szCs w:val="20"/>
              </w:rPr>
              <w:t xml:space="preserve">AI Condition Analysis</w:t>
            </w:r>
          </w:p>
        </w:tc>
        <w:tc>
          <w:tcPr>
            <w:tcW w:type="dxa" w:w="351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ML model scores centering, corners, edges, surface. Produces predicted grade range with confidence interval.</w:t>
            </w:r>
          </w:p>
        </w:tc>
        <w:tc>
          <w:tcPr>
            <w:tcW w:type="dxa" w:w="351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Objective, algorithmic assessment. Not opinion—mathematical output from trained model. Reproducible.</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Timestamp</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UTC timestamp at scan initiation, embedded in metadata and blockchain record</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Establishes exact moment condition was documented. Creates before/after timeline for any subsequent grading.</w:t>
            </w:r>
          </w:p>
        </w:tc>
      </w:tr>
      <w:tr>
        <w:tc>
          <w:tcPr>
            <w:tcW w:type="dxa" w:w="234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351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Scanner ID, shop ID, GPS coordinates (if available), network verification</w:t>
            </w:r>
          </w:p>
        </w:tc>
        <w:tc>
          <w:tcPr>
            <w:tcW w:type="dxa" w:w="351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Chain of custody: proves card was at Location X at Time Y in Condition Z.</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Blockchain Certificate</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Polygon-based immutable record. Hash of photograph + analysis + metadata.</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Cannot be altered, deleted, or disputed after creation. Admissible as business record under FRE 803(6).</w:t>
            </w:r>
          </w:p>
        </w:tc>
      </w:tr>
      <w:tr>
        <w:tc>
          <w:tcPr>
            <w:tcW w:type="dxa" w:w="234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bCs/>
                <w:sz w:val="20"/>
                <w:szCs w:val="20"/>
              </w:rPr>
              <w:t xml:space="preserve">Scanner Calibration</w:t>
            </w:r>
          </w:p>
        </w:tc>
        <w:tc>
          <w:tcPr>
            <w:tcW w:type="dxa" w:w="351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Hardware diagnostic state at time of scan. Lighting, focus, sensor verification.</w:t>
            </w:r>
          </w:p>
        </w:tc>
        <w:tc>
          <w:tcPr>
            <w:tcW w:type="dxa" w:w="351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Preempts challenges to scan accuracy. Proves equipment was functioning within specifications.</w:t>
            </w:r>
          </w:p>
        </w:tc>
      </w:tr>
    </w:tbl>
    <w:p>
      <w:pPr>
        <w:pStyle w:val="Heading2"/>
        <w:spacing w:before="300"/>
      </w:pPr>
      <w:r>
        <w:t xml:space="preserve">1.1 The Provenance Scenario</w:t>
      </w:r>
    </w:p>
    <w:p>
      <w:pPr>
        <w:spacing w:after="120"/>
      </w:pPr>
      <w:r>
        <w:t xml:space="preserve">Follow the chain of a single card through the system:</w:t>
      </w:r>
    </w:p>
    <w:p>
      <w:pPr>
        <w:pStyle w:val="ListParagraph"/>
        <w:numPr>
          <w:ilvl w:val="0"/>
          <w:numId w:val="2"/>
        </w:numPr>
        <w:spacing w:after="80"/>
      </w:pPr>
      <w:r>
        <w:rPr>
          <w:b/>
          <w:bCs/>
        </w:rPr>
        <w:t xml:space="preserve">Card owner visits NEXUS-equipped card shop. </w:t>
      </w:r>
      <w:r>
        <w:t xml:space="preserve">Owner wants to submit a 1st Edition Base Set Charizard to PSA for grading.</w:t>
      </w:r>
    </w:p>
    <w:p>
      <w:pPr>
        <w:pStyle w:val="ListParagraph"/>
        <w:numPr>
          <w:ilvl w:val="0"/>
          <w:numId w:val="2"/>
        </w:numPr>
        <w:spacing w:after="80"/>
      </w:pPr>
      <w:r>
        <w:rPr>
          <w:b/>
          <w:bCs/>
        </w:rPr>
        <w:t xml:space="preserve">NEXUS pre-grade scan is performed. </w:t>
      </w:r>
      <w:r>
        <w:t xml:space="preserve">48MP photographs front and back. AI analysis: centering 95/5 (excellent), corners sharp, edges clean, surface minimal whitening. Predicted grade: PSA 9-10. Confidence: 87%.</w:t>
      </w:r>
    </w:p>
    <w:p>
      <w:pPr>
        <w:pStyle w:val="ListParagraph"/>
        <w:numPr>
          <w:ilvl w:val="0"/>
          <w:numId w:val="2"/>
        </w:numPr>
        <w:spacing w:after="80"/>
      </w:pPr>
      <w:r>
        <w:rPr>
          <w:b/>
          <w:bCs/>
        </w:rPr>
        <w:t xml:space="preserve">Blockchain certificate is minted. </w:t>
      </w:r>
      <w:r>
        <w:t xml:space="preserve">Immutable Polygon record created with hash of all scan data. Certificate ID issued to card owner. Timestamp: March 2, 2026, 14:32:07 UTC.</w:t>
      </w:r>
    </w:p>
    <w:p>
      <w:pPr>
        <w:pStyle w:val="ListParagraph"/>
        <w:numPr>
          <w:ilvl w:val="0"/>
          <w:numId w:val="2"/>
        </w:numPr>
        <w:spacing w:after="80"/>
      </w:pPr>
      <w:r>
        <w:rPr>
          <w:b/>
          <w:bCs/>
        </w:rPr>
        <w:t xml:space="preserve">Card is shipped to PSA. </w:t>
      </w:r>
      <w:r>
        <w:t xml:space="preserve">Owner packs and ships card through PSA’s standard submission process. Card enters PSA’s chain of custody.</w:t>
      </w:r>
    </w:p>
    <w:p>
      <w:pPr>
        <w:pStyle w:val="ListParagraph"/>
        <w:numPr>
          <w:ilvl w:val="0"/>
          <w:numId w:val="2"/>
        </w:numPr>
        <w:spacing w:after="80"/>
      </w:pPr>
      <w:r>
        <w:rPr>
          <w:b/>
          <w:bCs/>
        </w:rPr>
        <w:t xml:space="preserve">PSA returns grade: PSA 7. </w:t>
      </w:r>
      <w:r>
        <w:t xml:space="preserve">Two full grades below NEXUS’s predicted range. Card value difference at this grade: potentially thousands of dollars.</w:t>
      </w:r>
    </w:p>
    <w:p>
      <w:pPr>
        <w:pStyle w:val="ListParagraph"/>
        <w:numPr>
          <w:ilvl w:val="0"/>
          <w:numId w:val="2"/>
        </w:numPr>
        <w:spacing w:after="200"/>
      </w:pPr>
      <w:r>
        <w:rPr>
          <w:b/>
          <w:bCs/>
        </w:rPr>
        <w:t xml:space="preserve">Card owner has irrefutable evidence. </w:t>
      </w:r>
      <w:r>
        <w:t xml:space="preserve">Blockchain-certified, 48MP-documented record proving the card was in PSA 9-10 condition BEFORE it entered PSA’s possession. The question becomes: what happened to this card between the NEXUS scan and PSA’s grading desk?</w:t>
      </w:r>
    </w:p>
    <w:p>
      <w:r>
        <w:br w:type="page"/>
      </w:r>
    </w:p>
    <w:p>
      <w:pPr>
        <w:pStyle w:val="Heading1"/>
      </w:pPr>
      <w:r>
        <w:t xml:space="preserve">2. The Legal Weapon: How Provenance Data Works in Court</w:t>
      </w:r>
    </w:p>
    <w:p>
      <w:pPr>
        <w:pStyle w:val="Heading2"/>
      </w:pPr>
      <w:r>
        <w:t xml:space="preserve">2.1 Data, Not Defamation</w:t>
      </w:r>
    </w:p>
    <w:p>
      <w:pPr>
        <w:spacing w:after="200"/>
      </w:pPr>
      <w:r>
        <w:t xml:space="preserve">The critical legal distinction: NEXUS never states that PSA’s grades are wrong. NEXUS publishes objective data about card condition at a specific point in time. If a statistical pattern emerges showing systematic discrepancies between NEXUS pre-grade documentation and PSA final grades, that pattern is </w:t>
      </w:r>
      <w:r>
        <w:rPr>
          <w:i/>
          <w:iCs/>
        </w:rPr>
        <w:t xml:space="preserve">data</w:t>
      </w:r>
      <w:r>
        <w:t xml:space="preserve">, not defamation. Specifically:</w:t>
      </w:r>
    </w:p>
    <w:p>
      <w:pPr>
        <w:pStyle w:val="ListParagraph"/>
        <w:numPr>
          <w:ilvl w:val="0"/>
          <w:numId w:val="3"/>
        </w:numPr>
        <w:spacing w:after="80"/>
      </w:pPr>
      <w:r>
        <w:rPr>
          <w:b/>
          <w:bCs/>
        </w:rPr>
        <w:t xml:space="preserve">Truth is an absolute defense to defamation. </w:t>
      </w:r>
      <w:r>
        <w:t xml:space="preserve">NEXUS’s data is machine-generated, timestamped, and blockchain-certified. It is not opinion. It is measurement.</w:t>
      </w:r>
    </w:p>
    <w:p>
      <w:pPr>
        <w:pStyle w:val="ListParagraph"/>
        <w:numPr>
          <w:ilvl w:val="0"/>
          <w:numId w:val="3"/>
        </w:numPr>
        <w:spacing w:after="80"/>
      </w:pPr>
      <w:r>
        <w:rPr>
          <w:b/>
          <w:bCs/>
        </w:rPr>
        <w:t xml:space="preserve">NEXUS draws no conclusions. </w:t>
      </w:r>
      <w:r>
        <w:t xml:space="preserve">The system presents data. If a user, journalist, or attorney draws conclusions from that data, NEXUS is the measurement tool, not the editorialist.</w:t>
      </w:r>
    </w:p>
    <w:p>
      <w:pPr>
        <w:pStyle w:val="ListParagraph"/>
        <w:numPr>
          <w:ilvl w:val="0"/>
          <w:numId w:val="3"/>
        </w:numPr>
        <w:spacing w:after="80"/>
      </w:pPr>
      <w:r>
        <w:rPr>
          <w:b/>
          <w:bCs/>
        </w:rPr>
        <w:t xml:space="preserve">Scientific methodology defense. </w:t>
      </w:r>
      <w:r>
        <w:t xml:space="preserve">The AI grading model is trained on labeled data, produces reproducible results, and operates within documented confidence intervals. This is not guesswork—it is applied machine learning with measurable accuracy.</w:t>
      </w:r>
    </w:p>
    <w:p>
      <w:pPr>
        <w:pStyle w:val="ListParagraph"/>
        <w:numPr>
          <w:ilvl w:val="0"/>
          <w:numId w:val="3"/>
        </w:numPr>
        <w:spacing w:after="200"/>
      </w:pPr>
      <w:r>
        <w:rPr>
          <w:b/>
          <w:bCs/>
        </w:rPr>
        <w:t xml:space="preserve">Patent protection covers the methodology. </w:t>
      </w:r>
      <w:r>
        <w:t xml:space="preserve">Claim 101 explicitly covers the system for monitoring grading consistency. This is patented technology performing its designed function.</w:t>
      </w:r>
    </w:p>
    <w:p>
      <w:pPr>
        <w:pStyle w:val="Heading2"/>
      </w:pPr>
      <w:r>
        <w:t xml:space="preserve">2.2 The Discovery Nightmare for PSA</w:t>
      </w:r>
    </w:p>
    <w:p>
      <w:pPr>
        <w:spacing w:after="120"/>
      </w:pPr>
      <w:r>
        <w:t xml:space="preserve">If PSA sues NEXUS and NEXUS counterclaims with provenance data, discovery opens doors PSA cannot close:</w:t>
      </w:r>
    </w:p>
    <w:p>
      <w:pPr>
        <w:pStyle w:val="ListParagraph"/>
        <w:numPr>
          <w:ilvl w:val="0"/>
          <w:numId w:val="3"/>
        </w:numPr>
        <w:spacing w:after="80"/>
      </w:pPr>
      <w:r>
        <w:rPr>
          <w:b/>
          <w:bCs/>
        </w:rPr>
        <w:t xml:space="preserve">Internal Grading Records: </w:t>
      </w:r>
      <w:r>
        <w:t xml:space="preserve">NEXUS can request PSA’s internal photographs, grading notes, and quality control documentation for every card where a NEXUS provenance record exists.</w:t>
      </w:r>
    </w:p>
    <w:p>
      <w:pPr>
        <w:pStyle w:val="ListParagraph"/>
        <w:numPr>
          <w:ilvl w:val="0"/>
          <w:numId w:val="3"/>
        </w:numPr>
        <w:spacing w:after="80"/>
      </w:pPr>
      <w:r>
        <w:rPr>
          <w:b/>
          <w:bCs/>
        </w:rPr>
        <w:t xml:space="preserve">Grader Training Materials: </w:t>
      </w:r>
      <w:r>
        <w:t xml:space="preserve">How PSA trains graders, what consistency standards exist, how quality control is enforced.</w:t>
      </w:r>
    </w:p>
    <w:p>
      <w:pPr>
        <w:pStyle w:val="ListParagraph"/>
        <w:numPr>
          <w:ilvl w:val="0"/>
          <w:numId w:val="3"/>
        </w:numPr>
        <w:spacing w:after="80"/>
      </w:pPr>
      <w:r>
        <w:rPr>
          <w:b/>
          <w:bCs/>
        </w:rPr>
        <w:t xml:space="preserve">Inter-Grader Variance Data: </w:t>
      </w:r>
      <w:r>
        <w:t xml:space="preserve">Does PSA track whether different graders grade the same card differently? If they do, that data becomes court record. If they don’t, that absence is equally damning.</w:t>
      </w:r>
    </w:p>
    <w:p>
      <w:pPr>
        <w:pStyle w:val="ListParagraph"/>
        <w:numPr>
          <w:ilvl w:val="0"/>
          <w:numId w:val="3"/>
        </w:numPr>
        <w:spacing w:after="80"/>
      </w:pPr>
      <w:r>
        <w:rPr>
          <w:b/>
          <w:bCs/>
        </w:rPr>
        <w:t xml:space="preserve">Resubmission Records: </w:t>
      </w:r>
      <w:r>
        <w:t xml:space="preserve">How often cards are cracked and resubmitted to receive different grades. PSA knows this happens. NEXUS can quantify it.</w:t>
      </w:r>
    </w:p>
    <w:p>
      <w:pPr>
        <w:pStyle w:val="ListParagraph"/>
        <w:numPr>
          <w:ilvl w:val="0"/>
          <w:numId w:val="3"/>
        </w:numPr>
        <w:spacing w:after="200"/>
      </w:pPr>
      <w:r>
        <w:rPr>
          <w:b/>
          <w:bCs/>
        </w:rPr>
        <w:t xml:space="preserve">Revenue Impact Analysis: </w:t>
      </w:r>
      <w:r>
        <w:t xml:space="preserve">Grade inconsistency drives resubmissions, which generate repeat revenue for PSA. A pattern showing financial incentive for inconsistency would be devastating.</w:t>
      </w:r>
    </w:p>
    <w:p>
      <w:pPr>
        <w:pStyle w:val="Heading2"/>
      </w:pPr>
      <w:r>
        <w:t xml:space="preserve">2.3 The Statistical Weapon</w:t>
      </w:r>
    </w:p>
    <w:p>
      <w:pPr>
        <w:spacing w:after="200"/>
      </w:pPr>
      <w:r>
        <w:t xml:space="preserve">Individual discrepancies are anecdotal. Thousands of provenance-documented discrepancies are statistical evidence. NEXUS’s pre-grading system, deployed across multiple shops, will accumulate a dataset that enables:</w:t>
      </w:r>
    </w:p>
    <w:p>
      <w:pPr>
        <w:pStyle w:val="ListParagraph"/>
        <w:numPr>
          <w:ilvl w:val="0"/>
          <w:numId w:val="3"/>
        </w:numPr>
        <w:spacing w:after="80"/>
      </w:pPr>
      <w:r>
        <w:rPr>
          <w:b/>
          <w:bCs/>
        </w:rPr>
        <w:t xml:space="preserve">Grading variance analysis: </w:t>
      </w:r>
      <w:r>
        <w:t xml:space="preserve">Statistical measurement of how far PSA grades deviate from NEXUS AI predictions across thousands of cards. If NEXUS predicts PSA 9 and PSA gives 7 at a statistically significant rate, that is measurable fact.</w:t>
      </w:r>
    </w:p>
    <w:p>
      <w:pPr>
        <w:pStyle w:val="ListParagraph"/>
        <w:numPr>
          <w:ilvl w:val="0"/>
          <w:numId w:val="3"/>
        </w:numPr>
        <w:spacing w:after="80"/>
      </w:pPr>
      <w:r>
        <w:rPr>
          <w:b/>
          <w:bCs/>
        </w:rPr>
        <w:t xml:space="preserve">Category bias detection: </w:t>
      </w:r>
      <w:r>
        <w:t xml:space="preserve">Does PSA grade certain card types, eras, or brands more harshly? NEXUS data can identify patterns invisible to individual collectors.</w:t>
      </w:r>
    </w:p>
    <w:p>
      <w:pPr>
        <w:pStyle w:val="ListParagraph"/>
        <w:numPr>
          <w:ilvl w:val="0"/>
          <w:numId w:val="3"/>
        </w:numPr>
        <w:spacing w:after="80"/>
      </w:pPr>
      <w:r>
        <w:rPr>
          <w:b/>
          <w:bCs/>
        </w:rPr>
        <w:t xml:space="preserve">Temporal analysis: </w:t>
      </w:r>
      <w:r>
        <w:t xml:space="preserve">Do PSA grades fluctuate based on submission volume, time of year, or market conditions? NEXUS timestamps enable correlation analysis.</w:t>
      </w:r>
    </w:p>
    <w:p>
      <w:pPr>
        <w:pStyle w:val="ListParagraph"/>
        <w:numPr>
          <w:ilvl w:val="0"/>
          <w:numId w:val="3"/>
        </w:numPr>
        <w:spacing w:after="200"/>
      </w:pPr>
      <w:r>
        <w:rPr>
          <w:b/>
          <w:bCs/>
        </w:rPr>
        <w:t xml:space="preserve">Condition degradation tracking: </w:t>
      </w:r>
      <w:r>
        <w:t xml:space="preserve">If a card’s condition demonstrably worsens between NEXUS pre-scan and PSA return, NEXUS has the before/after photographic evidence at 48MP resolution. This opens questions about handling in PSA’s facility.</w:t>
      </w:r>
    </w:p>
    <w:p>
      <w:r>
        <w:br w:type="page"/>
      </w:r>
    </w:p>
    <w:p>
      <w:pPr>
        <w:pStyle w:val="Heading1"/>
      </w:pPr>
      <w:r>
        <w:t xml:space="preserve">3. Product Value: Why Collectors Will Pay</w:t>
      </w:r>
    </w:p>
    <w:p>
      <w:pPr>
        <w:spacing w:after="200"/>
      </w:pPr>
      <w:r>
        <w:t xml:space="preserve">The pre-grading provenance feature is not just a legal weapon—it is a premium product feature that addresses real collector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3120"/>
            <w:tcBorders>
              <w:top w:val="single" w:color="999999" w:sz="1"/>
              <w:left w:val="single" w:color="999999" w:sz="1"/>
              <w:bottom w:val="single" w:color="999999" w:sz="1"/>
              <w:right w:val="single" w:color="999999"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Current Solution</w:t>
            </w:r>
          </w:p>
        </w:tc>
        <w:tc>
          <w:tcPr>
            <w:tcW w:type="dxa" w:w="3120"/>
            <w:tcBorders>
              <w:top w:val="single" w:color="999999" w:sz="1"/>
              <w:left w:val="single" w:color="999999" w:sz="1"/>
              <w:bottom w:val="single" w:color="999999" w:sz="1"/>
              <w:right w:val="single" w:color="999999"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NEXUS Solution</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Shipping damage uncertainty</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None. Collectors photograph cards with phone cameras before shipping. No standard, no certification, no legal weight.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48MP certified pre-ship documentation with blockchain timestamp. If card arrives damaged, proof exists.</w:t>
            </w:r>
          </w:p>
        </w:tc>
      </w:tr>
      <w:tr>
        <w:tc>
          <w:tcPr>
            <w:tcW w:type="dxa" w:w="312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bCs/>
                <w:sz w:val="20"/>
                <w:szCs w:val="20"/>
              </w:rPr>
              <w:t xml:space="preserve">Grade prediction</w:t>
            </w:r>
          </w:p>
        </w:tc>
        <w:tc>
          <w:tcPr>
            <w:tcW w:type="dxa" w:w="312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Facebook groups, Reddit threads, "what do you think I’ll get?" posts. Subjective, unreliable.</w:t>
            </w:r>
          </w:p>
        </w:tc>
        <w:tc>
          <w:tcPr>
            <w:tcW w:type="dxa" w:w="312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AI-powered grade prediction with confidence intervals. Data-driven decision on whether to submit.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Submission ROI calculation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Manual research. Check eBay comps for each potential grade. Time-consuming.</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Automated ROI: “At PSA 9 this card is worth $X. At PSA 10, $Y. Submission cost: $Z. Expected value: $W.”</w:t>
            </w:r>
          </w:p>
        </w:tc>
      </w:tr>
      <w:tr>
        <w:tc>
          <w:tcPr>
            <w:tcW w:type="dxa" w:w="312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bCs/>
                <w:sz w:val="20"/>
                <w:szCs w:val="20"/>
              </w:rPr>
              <w:t xml:space="preserve">Insurance claims</w:t>
            </w:r>
          </w:p>
        </w:tc>
        <w:tc>
          <w:tcPr>
            <w:tcW w:type="dxa" w:w="312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No standard documentation for insurance claims on collectibles lost or damaged in transit.</w:t>
            </w:r>
          </w:p>
        </w:tc>
        <w:tc>
          <w:tcPr>
            <w:tcW w:type="dxa" w:w="312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Blockchain-certified condition record serves as insurance documentation with legal weight.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Resale provenance</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None. Buyer trusts seller’s description.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Transferable provenance certificate. Every subsequent owner inherits the authentication history.</w:t>
            </w:r>
          </w:p>
        </w:tc>
      </w:tr>
    </w:tbl>
    <w:p>
      <w:pPr>
        <w:pStyle w:val="Heading2"/>
        <w:spacing w:before="300"/>
      </w:pPr>
      <w:r>
        <w:t xml:space="preserve">3.1 Revenue Model</w:t>
      </w:r>
    </w:p>
    <w:p>
      <w:pPr>
        <w:spacing w:after="200"/>
      </w:pPr>
      <w:r>
        <w:t xml:space="preserve">Pre-grading provenance is a premium feature with multiple monetization paths: per-scan fees for individual pre-grade certificates, subscription tiers for high-volume submitters, and API access for grading companies who want to integrate NEXUS provenance into their own workflows. The competitive moat is that NEXUS’s patent claims (particularly Claims 90, 100, and 101) cover the methodology—competitors cannot build equivalent systems without licensing.</w:t>
      </w:r>
    </w:p>
    <w:p>
      <w:r>
        <w:br w:type="page"/>
      </w:r>
    </w:p>
    <w:p>
      <w:pPr>
        <w:pStyle w:val="Heading1"/>
      </w:pPr>
      <w:r>
        <w:t xml:space="preserve">4. Patent Coverage: The Claims That Protect This</w:t>
      </w:r>
    </w:p>
    <w:p>
      <w:pPr>
        <w:spacing w:after="200"/>
      </w:pPr>
      <w:r>
        <w:t xml:space="preserve">The pre-grading provenance system is protected by multiple interlocking patent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999999" w:sz="1"/>
              <w:left w:val="single" w:color="999999" w:sz="1"/>
              <w:bottom w:val="single" w:color="999999" w:sz="1"/>
              <w:right w:val="single" w:color="999999"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3900"/>
            <w:tcBorders>
              <w:top w:val="single" w:color="999999" w:sz="1"/>
              <w:left w:val="single" w:color="999999" w:sz="1"/>
              <w:bottom w:val="single" w:color="999999" w:sz="1"/>
              <w:right w:val="single" w:color="999999"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3900"/>
            <w:tcBorders>
              <w:top w:val="single" w:color="999999" w:sz="1"/>
              <w:left w:val="single" w:color="999999" w:sz="1"/>
              <w:bottom w:val="single" w:color="999999" w:sz="1"/>
              <w:right w:val="single" w:color="999999" w:sz="1"/>
            </w:tcBorders>
            <w:shd w:fill="8B1A1A" w:val="clear"/>
            <w:tcMar>
              <w:top w:type="dxa" w:w="80"/>
              <w:left w:type="dxa" w:w="120"/>
              <w:bottom w:type="dxa" w:w="80"/>
              <w:right w:type="dxa" w:w="120"/>
            </w:tcMar>
          </w:tcPr>
          <w:p>
            <w:r>
              <w:rPr>
                <w:rFonts w:ascii="Arial" w:cs="Arial" w:eastAsia="Arial" w:hAnsi="Arial"/>
                <w:b/>
                <w:bCs/>
                <w:color w:val="FFFFFF"/>
                <w:sz w:val="20"/>
                <w:szCs w:val="20"/>
              </w:rPr>
              <w:t xml:space="preserve">Relevance to Pre-Grading</w:t>
            </w:r>
          </w:p>
        </w:tc>
      </w:tr>
      <w:tr>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Claim 90</w:t>
            </w:r>
          </w:p>
        </w:tc>
        <w:tc>
          <w:tcPr>
            <w:tcW w:type="dxa" w:w="3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Apparatus for reading third-party graded collectibles with superior image quality</w:t>
            </w:r>
          </w:p>
        </w:tc>
        <w:tc>
          <w:tcPr>
            <w:tcW w:type="dxa" w:w="3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Covers the 48MP scanning of cards before and after third-party grading. The “superior image quality” element is key.</w:t>
            </w:r>
          </w:p>
        </w:tc>
      </w:tr>
      <w:tr>
        <w:tc>
          <w:tcPr>
            <w:tcW w:type="dxa" w:w="156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bCs/>
                <w:sz w:val="20"/>
                <w:szCs w:val="20"/>
              </w:rPr>
              <w:t xml:space="preserve">Claim 101</w:t>
            </w:r>
          </w:p>
        </w:tc>
        <w:tc>
          <w:tcPr>
            <w:tcW w:type="dxa" w:w="390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System for monitoring grading consistency across third-party certification services</w:t>
            </w:r>
          </w:p>
        </w:tc>
        <w:tc>
          <w:tcPr>
            <w:tcW w:type="dxa" w:w="390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THE provenance claim. Directly covers the comparison of NEXUS pre-grade data against PSA/BGS results.</w:t>
            </w:r>
          </w:p>
        </w:tc>
      </w:tr>
      <w:tr>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Claims 91-94</w:t>
            </w:r>
          </w:p>
        </w:tc>
        <w:tc>
          <w:tcPr>
            <w:tcW w:type="dxa" w:w="3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Authentication and financial certification systems</w:t>
            </w:r>
          </w:p>
        </w:tc>
        <w:tc>
          <w:tcPr>
            <w:tcW w:type="dxa" w:w="3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Covers the blockchain certification of scan data and the financial valuation component of pre-grade assessment.</w:t>
            </w:r>
          </w:p>
        </w:tc>
      </w:tr>
      <w:tr>
        <w:tc>
          <w:tcPr>
            <w:tcW w:type="dxa" w:w="156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bCs/>
                <w:sz w:val="20"/>
                <w:szCs w:val="20"/>
              </w:rPr>
              <w:t xml:space="preserve">Claims 66-71</w:t>
            </w:r>
          </w:p>
        </w:tc>
        <w:tc>
          <w:tcPr>
            <w:tcW w:type="dxa" w:w="390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AI/ML recognition and grading prediction</w:t>
            </w:r>
          </w:p>
        </w:tc>
        <w:tc>
          <w:tcPr>
            <w:tcW w:type="dxa" w:w="390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Covers the machine learning model that produces predicted grades. The core AI that makes pre-grading work.</w:t>
            </w:r>
          </w:p>
        </w:tc>
      </w:tr>
      <w:tr>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Claims 86-90</w:t>
            </w:r>
          </w:p>
        </w:tc>
        <w:tc>
          <w:tcPr>
            <w:tcW w:type="dxa" w:w="3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Cross-polarization imaging system</w:t>
            </w:r>
          </w:p>
        </w:tc>
        <w:tc>
          <w:tcPr>
            <w:tcW w:type="dxa" w:w="3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Covers the lighting technology that eliminates glare on holographic/foil cards. Critical for accurate condition documentation.</w:t>
            </w:r>
          </w:p>
        </w:tc>
      </w:tr>
      <w:tr>
        <w:tc>
          <w:tcPr>
            <w:tcW w:type="dxa" w:w="156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bCs/>
                <w:sz w:val="20"/>
                <w:szCs w:val="20"/>
              </w:rPr>
              <w:t xml:space="preserve">Claim 100</w:t>
            </w:r>
          </w:p>
        </w:tc>
        <w:tc>
          <w:tcPr>
            <w:tcW w:type="dxa" w:w="390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Comprehensive lifecycle management system with interlocking claims</w:t>
            </w:r>
          </w:p>
        </w:tc>
        <w:tc>
          <w:tcPr>
            <w:tcW w:type="dxa" w:w="3900"/>
            <w:tcBorders>
              <w:top w:val="single" w:color="999999" w:sz="1"/>
              <w:left w:val="single" w:color="999999" w:sz="1"/>
              <w:bottom w:val="single" w:color="999999" w:sz="1"/>
              <w:right w:val="single" w:color="999999" w:sz="1"/>
            </w:tcBorders>
            <w:shd w:fill="FDF2F2" w:val="clear"/>
            <w:tcMar>
              <w:top w:type="dxa" w:w="80"/>
              <w:left w:type="dxa" w:w="120"/>
              <w:bottom w:type="dxa" w:w="80"/>
              <w:right w:type="dxa" w:w="120"/>
            </w:tcMar>
          </w:tcPr>
          <w:p>
            <w:r>
              <w:rPr>
                <w:rFonts w:ascii="Arial" w:cs="Arial" w:eastAsia="Arial" w:hAnsi="Arial"/>
                <w:b w:val="false"/>
                <w:bCs w:val="false"/>
                <w:sz w:val="20"/>
                <w:szCs w:val="20"/>
              </w:rPr>
              <w:t xml:space="preserve">The umbrella claim. Pre-grading provenance is one component of the full lifecycle system that cannot be replicated without infringement.</w:t>
            </w:r>
          </w:p>
        </w:tc>
      </w:tr>
    </w:tbl>
    <w:p>
      <w:r>
        <w:br w:type="page"/>
      </w:r>
    </w:p>
    <w:p>
      <w:pPr>
        <w:pStyle w:val="Heading1"/>
      </w:pPr>
      <w:r>
        <w:t xml:space="preserve">5. Implementation: Building the Dataset</w:t>
      </w:r>
    </w:p>
    <w:p>
      <w:pPr>
        <w:pStyle w:val="Heading2"/>
      </w:pPr>
      <w:r>
        <w:t xml:space="preserve">5.1 Phase 1: Data Accumulation (Months 1-6)</w:t>
      </w:r>
    </w:p>
    <w:p>
      <w:pPr>
        <w:pStyle w:val="ListParagraph"/>
        <w:numPr>
          <w:ilvl w:val="0"/>
          <w:numId w:val="3"/>
        </w:numPr>
        <w:spacing w:after="80"/>
      </w:pPr>
      <w:r>
        <w:t xml:space="preserve">Deploy pre-grading feature to initial partner shops</w:t>
      </w:r>
    </w:p>
    <w:p>
      <w:pPr>
        <w:pStyle w:val="ListParagraph"/>
        <w:numPr>
          <w:ilvl w:val="0"/>
          <w:numId w:val="3"/>
        </w:numPr>
        <w:spacing w:after="80"/>
      </w:pPr>
      <w:r>
        <w:t xml:space="preserve">Offer free pre-grade scans to collectors submitting to PSA/BGS/SGC</w:t>
      </w:r>
    </w:p>
    <w:p>
      <w:pPr>
        <w:pStyle w:val="ListParagraph"/>
        <w:numPr>
          <w:ilvl w:val="0"/>
          <w:numId w:val="3"/>
        </w:numPr>
        <w:spacing w:after="80"/>
      </w:pPr>
      <w:r>
        <w:t xml:space="preserve">Collect return grades from participants (voluntary reporting)</w:t>
      </w:r>
    </w:p>
    <w:p>
      <w:pPr>
        <w:pStyle w:val="ListParagraph"/>
        <w:numPr>
          <w:ilvl w:val="0"/>
          <w:numId w:val="3"/>
        </w:numPr>
        <w:spacing w:after="80"/>
      </w:pPr>
      <w:r>
        <w:t xml:space="preserve">Build initial provenance database with 1,000+ pre-grade/actual-grade pairs</w:t>
      </w:r>
    </w:p>
    <w:p>
      <w:pPr>
        <w:pStyle w:val="ListParagraph"/>
        <w:numPr>
          <w:ilvl w:val="0"/>
          <w:numId w:val="3"/>
        </w:numPr>
        <w:spacing w:after="200"/>
      </w:pPr>
      <w:r>
        <w:rPr>
          <w:b/>
          <w:bCs/>
        </w:rPr>
        <w:t xml:space="preserve">Do not publish any analysis. Accumulate silently.</w:t>
      </w:r>
    </w:p>
    <w:p>
      <w:pPr>
        <w:pStyle w:val="Heading2"/>
      </w:pPr>
      <w:r>
        <w:t xml:space="preserve">5.2 Phase 2: Model Refinement (Months 6-12)</w:t>
      </w:r>
    </w:p>
    <w:p>
      <w:pPr>
        <w:pStyle w:val="ListParagraph"/>
        <w:numPr>
          <w:ilvl w:val="0"/>
          <w:numId w:val="3"/>
        </w:numPr>
        <w:spacing w:after="80"/>
      </w:pPr>
      <w:r>
        <w:t xml:space="preserve">Use actual PSA/BGS grades to train and calibrate the AI prediction model</w:t>
      </w:r>
    </w:p>
    <w:p>
      <w:pPr>
        <w:pStyle w:val="ListParagraph"/>
        <w:numPr>
          <w:ilvl w:val="0"/>
          <w:numId w:val="3"/>
        </w:numPr>
        <w:spacing w:after="80"/>
      </w:pPr>
      <w:r>
        <w:t xml:space="preserve">Improve prediction accuracy using real-world feedback loop</w:t>
      </w:r>
    </w:p>
    <w:p>
      <w:pPr>
        <w:pStyle w:val="ListParagraph"/>
        <w:numPr>
          <w:ilvl w:val="0"/>
          <w:numId w:val="3"/>
        </w:numPr>
        <w:spacing w:after="80"/>
      </w:pPr>
      <w:r>
        <w:t xml:space="preserve">Document statistical methodology for potential expert witness testimony</w:t>
      </w:r>
    </w:p>
    <w:p>
      <w:pPr>
        <w:pStyle w:val="ListParagraph"/>
        <w:numPr>
          <w:ilvl w:val="0"/>
          <w:numId w:val="3"/>
        </w:numPr>
        <w:spacing w:after="200"/>
      </w:pPr>
      <w:r>
        <w:t xml:space="preserve">Scale to 10,000+ pre-grade records across multiple shops</w:t>
      </w:r>
    </w:p>
    <w:p>
      <w:pPr>
        <w:pStyle w:val="Heading2"/>
      </w:pPr>
      <w:r>
        <w:t xml:space="preserve">5.3 Phase 3: Strategic Deployment (Month 12+)</w:t>
      </w:r>
    </w:p>
    <w:p>
      <w:pPr>
        <w:pStyle w:val="ListParagraph"/>
        <w:numPr>
          <w:ilvl w:val="0"/>
          <w:numId w:val="3"/>
        </w:numPr>
        <w:spacing w:after="80"/>
      </w:pPr>
      <w:r>
        <w:t xml:space="preserve">With statistically significant dataset, NEXUS has options:</w:t>
      </w:r>
    </w:p>
    <w:p>
      <w:pPr>
        <w:pStyle w:val="ListParagraph"/>
        <w:numPr>
          <w:ilvl w:val="0"/>
          <w:numId w:val="3"/>
        </w:numPr>
        <w:spacing w:after="80"/>
      </w:pPr>
      <w:r>
        <w:rPr>
          <w:b/>
          <w:bCs/>
        </w:rPr>
        <w:t xml:space="preserve">Option A (Preferred): </w:t>
      </w:r>
      <w:r>
        <w:t xml:space="preserve">Approach PSA privately with data. Propose partnership/licensing. “We have data that could help improve your grading consistency. Let’s work together.”</w:t>
      </w:r>
    </w:p>
    <w:p>
      <w:pPr>
        <w:pStyle w:val="ListParagraph"/>
        <w:numPr>
          <w:ilvl w:val="0"/>
          <w:numId w:val="3"/>
        </w:numPr>
        <w:spacing w:after="80"/>
      </w:pPr>
      <w:r>
        <w:rPr>
          <w:b/>
          <w:bCs/>
        </w:rPr>
        <w:t xml:space="preserve">Option B (Defensive): </w:t>
      </w:r>
      <w:r>
        <w:t xml:space="preserve">If PSA initiates litigation, deploy provenance dataset as counterclaim evidence. Discovery becomes catastrophic for PSA.</w:t>
      </w:r>
    </w:p>
    <w:p>
      <w:pPr>
        <w:pStyle w:val="ListParagraph"/>
        <w:numPr>
          <w:ilvl w:val="0"/>
          <w:numId w:val="3"/>
        </w:numPr>
        <w:spacing w:after="200"/>
      </w:pPr>
      <w:r>
        <w:rPr>
          <w:b/>
          <w:bCs/>
        </w:rPr>
        <w:t xml:space="preserve">Option C (Public Interest): </w:t>
      </w:r>
      <w:r>
        <w:t xml:space="preserve">Publish anonymized statistical analysis as industry research. “NEXUS Pre-Grade Accuracy Report: How Consistent Are Third-Party Grading Services?” Data speaks. NEXUS does not editorialize.</w:t>
      </w:r>
    </w:p>
    <w:p>
      <w:r>
        <w:br w:type="page"/>
      </w:r>
    </w:p>
    <w:p>
      <w:pPr>
        <w:pStyle w:val="Heading1"/>
      </w:pPr>
      <w:r>
        <w:t xml:space="preserve">6. Strategic Conclusion</w:t>
      </w:r>
    </w:p>
    <w:p>
      <w:pPr>
        <w:spacing w:after="200"/>
      </w:pPr>
      <w:r>
        <w:t xml:space="preserve">The pre-grading provenance system transforms NEXUS from a scanning company into the accountability layer of the collectibles industry. Every pre-grade scan is simultaneously:</w:t>
      </w:r>
    </w:p>
    <w:p>
      <w:pPr>
        <w:pStyle w:val="ListParagraph"/>
        <w:numPr>
          <w:ilvl w:val="0"/>
          <w:numId w:val="3"/>
        </w:numPr>
        <w:spacing w:after="80"/>
      </w:pPr>
      <w:r>
        <w:rPr>
          <w:b/>
          <w:bCs/>
        </w:rPr>
        <w:t xml:space="preserve">A product: </w:t>
      </w:r>
      <w:r>
        <w:t xml:space="preserve">Collectors pay for documented, certified proof of their card’s condition</w:t>
      </w:r>
    </w:p>
    <w:p>
      <w:pPr>
        <w:pStyle w:val="ListParagraph"/>
        <w:numPr>
          <w:ilvl w:val="0"/>
          <w:numId w:val="3"/>
        </w:numPr>
        <w:spacing w:after="80"/>
      </w:pPr>
      <w:r>
        <w:rPr>
          <w:b/>
          <w:bCs/>
        </w:rPr>
        <w:t xml:space="preserve">A data point: </w:t>
      </w:r>
      <w:r>
        <w:t xml:space="preserve">Contributing to the industry’s first independent audit trail of grading accuracy</w:t>
      </w:r>
    </w:p>
    <w:p>
      <w:pPr>
        <w:pStyle w:val="ListParagraph"/>
        <w:numPr>
          <w:ilvl w:val="0"/>
          <w:numId w:val="3"/>
        </w:numPr>
        <w:spacing w:after="80"/>
      </w:pPr>
      <w:r>
        <w:rPr>
          <w:b/>
          <w:bCs/>
        </w:rPr>
        <w:t xml:space="preserve">A legal asset: </w:t>
      </w:r>
      <w:r>
        <w:t xml:space="preserve">Immutable evidence that strengthens NEXUS’s position in any potential litigation</w:t>
      </w:r>
    </w:p>
    <w:p>
      <w:pPr>
        <w:pStyle w:val="ListParagraph"/>
        <w:numPr>
          <w:ilvl w:val="0"/>
          <w:numId w:val="3"/>
        </w:numPr>
        <w:spacing w:after="200"/>
      </w:pPr>
      <w:r>
        <w:rPr>
          <w:b/>
          <w:bCs/>
        </w:rPr>
        <w:t xml:space="preserve">A deterrent: </w:t>
      </w:r>
      <w:r>
        <w:t xml:space="preserve">The mere existence of this system makes suing NEXUS a strategically dangerous proposition for any grading company</w:t>
      </w:r>
    </w:p>
    <w:p>
      <w:pPr>
        <w:spacing w:after="200"/>
      </w:pPr>
      <w:r>
        <w:t xml:space="preserve">The plumber didn’t just build a pipe. He built the pipe that measures how much water everyone else has been leaking.</w:t>
      </w:r>
    </w:p>
    <w:p>
      <w:pPr>
        <w:spacing w:after="200"/>
      </w:pPr>
      <w:r>
        <w:rPr>
          <w:b/>
          <w:bCs/>
        </w:rPr>
        <w:t xml:space="preserve">PSA grades the cards. NEXUS owns the truth about the cards.</w:t>
      </w:r>
    </w:p>
    <w:p>
      <w:pPr>
        <w:spacing w:after="200"/>
      </w:pPr>
      <w:r>
        <w:rPr>
          <w:b/>
          <w:bCs/>
          <w:sz w:val="28"/>
          <w:szCs w:val="28"/>
        </w:rPr>
        <w:t xml:space="preserve">Truth wins.</w:t>
      </w:r>
    </w:p>
    <w:p>
      <w:pPr>
        <w:pBdr>
          <w:top w:val="single" w:color="8B1A1A" w:sz="4" w:space="8"/>
        </w:pBdr>
        <w:spacing w:before="600"/>
      </w:pPr>
    </w:p>
    <w:p>
      <w:pPr>
        <w:spacing w:after="80"/>
      </w:pPr>
      <w:r>
        <w:rPr>
          <w:rFonts w:ascii="Arial" w:cs="Arial" w:eastAsia="Arial" w:hAnsi="Arial"/>
          <w:b/>
          <w:bCs/>
          <w:color w:val="8B1A1A"/>
          <w:sz w:val="24"/>
          <w:szCs w:val="24"/>
        </w:rPr>
        <w:t xml:space="preserve">JAQUES</w:t>
      </w:r>
    </w:p>
    <w:p>
      <w:pPr>
        <w:spacing w:after="80"/>
      </w:pPr>
      <w:r>
        <w:rPr>
          <w:rFonts w:ascii="Arial" w:cs="Arial" w:eastAsia="Arial" w:hAnsi="Arial"/>
          <w:color w:val="666666"/>
          <w:sz w:val="20"/>
          <w:szCs w:val="20"/>
        </w:rPr>
        <w:t xml:space="preserve">Patent Attorney &amp; Strategic Warfare Architect</w:t>
      </w:r>
    </w:p>
    <w:p>
      <w:pPr>
        <w:spacing w:after="80"/>
      </w:pPr>
      <w:r>
        <w:rPr>
          <w:rFonts w:ascii="Arial" w:cs="Arial" w:eastAsia="Arial" w:hAnsi="Arial"/>
          <w:color w:val="666666"/>
          <w:sz w:val="20"/>
          <w:szCs w:val="20"/>
        </w:rPr>
        <w:t xml:space="preserve">NEXUS Universal Collectibles System</w:t>
      </w:r>
    </w:p>
    <w:p>
      <w:r>
        <w:rPr>
          <w:rFonts w:ascii="Arial" w:cs="Arial" w:eastAsia="Arial" w:hAnsi="Arial"/>
          <w:i/>
          <w:iCs/>
          <w:color w:val="8B1A1A"/>
          <w:sz w:val="20"/>
          <w:szCs w:val="20"/>
        </w:rPr>
        <w:t xml:space="preserve">117 Claims. The sword is forged.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1A1A" w:sz="4" w:space="1"/>
      </w:pBdr>
    </w:pPr>
    <w:r>
      <w:rPr>
        <w:rFonts w:ascii="Arial" w:cs="Arial" w:eastAsia="Arial" w:hAnsi="Arial"/>
        <w:color w:val="666666"/>
        <w:sz w:val="14"/>
        <w:szCs w:val="14"/>
      </w:rPr>
      <w:t xml:space="preserve">Pre-Grading Provenance Strategy</w:t>
    </w:r>
    <w:ptab w:alignment="right" w:relativeTo="margin" w:leader="none"/>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1A" w:sz="6" w:space="1"/>
      </w:pBdr>
    </w:pPr>
    <w:r>
      <w:rPr>
        <w:rFonts w:ascii="Arial" w:cs="Arial" w:eastAsia="Arial" w:hAnsi="Arial"/>
        <w:b/>
        <w:bCs/>
        <w:color w:val="8B1A1A"/>
        <w:sz w:val="16"/>
        <w:szCs w:val="16"/>
      </w:rPr>
      <w:t xml:space="preserve">NEXUS UNIVERSAL COLLECTIBLES SYSTEM</w:t>
    </w:r>
    <w:ptab w:alignment="right" w:relativeTo="margin" w:leader="none"/>
    <w:r>
      <w:rPr>
        <w:rFonts w:ascii="Arial" w:cs="Arial" w:eastAsia="Arial" w:hAnsi="Arial"/>
        <w:i/>
        <w:iCs/>
        <w:color w:val="CC0000"/>
        <w:sz w:val="14"/>
        <w:szCs w:val="14"/>
      </w:rPr>
      <w:t xml:space="preserve">CONFIDENTIAL — ATTORNEY-CLIENT PRIVILEGE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8B1A1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A6262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C030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2026-03-02T21:31:04.453Z</dcterms:created>
  <dcterms:modified xsi:type="dcterms:W3CDTF">2026-03-02T21:31:04.455Z</dcterms:modified>
</cp:coreProperties>
</file>

<file path=docProps/custom.xml><?xml version="1.0" encoding="utf-8"?>
<Properties xmlns="http://schemas.openxmlformats.org/officeDocument/2006/custom-properties" xmlns:vt="http://schemas.openxmlformats.org/officeDocument/2006/docPropsVTypes"/>
</file>