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Liberation Serif" w:hAnsi="Liberation Serif"/>
        </w:rPr>
      </w:pPr>
      <w:r>
        <w:rPr>
          <w:b/>
          <w:bCs/>
        </w:rPr>
        <w:t>Madison Talk</w:t>
      </w:r>
    </w:p>
    <w:p>
      <w:pPr>
        <w:pStyle w:val="Normal"/>
        <w:bidi w:val="0"/>
        <w:spacing w:lineRule="auto" w:line="240"/>
        <w:jc w:val="start"/>
        <w:rPr>
          <w:rFonts w:ascii="Liberation Serif" w:hAnsi="Liberation Serif"/>
        </w:rPr>
      </w:pPr>
      <w:r>
        <w:rPr/>
        <w:t>Kenyon Cavender</w:t>
      </w:r>
    </w:p>
    <w:p>
      <w:pPr>
        <w:pStyle w:val="Normal"/>
        <w:bidi w:val="0"/>
        <w:spacing w:lineRule="auto" w:line="240"/>
        <w:jc w:val="start"/>
        <w:rPr>
          <w:rFonts w:ascii="Liberation Serif" w:hAnsi="Liberation Serif"/>
        </w:rPr>
      </w:pPr>
      <w:r>
        <w:rPr/>
        <w:t>October 23rd, 2025</w:t>
      </w:r>
    </w:p>
    <w:p>
      <w:pPr>
        <w:pStyle w:val="Normal"/>
        <w:bidi w:val="0"/>
        <w:spacing w:lineRule="auto" w:line="240"/>
        <w:jc w:val="start"/>
        <w:rPr>
          <w:rFonts w:ascii="Liberation Serif" w:hAnsi="Liberation Serif"/>
        </w:rPr>
      </w:pPr>
      <w:r>
        <w:rPr/>
      </w:r>
    </w:p>
    <w:p>
      <w:pPr>
        <w:pStyle w:val="Normal"/>
        <w:bidi w:val="0"/>
        <w:spacing w:lineRule="auto" w:line="240"/>
        <w:jc w:val="start"/>
        <w:rPr>
          <w:rFonts w:ascii="Liberation Serif" w:hAnsi="Liberation Serif"/>
        </w:rPr>
      </w:pPr>
      <w:r>
        <w:rPr>
          <w:b/>
          <w:bCs/>
        </w:rPr>
        <w:t>Introduction</w:t>
      </w:r>
    </w:p>
    <w:p>
      <w:pPr>
        <w:pStyle w:val="Normal"/>
        <w:bidi w:val="0"/>
        <w:spacing w:lineRule="auto" w:line="240"/>
        <w:jc w:val="start"/>
        <w:rPr>
          <w:rFonts w:ascii="Liberation Serif" w:hAnsi="Liberation Serif"/>
        </w:rPr>
      </w:pPr>
      <w:r>
        <w:rPr/>
        <w:tab/>
        <w:t xml:space="preserve">This talk is part of an attempt to think through a global history of Fordism - considered as the particular set of social and productive relations that were developed by the early automotive industrial pioneers in the first decades of the 20th century. In their drive to make the mass-produced car a general consumer good, Henry Ford and his competitors remade the working class into a more efficient producer and a more extensive consumer of commodities. Indeed, this combined interest in reconfiguring both the productive and consumptive sphere is the defining attribute of Fordism. Much of the literature on Fordism and its affects on the working classes limit it geographically - first to the automotive workers of the Midwest, whence it spread to the rest of the country and finally to Europe by midcentury. According to this dominant narrative, Fordism did not reach the Global South until the US was deindustrializing; by this time it had been shorn of its original stimulus to consumption, reduced to an extreme rationalization and degradation of labor. My contention is that contrary to this narrative, Fordism in fact had an immediate and severe effect on the workers of the Third World. The exponential increase in the demand for rubber disrupted and reshaped the productive and consumptive patterns of life among rubber workers, as companies resorted to debt bondage, violence, and sometimes slavery in their drive to meet demand. This talk will focus on the case of the Tamil migrants who worked on rubber plantations in Colonial Malaya, and the Kangany system of recruitment and labour discipline employed there. </w:t>
      </w:r>
    </w:p>
    <w:p>
      <w:pPr>
        <w:pStyle w:val="Normal"/>
        <w:bidi w:val="0"/>
        <w:spacing w:lineRule="auto" w:line="240"/>
        <w:jc w:val="start"/>
        <w:rPr>
          <w:rFonts w:ascii="Liberation Serif" w:hAnsi="Liberation Serif"/>
        </w:rPr>
      </w:pPr>
      <w:r>
        <w:rPr/>
      </w:r>
    </w:p>
    <w:p>
      <w:pPr>
        <w:pStyle w:val="Normal"/>
        <w:bidi w:val="0"/>
        <w:spacing w:lineRule="auto" w:line="240"/>
        <w:jc w:val="start"/>
        <w:rPr>
          <w:rFonts w:ascii="Liberation Serif" w:hAnsi="Liberation Serif"/>
          <w:b/>
          <w:bCs/>
        </w:rPr>
      </w:pPr>
      <w:r>
        <w:rPr>
          <w:b/>
          <w:bCs/>
        </w:rPr>
        <w:t>Rubber in Malaya</w:t>
      </w:r>
    </w:p>
    <w:p>
      <w:pPr>
        <w:pStyle w:val="Normal"/>
        <w:bidi w:val="0"/>
        <w:spacing w:lineRule="auto" w:line="240"/>
        <w:jc w:val="start"/>
        <w:rPr>
          <w:rFonts w:ascii="Liberation Serif" w:hAnsi="Liberation Serif"/>
        </w:rPr>
      </w:pPr>
      <w:r>
        <w:rPr/>
        <w:tab/>
        <w:t>The rise of the automotive industry in the early twentieth century created a demand for rubber that could not be met by Amazon</w:t>
      </w:r>
      <w:r>
        <w:rPr/>
        <w:t>ian production</w:t>
      </w:r>
      <w:r>
        <w:rPr/>
        <w:t xml:space="preserve"> -</w:t>
      </w:r>
      <w:r>
        <w:rPr/>
        <w:t xml:space="preserve"> the Amazon being</w:t>
      </w:r>
      <w:r>
        <w:rPr/>
        <w:t xml:space="preserve"> the native home of the most profitable rubber producing plants. In 1913 Asian rubber plantations surpassed Amazonian production for the first time, and by the next year accounted for over half of all global natural rubber production. This was not so much due to the decline of Amazonian rubber but to an explosion of production on Southeast Asian plantations that would soon make peak Amazonian production look like little more than a rounding error. In 1912, the Amazon reached its peak production of 41,619 long tons, while Southeast Asia produced a little over 33 thousand. Just over 20 years later, in 1934, Amazonian production had fallen to less than 9,000 tons while Southeast Asia produced over a million: more than 98% of global production that year.</w:t>
      </w:r>
      <w:r>
        <w:rPr>
          <w:rStyle w:val="FootnoteReference"/>
        </w:rPr>
        <w:footnoteReference w:id="2"/>
      </w:r>
      <w:r>
        <w:rPr/>
        <w:t xml:space="preserve"> </w:t>
      </w:r>
      <w:r>
        <w:rPr>
          <w:i w:val="false"/>
          <w:iCs w:val="false"/>
        </w:rPr>
        <w:t xml:space="preserve">British Malaya alone accounted for between 40 and 50 percent of global production in the 1920s and 1930s. </w:t>
      </w:r>
    </w:p>
    <w:p>
      <w:pPr>
        <w:pStyle w:val="Normal"/>
        <w:spacing w:lineRule="auto" w:line="240"/>
        <w:jc w:val="both"/>
        <w:rPr>
          <w:rFonts w:ascii="Liberation Serif" w:hAnsi="Liberation Serif"/>
        </w:rPr>
      </w:pPr>
      <w:r>
        <w:rPr/>
        <w:tab/>
        <w:t>The key to the rise of Asian rubber, and especially that in Malaya, was its plantation system. South Asia imported rubber plants that had been carefully cultivated in botanical gardens, and that were free of the South American Leaf Blight. This, combined with a favorable climate, an experienced class of planters and the consolidation of large plantations created the conditions for the rapid expansion of rubber cultivation, but the dominant factor was a massive system of exploitation of immigrant workers. Between 1840 and 1940, approximately 4 million people, mostly Tamils looking for work on rubber plantations, traveled from India to Malaya.</w:t>
      </w:r>
      <w:r>
        <w:rPr>
          <w:rStyle w:val="FootnoteReference"/>
        </w:rPr>
        <w:footnoteReference w:id="3"/>
      </w:r>
      <w:r>
        <w:rPr/>
        <w:t xml:space="preserve"> Initially these workers were indentured - unfree for the length of their contract - but due to international pressure, indenture for Indian workers in Malaya was abolished in 1910. These workers, without whom the rapid expansion of rubber production would not have been possible, suddenly found themselves in the middle of a global struggle over the rights of workers and the status of free labor. Indian nationalists and international trade unionists insisted on legal rights of free labor, and so planters and colonial authorities were forced to try and resolve the contradiction between free labor and their desire to compel migrants to work under brutal, but profitable, conditions. </w:t>
      </w:r>
    </w:p>
    <w:p>
      <w:pPr>
        <w:pStyle w:val="Normal"/>
        <w:spacing w:lineRule="auto" w:line="240"/>
        <w:jc w:val="both"/>
        <w:rPr>
          <w:rFonts w:ascii="Liberation Serif" w:hAnsi="Liberation Serif"/>
          <w:b w:val="false"/>
          <w:bCs w:val="false"/>
          <w:i w:val="false"/>
          <w:i w:val="false"/>
          <w:iCs w:val="false"/>
        </w:rPr>
      </w:pPr>
      <w:r>
        <w:rPr>
          <w:b w:val="false"/>
          <w:bCs w:val="false"/>
          <w:i w:val="false"/>
          <w:iCs w:val="false"/>
        </w:rPr>
        <w:tab/>
        <w:t xml:space="preserve">Along with the difficulties of attracting labor, planters in Malaya found domestic reasons to pressure the Malayan government to regulate the supply of labor. This pressure came in part from planters who wanted a regulated system of labor importation to reduce poaching of 'free' laborers by other estates. The colonial government itself also seemed anxious to create a more settled labor force, a concern that was tied up with a disdain for the Malayan-owned small holdings. In the 1923 </w:t>
      </w:r>
      <w:r>
        <w:rPr>
          <w:b w:val="false"/>
          <w:bCs w:val="false"/>
          <w:i/>
          <w:iCs/>
        </w:rPr>
        <w:t>Annual Report on the Social and Economic Progress of the People of the Straits Settlements,</w:t>
      </w:r>
      <w:r>
        <w:rPr>
          <w:b w:val="false"/>
          <w:bCs w:val="false"/>
          <w:i w:val="false"/>
          <w:iCs w:val="false"/>
        </w:rPr>
        <w:t xml:space="preserve"> the colonial secretary complains of outbreaks of Mouldy Rot in Malacca which was spreading through the Malayan owned small holdings. He notes that the disease was absent on larger estates in part because "they have settled labor forces and do not employ coolies indiscriminately picked up, there being ordinarily therefore no contact with infected trees...."</w:t>
      </w:r>
      <w:r>
        <w:rPr>
          <w:rStyle w:val="FootnoteReference"/>
          <w:b w:val="false"/>
          <w:bCs w:val="false"/>
          <w:i w:val="false"/>
          <w:iCs w:val="false"/>
        </w:rPr>
        <w:footnoteReference w:id="4"/>
      </w:r>
      <w:r>
        <w:rPr>
          <w:b w:val="false"/>
          <w:bCs w:val="false"/>
          <w:i w:val="false"/>
          <w:iCs w:val="false"/>
        </w:rPr>
        <w:t xml:space="preserve"> In years during which the price of rubber fell, the smaller holdings could not afford prophylactic measures against disease, and so the Rubber Research Institute and the Departments of Co-operation and Agriculture developed a "Rural Lecture Caravan" which would tour villages in Malaya to give Malay-language lectures "on agricultural and co-operative subjects, illustrated or followed by the lantern slides and moving pictures in the evening." At least part of the goal seems to have been to discourage small holders from planting rubber altogether, as the section of the report on the Rural Lecture Caravan ends simply: "Good audiences were attracted and a number of enquiries for selected padi seed resulted."</w:t>
      </w:r>
      <w:r>
        <w:rPr>
          <w:rStyle w:val="FootnoteReference"/>
          <w:b w:val="false"/>
          <w:bCs w:val="false"/>
          <w:i w:val="false"/>
          <w:iCs w:val="false"/>
        </w:rPr>
        <w:footnoteReference w:id="5"/>
      </w:r>
    </w:p>
    <w:p>
      <w:pPr>
        <w:pStyle w:val="Normal"/>
        <w:spacing w:lineRule="auto" w:line="240"/>
        <w:jc w:val="both"/>
        <w:rPr>
          <w:rFonts w:ascii="Liberation Serif" w:hAnsi="Liberation Serif"/>
          <w:b w:val="false"/>
          <w:bCs w:val="false"/>
          <w:i w:val="false"/>
          <w:i w:val="false"/>
          <w:iCs w:val="false"/>
        </w:rPr>
      </w:pPr>
      <w:r>
        <w:rPr>
          <w:b w:val="false"/>
          <w:bCs w:val="false"/>
          <w:i w:val="false"/>
          <w:iCs w:val="false"/>
        </w:rPr>
        <w:tab/>
        <w:t>The annual reports of the colonial authorities in Malaya are shot through with a tension between the desire to affirm the formal equality of all British subjects and the desire to enrich the white planters at the expense of the non white populations - both indigenous and migrant. There was an urgent need for a system of labor hierarchy that would appease critics of bonded labor from India, but that would still meet the considerable need for a compliant workforce. This tension is expressed quite aptly in a footnote to the 1917 annual report, which refers to: "the Kangany labourer, who is recruited in India by a licensed Kangany, and who goes to a particular place of employment, though he is free, upon arrival there, to give a month's notice of his intention to leave. There is no indentured Tamil labour in the Colony.</w:t>
      </w:r>
      <w:r>
        <w:rPr>
          <w:rStyle w:val="FootnoteReference"/>
          <w:b w:val="false"/>
          <w:bCs w:val="false"/>
          <w:i w:val="false"/>
          <w:iCs w:val="false"/>
        </w:rPr>
        <w:footnoteReference w:id="6"/>
      </w:r>
      <w:r>
        <w:rPr>
          <w:b w:val="false"/>
          <w:bCs w:val="false"/>
          <w:i w:val="false"/>
          <w:iCs w:val="false"/>
        </w:rPr>
        <w:t>"</w:t>
      </w:r>
    </w:p>
    <w:p>
      <w:pPr>
        <w:pStyle w:val="Normal"/>
        <w:spacing w:lineRule="auto" w:line="240"/>
        <w:ind w:hanging="0" w:start="0" w:end="0"/>
        <w:jc w:val="both"/>
        <w:rPr>
          <w:rFonts w:ascii="Liberation Serif" w:hAnsi="Liberation Serif"/>
          <w:b w:val="false"/>
          <w:bCs w:val="false"/>
          <w:i w:val="false"/>
          <w:i w:val="false"/>
          <w:iCs w:val="false"/>
        </w:rPr>
      </w:pPr>
      <w:r>
        <w:rPr>
          <w:b w:val="false"/>
          <w:bCs w:val="false"/>
          <w:i w:val="false"/>
          <w:iCs w:val="false"/>
        </w:rPr>
        <w:tab/>
        <w:t>It is perhaps odd that despite the significant costs of recruitment, workers produced by the kangany system were preferred to so-called independent laborers. This is partly due to the specifics of kangany recruitment: a former estate worker who wishes to become a recruiter first applies for a license and then "proceeds to his own village where he informs his friends and relations of the conditions of labour on his estate."</w:t>
      </w:r>
      <w:r>
        <w:rPr>
          <w:rStyle w:val="FootnoteReference"/>
          <w:b w:val="false"/>
          <w:bCs w:val="false"/>
          <w:i w:val="false"/>
          <w:iCs w:val="false"/>
        </w:rPr>
        <w:footnoteReference w:id="7"/>
      </w:r>
      <w:r>
        <w:rPr>
          <w:b w:val="false"/>
          <w:bCs w:val="false"/>
          <w:i w:val="false"/>
          <w:iCs w:val="false"/>
        </w:rPr>
        <w:t xml:space="preserve"> The kangany would then often travel back to Malaya with his recruits and serve as their overseer on the plantations. In his role as both overseer and recruiter, the kangany was able to exercise his authority as both job-giver and relative to ensure the compliance of the workforce.</w:t>
      </w:r>
    </w:p>
    <w:p>
      <w:pPr>
        <w:pStyle w:val="Normal"/>
        <w:spacing w:lineRule="auto" w:line="240"/>
        <w:ind w:hanging="0" w:start="0" w:end="0"/>
        <w:jc w:val="both"/>
        <w:rPr>
          <w:rFonts w:ascii="Liberation Serif" w:hAnsi="Liberation Serif"/>
        </w:rPr>
      </w:pPr>
      <w:r>
        <w:rPr>
          <w:b w:val="false"/>
          <w:bCs w:val="false"/>
          <w:i w:val="false"/>
          <w:iCs w:val="false"/>
        </w:rPr>
        <w:tab/>
      </w:r>
    </w:p>
    <w:p>
      <w:pPr>
        <w:pStyle w:val="Normal"/>
        <w:spacing w:lineRule="auto" w:line="240"/>
        <w:jc w:val="both"/>
        <w:rPr>
          <w:rFonts w:ascii="Liberation Serif" w:hAnsi="Liberation Serif"/>
          <w:b/>
          <w:bCs/>
        </w:rPr>
      </w:pPr>
      <w:r>
        <w:rPr>
          <w:b/>
          <w:bCs/>
        </w:rPr>
        <w:t>Kangany System</w:t>
      </w:r>
    </w:p>
    <w:p>
      <w:pPr>
        <w:pStyle w:val="Normal"/>
        <w:bidi w:val="0"/>
        <w:spacing w:lineRule="auto" w:line="240"/>
        <w:jc w:val="start"/>
        <w:rPr>
          <w:rFonts w:ascii="Liberation Serif" w:hAnsi="Liberation Serif"/>
        </w:rPr>
      </w:pPr>
      <w:r>
        <w:rPr/>
        <w:tab/>
        <w:t xml:space="preserve">In his book, </w:t>
      </w:r>
      <w:r>
        <w:rPr>
          <w:i/>
          <w:iCs/>
        </w:rPr>
        <w:t>Crossing the Bay of Bengal</w:t>
      </w:r>
      <w:r>
        <w:rPr>
          <w:i w:val="false"/>
          <w:iCs w:val="false"/>
        </w:rPr>
        <w:t>, Sunil Amrith notes that t</w:t>
      </w:r>
      <w:r>
        <w:rPr>
          <w:i w:val="false"/>
          <w:iCs w:val="false"/>
          <w:shd w:fill="auto" w:val="clear"/>
        </w:rPr>
        <w:t>he</w:t>
      </w:r>
      <w:r>
        <w:rPr>
          <w:shd w:fill="auto" w:val="clear"/>
        </w:rPr>
        <w:t xml:space="preserve"> word k</w:t>
      </w:r>
      <w:r>
        <w:rPr>
          <w:b w:val="false"/>
          <w:bCs w:val="false"/>
          <w:i w:val="false"/>
          <w:iCs w:val="false"/>
          <w:shd w:fill="auto" w:val="clear"/>
        </w:rPr>
        <w:t>angany is of Tamil origin, indicating "“overseer” (kan means “eye” in Tamil); in the Tamil Bible, kangany is the term for a bishop, the overseer of the congregation."</w:t>
      </w:r>
      <w:r>
        <w:rPr>
          <w:rStyle w:val="FootnoteReference"/>
          <w:b w:val="false"/>
          <w:bCs w:val="false"/>
          <w:i w:val="false"/>
          <w:iCs w:val="false"/>
          <w:shd w:fill="auto" w:val="clear"/>
        </w:rPr>
        <w:footnoteReference w:id="8"/>
      </w:r>
      <w:r>
        <w:rPr>
          <w:b w:val="false"/>
          <w:bCs w:val="false"/>
          <w:i w:val="false"/>
          <w:iCs w:val="false"/>
          <w:shd w:fill="auto" w:val="clear"/>
        </w:rPr>
        <w:t xml:space="preserve"> The kangany, however, was part of a larger pattern of labor recruitment and discipline throughout south and south-east Asia, called by different names in various places: </w:t>
      </w:r>
      <w:r>
        <w:rPr>
          <w:b w:val="false"/>
          <w:bCs w:val="false"/>
          <w:i/>
          <w:iCs/>
          <w:shd w:fill="auto" w:val="clear"/>
        </w:rPr>
        <w:t>kangany</w:t>
      </w:r>
      <w:r>
        <w:rPr>
          <w:b w:val="false"/>
          <w:bCs w:val="false"/>
          <w:i w:val="false"/>
          <w:iCs w:val="false"/>
          <w:shd w:fill="auto" w:val="clear"/>
        </w:rPr>
        <w:t xml:space="preserve"> among Tamil populations, especially in Malaya or Ceylon; </w:t>
      </w:r>
      <w:r>
        <w:rPr>
          <w:b w:val="false"/>
          <w:bCs w:val="false"/>
          <w:i/>
          <w:iCs/>
          <w:shd w:fill="auto" w:val="clear"/>
        </w:rPr>
        <w:t>maistry</w:t>
      </w:r>
      <w:r>
        <w:rPr>
          <w:b w:val="false"/>
          <w:bCs w:val="false"/>
          <w:i w:val="false"/>
          <w:iCs w:val="false"/>
          <w:shd w:fill="auto" w:val="clear"/>
        </w:rPr>
        <w:t xml:space="preserve"> among Indian workers in Burma, and </w:t>
      </w:r>
      <w:r>
        <w:rPr>
          <w:b w:val="false"/>
          <w:bCs w:val="false"/>
          <w:i/>
          <w:iCs/>
          <w:shd w:fill="auto" w:val="clear"/>
        </w:rPr>
        <w:t>sardar</w:t>
      </w:r>
      <w:r>
        <w:rPr>
          <w:b w:val="false"/>
          <w:bCs w:val="false"/>
          <w:i w:val="false"/>
          <w:iCs w:val="false"/>
          <w:shd w:fill="auto" w:val="clear"/>
        </w:rPr>
        <w:t xml:space="preserve"> in the region around Calcutta. </w:t>
      </w:r>
    </w:p>
    <w:p>
      <w:pPr>
        <w:pStyle w:val="Normal"/>
        <w:spacing w:lineRule="auto" w:line="240"/>
        <w:ind w:hanging="0" w:start="0" w:end="0"/>
        <w:jc w:val="both"/>
        <w:rPr>
          <w:rFonts w:ascii="Liberation Serif" w:hAnsi="Liberation Serif"/>
        </w:rPr>
      </w:pPr>
      <w:r>
        <w:rPr>
          <w:i w:val="false"/>
          <w:iCs w:val="false"/>
        </w:rPr>
        <w:tab/>
        <w:t xml:space="preserve">Initially, the kangany system was relatively informal, and "most </w:t>
      </w:r>
      <w:r>
        <w:rPr>
          <w:i/>
          <w:iCs/>
        </w:rPr>
        <w:t>kanganies</w:t>
      </w:r>
      <w:r>
        <w:rPr>
          <w:i w:val="false"/>
          <w:iCs w:val="false"/>
        </w:rPr>
        <w:t xml:space="preserve"> were simply the appointed spokesmen of gangs of laborers who traveled together from South India." They were common among the Tamil workers on coffee and tea plantations in Ceylon, and when planters traveled from Ceylon to Malaya in the late 19th century, they carried with them a preference for Tamil labor, organized under kanganies. As the distance from Madras to Malaya was far greater than the distance to Ceylon, the kanganies began to absorb more of the role of recruiter in addition to overseer. They were particularly valuable in this role precisely because of the connections they maintained with their villages and communities back home in southern India. Upon being sent back home, they offered advances to family and community members who were able then to "free themselves from servitude, or to pay off debts incurred in times of dearth." These advances created new debts however, and Amrith notes that although "relations of caste and kinship could moderate the kanganies' power ... such intimacy could also make the bonds of debt more pervasive."</w:t>
      </w:r>
      <w:r>
        <w:rPr>
          <w:rStyle w:val="FootnoteReference"/>
          <w:i w:val="false"/>
          <w:iCs w:val="false"/>
        </w:rPr>
        <w:footnoteReference w:id="9"/>
      </w:r>
      <w:r>
        <w:rPr>
          <w:i w:val="false"/>
          <w:iCs w:val="false"/>
        </w:rPr>
        <w:t xml:space="preserve"> Social and traditional bonds were therefore not maintained, exactly, but reconfigured to serve the needs of plantation labor. </w:t>
      </w:r>
    </w:p>
    <w:p>
      <w:pPr>
        <w:pStyle w:val="Normal"/>
        <w:spacing w:lineRule="auto" w:line="240"/>
        <w:ind w:hanging="0" w:start="0" w:end="0"/>
        <w:jc w:val="both"/>
        <w:rPr>
          <w:rFonts w:ascii="Liberation Serif" w:hAnsi="Liberation Serif"/>
        </w:rPr>
      </w:pPr>
      <w:r>
        <w:rPr>
          <w:i w:val="false"/>
          <w:iCs w:val="false"/>
        </w:rPr>
        <w:tab/>
        <w:t>The exploitation of family connections between India and Malaya led to significant abuses by kanganies. Although t</w:t>
      </w:r>
      <w:r>
        <w:rPr>
          <w:b w:val="false"/>
          <w:bCs w:val="false"/>
          <w:i w:val="false"/>
          <w:iCs w:val="false"/>
        </w:rPr>
        <w:t>he companies would pay the kangany's travel costs and expenses as well as a commission for each recruited worker, many kanganies resorted to exploitative practices to further enrich themselves. Once workers reached India, they were formally free, but this freedom only refers to the lack of a legal compulsion to work - the economic compulsion of debt was not only present, but was reinforced by the personal compulsion of hierarchical family and community ties. This is visible in the complaints of the behavior of kanganies during their recruiting trips to India. They exploited family and community connections in order to make commissions, drawing the ire of Indian officials. Parmer states that:</w:t>
      </w:r>
    </w:p>
    <w:p>
      <w:pPr>
        <w:pStyle w:val="Normal"/>
        <w:spacing w:lineRule="auto" w:line="240" w:before="0" w:after="144"/>
        <w:ind w:hanging="0" w:start="720" w:end="0"/>
        <w:jc w:val="both"/>
        <w:rPr>
          <w:rFonts w:ascii="Liberation Serif" w:hAnsi="Liberation Serif"/>
          <w:b w:val="false"/>
          <w:bCs w:val="false"/>
          <w:i w:val="false"/>
          <w:i w:val="false"/>
          <w:iCs w:val="false"/>
        </w:rPr>
      </w:pPr>
      <w:r>
        <w:rPr>
          <w:b w:val="false"/>
          <w:bCs w:val="false"/>
          <w:i w:val="false"/>
          <w:iCs w:val="false"/>
        </w:rPr>
        <w:t xml:space="preserve">A Madras government officer in 1925 listed the irregular recruiting practices as: obtaining recruits from professional recruiters or hotel-keepers; forging the signature of village </w:t>
      </w:r>
      <w:r>
        <w:rPr>
          <w:b w:val="false"/>
          <w:bCs w:val="false"/>
          <w:i/>
          <w:iCs/>
        </w:rPr>
        <w:t>munsifs</w:t>
      </w:r>
      <w:r>
        <w:rPr>
          <w:b w:val="false"/>
          <w:bCs w:val="false"/>
          <w:i w:val="false"/>
          <w:iCs w:val="false"/>
        </w:rPr>
        <w:t xml:space="preserve"> who from 1923 were required to see each intending emigrant; exploiting family quarrels to get some members of the family to emigrate; promising young men that they could find wives in Malaya; catching recruits at weekly "shandies;" matching strangers in order to circumvent the rule that minors and women be accompanied by a parent or relative; misrepresentation of work and wages; substitution of an unfit person for one already passed.</w:t>
      </w:r>
      <w:r>
        <w:rPr>
          <w:rStyle w:val="FootnoteReference"/>
          <w:b w:val="false"/>
          <w:bCs w:val="false"/>
          <w:i w:val="false"/>
          <w:iCs w:val="false"/>
        </w:rPr>
        <w:footnoteReference w:id="10"/>
      </w:r>
    </w:p>
    <w:p>
      <w:pPr>
        <w:pStyle w:val="Normal"/>
        <w:spacing w:lineRule="auto" w:line="240"/>
        <w:ind w:hanging="0" w:start="0" w:end="0"/>
        <w:jc w:val="both"/>
        <w:rPr>
          <w:rFonts w:ascii="Liberation Serif" w:hAnsi="Liberation Serif"/>
          <w:b w:val="false"/>
          <w:bCs w:val="false"/>
          <w:i w:val="false"/>
          <w:i w:val="false"/>
          <w:iCs w:val="false"/>
        </w:rPr>
      </w:pPr>
      <w:r>
        <w:rPr>
          <w:b w:val="false"/>
          <w:bCs w:val="false"/>
          <w:i w:val="false"/>
          <w:iCs w:val="false"/>
        </w:rPr>
        <w:t>Despite, or maybe because of, these abuses, the kangany system was the preferred method of labor recruitment for both planters and the Malayan government. After recruiting a batch of workers, the kangany would travel back to Malaya with them and serve as their overseer or foreman on the estate. Since the workers were formally free apart from their debt, planters were forced to "rel[y] on a combination of reasonable terms and the kangany's influence over the laborer to keep the laborer on the estate."</w:t>
      </w:r>
      <w:r>
        <w:rPr>
          <w:rStyle w:val="FootnoteReference"/>
          <w:b w:val="false"/>
          <w:bCs w:val="false"/>
          <w:i w:val="false"/>
          <w:iCs w:val="false"/>
        </w:rPr>
        <w:footnoteReference w:id="11"/>
      </w:r>
      <w:r>
        <w:rPr>
          <w:b w:val="false"/>
          <w:bCs w:val="false"/>
          <w:i w:val="false"/>
          <w:iCs w:val="false"/>
        </w:rPr>
        <w:t xml:space="preserve"> </w:t>
      </w:r>
    </w:p>
    <w:p>
      <w:pPr>
        <w:pStyle w:val="Normal"/>
        <w:spacing w:lineRule="auto" w:line="240"/>
        <w:ind w:hanging="0" w:start="0" w:end="0"/>
        <w:jc w:val="both"/>
        <w:rPr>
          <w:rFonts w:ascii="Liberation Serif" w:hAnsi="Liberation Serif"/>
        </w:rPr>
      </w:pPr>
      <w:r>
        <w:rPr>
          <w:i w:val="false"/>
          <w:iCs w:val="false"/>
        </w:rPr>
        <w:tab/>
        <w:t>Amrith argues that this blurring of the lines between free and bonded labor was a central element in the system of labor migration across the Bay of Bengal. The manipulation of family and community ties allowed the governments to resolve the legal category of free labor with the planters need for compelled labor. The use of the kangany system and the creation of the legal fiction of the free Tamil laborer did not, however, stifle the outcry against the working conditions in Malaya. Both Indian Nationalists and British trade unionists decried the unfreedom of the labor in Malaya. In 1926 the Labour Research Department, a research organization affiliated with UK trade unions, published a report called "British Imperialism in Malaya" which demanded solidarity between domestic industrial workers and migrant labor on the colonies: "British workers have to realize that the exploitation of cheap imported labor in Malaya is not a separate episode, but is part of the effort of capitalism to maintain itself by depressing the standards of all workers."</w:t>
      </w:r>
      <w:r>
        <w:rPr>
          <w:rStyle w:val="FootnoteReference"/>
          <w:i w:val="false"/>
          <w:iCs w:val="false"/>
        </w:rPr>
        <w:footnoteReference w:id="12"/>
      </w:r>
      <w:r>
        <w:rPr>
          <w:i w:val="false"/>
          <w:iCs w:val="false"/>
        </w:rPr>
        <w:t xml:space="preserve"> This depressed standard included dangerous working conditions, low wages, and compulsion to work. It is clear that British unionists considered the freedom of the laborer under the kangany system to be a mirage, noting that "[e]ven after the 'free' immigration scheme took the place of indentured labour, the deathrate remained appallingly high."</w:t>
      </w:r>
      <w:r>
        <w:rPr>
          <w:rStyle w:val="FootnoteReference"/>
          <w:i w:val="false"/>
          <w:iCs w:val="false"/>
        </w:rPr>
        <w:footnoteReference w:id="13"/>
      </w:r>
      <w:r>
        <w:rPr>
          <w:i w:val="false"/>
          <w:iCs w:val="false"/>
        </w:rPr>
        <w:t xml:space="preserve"> The assisted immigration scheme indeed served to undermine labor, and it contained the contradiction of unfree free labor in the colonies: "The Admiralty must co-operate with the planters in bringing over more wage workers; and some method other than an increase of wages must be found to induce them to come, because 'the forcing up of rates of pay will not help planters,' and a rising standard either of wages or leisure may stiffen the workers' demands." The end result: "the use of some form of compulsion, direct or indirect, such as has been applied in other parts of the British Empire."</w:t>
      </w:r>
      <w:r>
        <w:rPr>
          <w:rStyle w:val="FootnoteReference"/>
          <w:i w:val="false"/>
          <w:iCs w:val="false"/>
        </w:rPr>
        <w:footnoteReference w:id="14"/>
      </w:r>
    </w:p>
    <w:p>
      <w:pPr>
        <w:pStyle w:val="Normal"/>
        <w:spacing w:lineRule="auto" w:line="240"/>
        <w:ind w:hanging="0" w:start="0" w:end="0"/>
        <w:jc w:val="both"/>
        <w:rPr>
          <w:rFonts w:ascii="Liberation Serif" w:hAnsi="Liberation Serif"/>
        </w:rPr>
      </w:pPr>
      <w:r>
        <w:rPr/>
      </w:r>
    </w:p>
    <w:p>
      <w:pPr>
        <w:pStyle w:val="Normal"/>
        <w:spacing w:lineRule="auto" w:line="240"/>
        <w:ind w:hanging="0" w:start="0" w:end="0"/>
        <w:jc w:val="both"/>
        <w:rPr>
          <w:rFonts w:ascii="Liberation Serif" w:hAnsi="Liberation Serif"/>
          <w:i w:val="false"/>
          <w:i w:val="false"/>
          <w:iCs w:val="false"/>
        </w:rPr>
      </w:pPr>
      <w:r>
        <w:rPr>
          <w:b/>
          <w:bCs/>
          <w:i w:val="false"/>
          <w:iCs w:val="false"/>
        </w:rPr>
        <w:t>The Aftermath: Coolie-hood and Repatriation</w:t>
      </w:r>
      <w:r>
        <w:rPr>
          <w:i w:val="false"/>
          <w:iCs w:val="false"/>
        </w:rPr>
        <w:t xml:space="preserve"> </w:t>
      </w:r>
    </w:p>
    <w:p>
      <w:pPr>
        <w:pStyle w:val="Normal"/>
        <w:spacing w:lineRule="auto" w:line="240"/>
        <w:ind w:hanging="0" w:start="0" w:end="0"/>
        <w:jc w:val="both"/>
        <w:rPr>
          <w:rFonts w:ascii="Liberation Serif" w:hAnsi="Liberation Serif"/>
          <w:i w:val="false"/>
          <w:i w:val="false"/>
          <w:iCs w:val="false"/>
        </w:rPr>
      </w:pPr>
      <w:r>
        <w:rPr>
          <w:i w:val="false"/>
          <w:iCs w:val="false"/>
        </w:rPr>
        <w:tab/>
        <w:t>It is easy to read into the history of Tamil labor in Malaya a certain familiar teleology. Indentured labor gave way to the nominally free (though indebted) labor of the kangany system, which in the mid-century resolved into a fully capitalist system of overseeing mediated not by traditional forms of authority, but by the wage. I want to resist this reading by looking at the underside of this 'progression.' The primary effect of the slow development of formally free wage-labor among plantation workers occurred away from the plantations, in the creation of what to capital's standpoint appears to be a great mass of human detritus. For most workers, the category of 'coolie' persisted long after the brief period of plantation labor.</w:t>
      </w:r>
    </w:p>
    <w:p>
      <w:pPr>
        <w:pStyle w:val="Normal"/>
        <w:spacing w:lineRule="auto" w:line="240"/>
        <w:ind w:hanging="0" w:start="0" w:end="0"/>
        <w:jc w:val="both"/>
        <w:rPr>
          <w:rFonts w:ascii="Liberation Serif" w:hAnsi="Liberation Serif"/>
          <w:i w:val="false"/>
          <w:i w:val="false"/>
          <w:iCs w:val="false"/>
        </w:rPr>
      </w:pPr>
      <w:r>
        <w:rPr>
          <w:i w:val="false"/>
          <w:iCs w:val="false"/>
        </w:rPr>
        <w:tab/>
        <w:t xml:space="preserve">Coolie, like 'kangany', comes into English from Tamil: the word </w:t>
      </w:r>
      <w:r>
        <w:rPr>
          <w:i/>
          <w:iCs/>
        </w:rPr>
        <w:t>kūli</w:t>
      </w:r>
      <w:r>
        <w:rPr>
          <w:i w:val="false"/>
          <w:iCs w:val="false"/>
        </w:rPr>
        <w:t xml:space="preserve"> being a payment for menial labor. According to Bremen and Daniel, "[b]eing a menial alone did not qualify a person to be called a 'coolie'; s/he had to be a menial who did not have any customary rights." The recipient of the </w:t>
      </w:r>
      <w:r>
        <w:rPr>
          <w:i/>
          <w:iCs/>
        </w:rPr>
        <w:t xml:space="preserve">kūli </w:t>
      </w:r>
      <w:r>
        <w:rPr>
          <w:i w:val="false"/>
          <w:iCs w:val="false"/>
        </w:rPr>
        <w:t xml:space="preserve">was totally severed from a traditional system of social connections: "[t]here was no one who accepted any responsibility for the survival of a menial who received </w:t>
      </w:r>
      <w:r>
        <w:rPr>
          <w:i/>
          <w:iCs/>
        </w:rPr>
        <w:t>kūli</w:t>
      </w:r>
      <w:r>
        <w:rPr>
          <w:i w:val="false"/>
          <w:iCs w:val="false"/>
        </w:rPr>
        <w:t xml:space="preserve">, and </w:t>
      </w:r>
      <w:r>
        <w:rPr>
          <w:i/>
          <w:iCs/>
        </w:rPr>
        <w:t xml:space="preserve">kūli </w:t>
      </w:r>
      <w:r>
        <w:rPr>
          <w:i w:val="false"/>
          <w:iCs w:val="false"/>
        </w:rPr>
        <w:t xml:space="preserve">never served as a token of such responsibility. </w:t>
      </w:r>
      <w:r>
        <w:rPr>
          <w:i/>
          <w:iCs/>
        </w:rPr>
        <w:t>Kūli</w:t>
      </w:r>
      <w:r>
        <w:rPr>
          <w:i w:val="false"/>
          <w:iCs w:val="false"/>
        </w:rPr>
        <w:t>, by its sheer paltriness, came to index the fact that the recipient belonged to 'the lowest level of the industrial labour market'."</w:t>
      </w:r>
      <w:r>
        <w:rPr>
          <w:rStyle w:val="FootnoteReference"/>
          <w:i w:val="false"/>
          <w:iCs w:val="false"/>
        </w:rPr>
        <w:footnoteReference w:id="15"/>
      </w:r>
      <w:r>
        <w:rPr>
          <w:i w:val="false"/>
          <w:iCs w:val="false"/>
        </w:rPr>
        <w:t xml:space="preserve"> Planters in search of cheap and malleable labor found the Tamil coolie to be "not so much a proletarian who stood ready to be transported to the rural and urban enclaves created by the new economy, but one who was available and vulnerable for recruitment by virtue of being cast adrift."</w:t>
      </w:r>
      <w:r>
        <w:rPr>
          <w:rStyle w:val="FootnoteReference"/>
          <w:i w:val="false"/>
          <w:iCs w:val="false"/>
        </w:rPr>
        <w:footnoteReference w:id="16"/>
      </w:r>
      <w:r>
        <w:rPr>
          <w:i w:val="false"/>
          <w:iCs w:val="false"/>
        </w:rPr>
        <w:t xml:space="preserve"> What was to become of the coolie when the work was up?</w:t>
      </w:r>
    </w:p>
    <w:p>
      <w:pPr>
        <w:pStyle w:val="Normal"/>
        <w:spacing w:lineRule="auto" w:line="240"/>
        <w:ind w:hanging="0" w:start="0" w:end="0"/>
        <w:jc w:val="both"/>
        <w:rPr>
          <w:rFonts w:ascii="Liberation Serif" w:hAnsi="Liberation Serif"/>
          <w:i w:val="false"/>
          <w:i w:val="false"/>
          <w:iCs w:val="false"/>
        </w:rPr>
      </w:pPr>
      <w:r>
        <w:rPr>
          <w:i w:val="false"/>
          <w:iCs w:val="false"/>
        </w:rPr>
        <w:tab/>
        <w:t xml:space="preserve">Most of the Tamil workers who migrated to Malaya did so only temporarily. Even in the years of indenture, they served fixed terms, returning home after their contract was up. After the abolition of indentured servitude, the majority of workers still returned home after working for a few years. Repatriation was a controversial topic in colonial India, and prominent Indian nationalists such as Gandhi, though first supporting the repatriation of emigrant workers, began to advocate for the rights of Indians to remain abroad in the communities that they had established. Those workers who did return found that through the process of migrating abroad to work as a coolie, they had lost their status in their old communities and were now considered by Indian planters to be unfit for work. </w:t>
      </w:r>
    </w:p>
    <w:p>
      <w:pPr>
        <w:pStyle w:val="Normal"/>
        <w:spacing w:lineRule="auto" w:line="240"/>
        <w:ind w:hanging="0" w:start="0" w:end="0"/>
        <w:jc w:val="both"/>
        <w:rPr>
          <w:rFonts w:ascii="Liberation Serif" w:hAnsi="Liberation Serif"/>
          <w:i w:val="false"/>
          <w:i w:val="false"/>
          <w:iCs w:val="false"/>
        </w:rPr>
      </w:pPr>
      <w:r>
        <w:rPr>
          <w:i w:val="false"/>
          <w:iCs w:val="false"/>
        </w:rPr>
        <w:tab/>
        <w:t>Sunil Amrith quotes the Indian Agent of Malaya's complaints of the effect of repatriation on migrants, saying that in the process "'no relief is thereby afforded' to Tamil workers, 'but that their suffering is merely transferred from Malaya to South India'."</w:t>
      </w:r>
      <w:r>
        <w:rPr>
          <w:rStyle w:val="FootnoteReference"/>
          <w:i w:val="false"/>
          <w:iCs w:val="false"/>
        </w:rPr>
        <w:footnoteReference w:id="17"/>
      </w:r>
      <w:r>
        <w:rPr>
          <w:i w:val="false"/>
          <w:iCs w:val="false"/>
        </w:rPr>
        <w:t xml:space="preserve"> Jan Bremen goes further and states that returned migrant workers "discovered that they were not 'peasants' but only coolies who had given up their chance of becoming peasants again."</w:t>
      </w:r>
      <w:r>
        <w:rPr>
          <w:rStyle w:val="FootnoteReference"/>
          <w:i w:val="false"/>
          <w:iCs w:val="false"/>
        </w:rPr>
        <w:footnoteReference w:id="18"/>
      </w:r>
      <w:r>
        <w:rPr>
          <w:i w:val="false"/>
          <w:iCs w:val="false"/>
        </w:rPr>
        <w:t xml:space="preserve"> Their ties to the land had been cut, and they were not able to reenter life in their villages on the old terms. He notes that returnees from the Malayan plantations were called by the epithet 'sucked oranges' - their vital forces used up. They were not at an intermediate step between peasant and free wage worker, but had been shunted into a permanent position of precarity.</w:t>
      </w:r>
    </w:p>
    <w:p>
      <w:pPr>
        <w:pStyle w:val="Normal"/>
        <w:spacing w:lineRule="auto" w:line="240"/>
        <w:ind w:hanging="0" w:start="0" w:end="0"/>
        <w:jc w:val="both"/>
        <w:rPr>
          <w:rFonts w:ascii="Liberation Serif" w:hAnsi="Liberation Serif"/>
          <w:i w:val="false"/>
          <w:i w:val="false"/>
          <w:iCs w:val="false"/>
        </w:rPr>
      </w:pPr>
      <w:r>
        <w:rPr>
          <w:i w:val="false"/>
          <w:iCs w:val="false"/>
        </w:rPr>
        <w:tab/>
      </w:r>
      <w:r>
        <w:rPr>
          <w:i w:val="false"/>
          <w:iCs w:val="false"/>
          <w:shd w:fill="auto" w:val="clear"/>
        </w:rPr>
        <w:t>The persistence of coolie-hood beyond the contract term represents a break with the logic of capitalism, as traditionally understood. The arrival of Fordism in the world-economy did not bring proletarianization to South Asia, but but destitution. Family and community structures were exploited and used up in the production process, but no stable wage form was instituted in their stead. If we accept that the production of rubber was a capitalist phenomenon, and that it was a constituent part of the rise of Fordist industry then it becomes clear that the archetype of the Fordist worker is not the 5 dollar a day earning family man, but the footloose lumpen.</w:t>
      </w:r>
    </w:p>
    <w:sectPr>
      <w:headerReference w:type="even" r:id="rId2"/>
      <w:headerReference w:type="default" r:id="rId3"/>
      <w:footnotePr>
        <w:numFmt w:val="decimal"/>
      </w:footnotePr>
      <w:type w:val="nextPage"/>
      <w:pgSz w:w="12240" w:h="15840"/>
      <w:pgMar w:left="1134" w:right="1134" w:gutter="0" w:header="1134" w:top="1693"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footnoteRef/>
      </w:r>
      <w:r>
        <w:rPr/>
        <w:tab/>
        <w:t>P. W. Barker and E. G. Holt, “Rubber Statistics 1900-1937: Production, Absorption, Stocks and Prices,” Trade Promotion Series (Washington: U. S. Department of Commerce, 1938).</w:t>
      </w:r>
    </w:p>
  </w:footnote>
  <w:footnote w:id="3">
    <w:p>
      <w:pPr>
        <w:pStyle w:val="FootnoteText"/>
        <w:rPr/>
      </w:pPr>
      <w:r>
        <w:rPr>
          <w:rStyle w:val="FootnoteCharacters"/>
        </w:rPr>
        <w:footnoteRef/>
      </w:r>
      <w:r>
        <w:rPr/>
        <w:tab/>
        <w:t xml:space="preserve">Amrith, </w:t>
      </w:r>
      <w:r>
        <w:rPr>
          <w:i/>
        </w:rPr>
        <w:t>Crossing the Bay of Bengal,</w:t>
      </w:r>
      <w:r>
        <w:rPr/>
        <w:t xml:space="preserve"> 104.</w:t>
      </w:r>
    </w:p>
  </w:footnote>
  <w:footnote w:id="4">
    <w:p>
      <w:pPr>
        <w:pStyle w:val="FootnoteText"/>
        <w:rPr/>
      </w:pPr>
      <w:r>
        <w:rPr>
          <w:rStyle w:val="FootnoteCharacters"/>
        </w:rPr>
        <w:footnoteRef/>
      </w:r>
      <w:r>
        <w:rPr/>
        <w:tab/>
        <w:t>Colonial Office Great Britain, “Annual Report on the Social and Economic Progress of the People of the Straits Settlements” (London: H.M. Stationary Office, 1923), 29.</w:t>
      </w:r>
    </w:p>
  </w:footnote>
  <w:footnote w:id="5">
    <w:p>
      <w:pPr>
        <w:pStyle w:val="FootnoteText"/>
        <w:rPr/>
      </w:pPr>
      <w:r>
        <w:rPr>
          <w:rStyle w:val="FootnoteCharacters"/>
        </w:rPr>
        <w:footnoteRef/>
      </w:r>
      <w:r>
        <w:rPr/>
        <w:tab/>
        <w:t>Colonial Office Great Britain, “Annual Report on the Social and Economic Progress of the People of the Straits Settlements” (London: H.M. Stationary Office, 1931), 24.</w:t>
      </w:r>
    </w:p>
  </w:footnote>
  <w:footnote w:id="6">
    <w:p>
      <w:pPr>
        <w:pStyle w:val="FootnoteText"/>
        <w:rPr/>
      </w:pPr>
      <w:r>
        <w:rPr>
          <w:rStyle w:val="FootnoteCharacters"/>
        </w:rPr>
        <w:footnoteRef/>
      </w:r>
      <w:r>
        <w:rPr/>
        <w:tab/>
        <w:t>Colonial Office Great Britain, “Annual Report on the Social and Economic Progress of the People of the Straits Settlements” (London: H.M. Stationary Office, 1917), 28.</w:t>
      </w:r>
    </w:p>
  </w:footnote>
  <w:footnote w:id="7">
    <w:p>
      <w:pPr>
        <w:pStyle w:val="FootnoteText"/>
        <w:rPr/>
      </w:pPr>
      <w:r>
        <w:rPr>
          <w:rStyle w:val="FootnoteCharacters"/>
        </w:rPr>
        <w:footnoteRef/>
      </w:r>
      <w:r>
        <w:rPr/>
        <w:tab/>
        <w:t>Colonial Office Great Britain, “Annual Report on the Social and Economic Progress of the People of the Straits Settlements” (London: H.M. Stationary Office, 1931), 25-27.</w:t>
      </w:r>
    </w:p>
  </w:footnote>
  <w:footnote w:id="8">
    <w:p>
      <w:pPr>
        <w:pStyle w:val="FootnoteText"/>
        <w:rPr/>
      </w:pPr>
      <w:r>
        <w:rPr>
          <w:rStyle w:val="FootnoteCharacters"/>
        </w:rPr>
        <w:footnoteRef/>
      </w:r>
      <w:r>
        <w:rPr/>
        <w:tab/>
        <w:t xml:space="preserve">Amrith, </w:t>
      </w:r>
      <w:r>
        <w:rPr>
          <w:i/>
        </w:rPr>
        <w:t>Crossing the Bay of Bengal,</w:t>
      </w:r>
      <w:r>
        <w:rPr/>
        <w:t xml:space="preserve"> 115.</w:t>
      </w:r>
    </w:p>
  </w:footnote>
  <w:footnote w:id="9">
    <w:p>
      <w:pPr>
        <w:pStyle w:val="FootnoteText"/>
        <w:rPr/>
      </w:pPr>
      <w:r>
        <w:rPr>
          <w:rStyle w:val="FootnoteCharacters"/>
        </w:rPr>
        <w:footnoteRef/>
      </w:r>
      <w:r>
        <w:rPr/>
        <w:tab/>
        <w:t xml:space="preserve">Amrith, </w:t>
      </w:r>
      <w:r>
        <w:rPr>
          <w:i/>
        </w:rPr>
        <w:t xml:space="preserve">Crossing the Bay of Bengal, </w:t>
      </w:r>
      <w:r>
        <w:rPr/>
        <w:t>82-83.</w:t>
      </w:r>
    </w:p>
  </w:footnote>
  <w:footnote w:id="10">
    <w:p>
      <w:pPr>
        <w:pStyle w:val="FootnoteText"/>
        <w:rPr/>
      </w:pPr>
      <w:r>
        <w:rPr>
          <w:rStyle w:val="FootnoteCharacters"/>
        </w:rPr>
        <w:footnoteRef/>
      </w:r>
      <w:r>
        <w:rPr/>
        <w:tab/>
        <w:t xml:space="preserve">Parmer, </w:t>
      </w:r>
      <w:r>
        <w:rPr>
          <w:i/>
        </w:rPr>
        <w:t>Colonial Labor Policy,</w:t>
      </w:r>
      <w:r>
        <w:rPr/>
        <w:t xml:space="preserve"> 58.</w:t>
      </w:r>
    </w:p>
  </w:footnote>
  <w:footnote w:id="11">
    <w:p>
      <w:pPr>
        <w:pStyle w:val="FootnoteText"/>
        <w:rPr/>
      </w:pPr>
      <w:r>
        <w:rPr>
          <w:rStyle w:val="FootnoteCharacters"/>
        </w:rPr>
        <w:footnoteRef/>
      </w:r>
      <w:r>
        <w:rPr/>
        <w:tab/>
        <w:t xml:space="preserve">Parmer, </w:t>
      </w:r>
      <w:r>
        <w:rPr>
          <w:i/>
        </w:rPr>
        <w:t>Colonial Labor Policy,</w:t>
      </w:r>
      <w:r>
        <w:rPr/>
        <w:t xml:space="preserve"> 22.</w:t>
      </w:r>
    </w:p>
  </w:footnote>
  <w:footnote w:id="12">
    <w:p>
      <w:pPr>
        <w:pStyle w:val="FootnoteText"/>
        <w:rPr/>
      </w:pPr>
      <w:r>
        <w:rPr>
          <w:rStyle w:val="FootnoteCharacters"/>
        </w:rPr>
        <w:footnoteRef/>
      </w:r>
      <w:r>
        <w:rPr>
          <w:i w:val="false"/>
          <w:iCs w:val="false"/>
        </w:rPr>
        <w:tab/>
        <w:t>“</w:t>
      </w:r>
      <w:r>
        <w:rPr>
          <w:i w:val="false"/>
          <w:iCs w:val="false"/>
        </w:rPr>
        <w:t>British Imperialism in Malaya,” Colonial Series (London: Labour Research Department, 1926), 5.</w:t>
      </w:r>
    </w:p>
  </w:footnote>
  <w:footnote w:id="13">
    <w:p>
      <w:pPr>
        <w:pStyle w:val="FootnoteText"/>
        <w:rPr/>
      </w:pPr>
      <w:r>
        <w:rPr>
          <w:rStyle w:val="FootnoteCharacters"/>
        </w:rPr>
        <w:footnoteRef/>
      </w:r>
      <w:r>
        <w:rPr>
          <w:i w:val="false"/>
          <w:iCs w:val="false"/>
        </w:rPr>
        <w:tab/>
        <w:t>“</w:t>
      </w:r>
      <w:r>
        <w:rPr>
          <w:i w:val="false"/>
          <w:iCs w:val="false"/>
        </w:rPr>
        <w:t>British Imperialism in Malaya,” 37.</w:t>
      </w:r>
    </w:p>
  </w:footnote>
  <w:footnote w:id="14">
    <w:p>
      <w:pPr>
        <w:pStyle w:val="FootnoteText"/>
        <w:rPr/>
      </w:pPr>
      <w:r>
        <w:rPr>
          <w:rStyle w:val="FootnoteCharacters"/>
        </w:rPr>
        <w:footnoteRef/>
      </w:r>
      <w:r>
        <w:rPr>
          <w:i w:val="false"/>
          <w:iCs w:val="false"/>
        </w:rPr>
        <w:tab/>
        <w:t>“</w:t>
      </w:r>
      <w:r>
        <w:rPr>
          <w:i w:val="false"/>
          <w:iCs w:val="false"/>
        </w:rPr>
        <w:t>British Imperialism in Malaya,” 38.</w:t>
      </w:r>
    </w:p>
  </w:footnote>
  <w:footnote w:id="15">
    <w:p>
      <w:pPr>
        <w:pStyle w:val="FootnoteText"/>
        <w:rPr/>
      </w:pPr>
      <w:r>
        <w:rPr>
          <w:rStyle w:val="FootnoteCharacters"/>
        </w:rPr>
        <w:footnoteRef/>
      </w:r>
      <w:r>
        <w:rPr>
          <w:i w:val="false"/>
          <w:iCs w:val="false"/>
        </w:rPr>
        <w:tab/>
        <w:t xml:space="preserve">Jan Bremen and E. Valentine Daniel, “Conclusion: The Making of a Coolie,” </w:t>
      </w:r>
      <w:r>
        <w:rPr>
          <w:i/>
          <w:iCs w:val="false"/>
        </w:rPr>
        <w:t>The Journal of Peasant Studies</w:t>
      </w:r>
      <w:r>
        <w:rPr>
          <w:i w:val="false"/>
          <w:iCs w:val="false"/>
        </w:rPr>
        <w:t xml:space="preserve"> 19, no. 3–4 (1992), 269.</w:t>
      </w:r>
    </w:p>
  </w:footnote>
  <w:footnote w:id="16">
    <w:p>
      <w:pPr>
        <w:pStyle w:val="FootnoteText"/>
        <w:rPr/>
      </w:pPr>
      <w:r>
        <w:rPr>
          <w:rStyle w:val="FootnoteCharacters"/>
        </w:rPr>
        <w:footnoteRef/>
      </w:r>
      <w:r>
        <w:rPr>
          <w:i w:val="false"/>
          <w:iCs w:val="false"/>
        </w:rPr>
        <w:tab/>
        <w:t>Bremen and Daniel, “Conclusion: The Making of a Coolie,” 270.</w:t>
      </w:r>
    </w:p>
  </w:footnote>
  <w:footnote w:id="17">
    <w:p>
      <w:pPr>
        <w:pStyle w:val="FootnoteText"/>
        <w:rPr/>
      </w:pPr>
      <w:r>
        <w:rPr>
          <w:rStyle w:val="FootnoteCharacters"/>
        </w:rPr>
        <w:footnoteRef/>
      </w:r>
      <w:r>
        <w:rPr/>
        <w:tab/>
        <w:t>Amrith, “Indians Overseas? Governing Tamil Migration to Malaya 1870-1941,” 256.</w:t>
      </w:r>
    </w:p>
  </w:footnote>
  <w:footnote w:id="18">
    <w:p>
      <w:pPr>
        <w:pStyle w:val="FootnoteText"/>
        <w:rPr/>
      </w:pPr>
      <w:r>
        <w:rPr>
          <w:rStyle w:val="FootnoteCharacters"/>
        </w:rPr>
        <w:footnoteRef/>
      </w:r>
      <w:r>
        <w:rPr/>
        <w:tab/>
        <w:t>Bremen and Daniel, “Conclusion: The Making of a Coolie,” 278.</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pPr>
    <w:bookmarkStart w:id="0" w:name="PageNumWizard_HEADER_Default_Page_Style2"/>
    <w:r>
      <w:rPr/>
      <w:fldChar w:fldCharType="begin"/>
    </w:r>
    <w:r>
      <w:rPr/>
      <w:instrText xml:space="preserve"> PAGE </w:instrText>
    </w:r>
    <w:r>
      <w:rPr/>
      <w:fldChar w:fldCharType="separate"/>
    </w:r>
    <w:r>
      <w:rPr/>
      <w:t>4</w:t>
    </w:r>
    <w:r>
      <w:rPr/>
      <w:fldChar w:fldCharType="end"/>
    </w:r>
    <w:bookmarkEnd w:id="0"/>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pPr>
    <w:bookmarkStart w:id="1" w:name="PageNumWizard_HEADER_Default_Page_Style3"/>
    <w:r>
      <w:rPr/>
      <w:fldChar w:fldCharType="begin"/>
    </w:r>
    <w:r>
      <w:rPr/>
      <w:instrText xml:space="preserve"> PAGE </w:instrText>
    </w:r>
    <w:r>
      <w:rPr/>
      <w:fldChar w:fldCharType="separate"/>
    </w:r>
    <w:r>
      <w:rPr/>
      <w:t>5</w:t>
    </w:r>
    <w:r>
      <w:rPr/>
      <w:fldChar w:fldCharType="end"/>
    </w:r>
    <w:bookmarkEnd w:id="1"/>
  </w:p>
</w:hdr>
</file>

<file path=word/settings.xml><?xml version="1.0" encoding="utf-8"?>
<w:settings xmlns:w="http://schemas.openxmlformats.org/wordprocessingml/2006/main">
  <w:zoom w:percent="119"/>
  <w:defaultTabStop w:val="709"/>
  <w:autoHyphenation w:val="true"/>
  <w:evenAndOddHeaders/>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pPr>
      <w:suppressLineNumbers/>
      <w:ind w:hanging="340" w:start="340"/>
    </w:pPr>
    <w:rPr>
      <w:sz w:val="20"/>
      <w:szCs w:val="20"/>
    </w:rPr>
  </w:style>
  <w:style w:type="paragraph" w:styleId="Comment">
    <w:name w:val="Comment"/>
    <w:basedOn w:val="Normal"/>
    <w:qFormat/>
    <w:pPr/>
    <w:rPr>
      <w:sz w:val="20"/>
      <w:szCs w:val="20"/>
    </w:rPr>
  </w:style>
  <w:style w:type="paragraph" w:styleId="EndnoteText">
    <w:name w:val="Endnote Text"/>
    <w:basedOn w:val="Normal"/>
    <w:pPr>
      <w:suppressLineNumbers/>
      <w:ind w:hanging="340" w:start="340"/>
    </w:pPr>
    <w:rPr>
      <w:sz w:val="20"/>
      <w:szCs w:val="20"/>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notes" Target="footnot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4804</TotalTime>
  <Application>LibreOffice/24.2.7.2$Linux_X86_64 LibreOffice_project/420$Build-2</Application>
  <AppVersion>15.0000</AppVersion>
  <Pages>5</Pages>
  <Words>3008</Words>
  <Characters>15647</Characters>
  <CharactersWithSpaces>18635</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2025-08-26T10:03:27Z</dcterms:created>
  <dc:creator/>
  <dc:description/>
  <dc:language>en-US</dc:language>
  <cp:lastModifiedBy/>
  <dcterms:modified xsi:type="dcterms:W3CDTF">2025-10-23T13:24:47Z</dcterms:modified>
  <cp:revision>49</cp:revision>
  <dc:subject/>
  <dc:title/>
</cp:coreProperties>
</file>

<file path=docProps/custom.xml><?xml version="1.0" encoding="utf-8"?>
<Properties xmlns="http://schemas.openxmlformats.org/officeDocument/2006/custom-properties" xmlns:vt="http://schemas.openxmlformats.org/officeDocument/2006/docPropsVTypes"/>
</file>