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notes.xml" ContentType="application/vnd.openxmlformats-officedocument.wordprocessingml.footnot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t>History</w:t>
      </w:r>
    </w:p>
    <w:p>
      <w:pPr>
        <w:pStyle w:val="Normal"/>
        <w:bidi w:val="0"/>
        <w:jc w:val="start"/>
        <w:rPr/>
      </w:pPr>
      <w:r>
        <w:rPr/>
        <w:t>Kenyon Cavender</w:t>
      </w:r>
    </w:p>
    <w:p>
      <w:pPr>
        <w:pStyle w:val="Normal"/>
        <w:bidi w:val="0"/>
        <w:jc w:val="start"/>
        <w:rPr/>
      </w:pPr>
      <w:r>
        <w:rPr/>
      </w:r>
    </w:p>
    <w:p>
      <w:pPr>
        <w:pStyle w:val="Normal"/>
        <w:bidi w:val="0"/>
        <w:jc w:val="start"/>
        <w:rPr/>
      </w:pPr>
      <w:r>
        <w:rPr/>
        <w:t>We begin, of course, with Marx. "Men make their own history, but they do not make it as they please; they do not make it under self-selected circumstances, but under circumstances existing already, given and transmitted from the past. The tradition of all dead generations weighs like a nightmare on the brains of the living."</w:t>
      </w:r>
      <w:r>
        <w:rPr>
          <w:rStyle w:val="FootnoteReference"/>
        </w:rPr>
        <w:footnoteReference w:id="2"/>
      </w:r>
      <w:r>
        <w:rPr/>
        <w:t xml:space="preserve"> This quote would perhaps be Marx's most famous if it did not immediately follow his diagnosis of history's tendency to satirize itself. The past persists - but it does not persist simply. It's structures live on in the present in mutated form, blocking horizons, and undermining hope. It seems to me that the purpose of history is, if not to exorcise these nightmares, at least to bring them to light that they may be acted on directly.</w:t>
      </w:r>
    </w:p>
    <w:p>
      <w:pPr>
        <w:pStyle w:val="Normal"/>
        <w:bidi w:val="0"/>
        <w:jc w:val="start"/>
        <w:rPr/>
      </w:pPr>
      <w:r>
        <w:rPr/>
      </w:r>
    </w:p>
    <w:p>
      <w:pPr>
        <w:pStyle w:val="Normal"/>
        <w:bidi w:val="0"/>
        <w:jc w:val="start"/>
        <w:rPr/>
      </w:pPr>
      <w:r>
        <w:rPr/>
        <w:t>Marx not only diagnoses the our state of unfreedom, but also its</w:t>
      </w:r>
      <w:r>
        <w:rPr/>
        <w:t xml:space="preserve"> specific form in this, the capitalist epoch</w:t>
      </w:r>
      <w:r>
        <w:rPr/>
        <w:t>: we live in a society mediated by exchange. We are dominated by an abstraction that collapses every thing that exists to some common substance. It asserts that the incommensurable is in fact commensurable, that there is some element in a shoe that corresponds to an identical element in a song or a piece of software. And this element - value - which is created by us comes to rule over us.</w:t>
      </w:r>
      <w:r>
        <w:rPr/>
        <w:t xml:space="preserve"> Adorno puts this best: "[T]he totality within which we live, and which we can feel in each of our social actions, is conditioned not by a direct 'togetherness' encompassing us all, but by the fact that we are essentially divided from each other through the abstract relationship of exchange. It is not only a unity of separate parts, but a unity which is really only constituted through the mechanism of separation and abstraction."</w:t>
      </w:r>
      <w:r>
        <w:rPr>
          <w:rStyle w:val="FootnoteReference"/>
        </w:rPr>
        <w:footnoteReference w:id="3"/>
      </w:r>
    </w:p>
    <w:p>
      <w:pPr>
        <w:pStyle w:val="Normal"/>
        <w:bidi w:val="0"/>
        <w:jc w:val="start"/>
        <w:rPr/>
      </w:pPr>
      <w:r>
        <w:rPr/>
      </w:r>
    </w:p>
    <w:p>
      <w:pPr>
        <w:pStyle w:val="Normal"/>
        <w:bidi w:val="0"/>
        <w:jc w:val="start"/>
        <w:rPr/>
      </w:pPr>
      <w:r>
        <w:rPr/>
        <w:t>From here a contradiction: this great historical event, the socialization of labor, is accompanied by - achieved through - a radical atomization of society. It is tempting to ascribe to this dynamic two poles, the socialization of labor being positive and the atomization of society negative. After all, the industrial division of labor makes use-values cheaper to produce, and contains the potential to free us from labor</w:t>
      </w:r>
      <w:r>
        <w:rPr/>
        <w:t xml:space="preserve"> altogether</w:t>
      </w:r>
      <w:r>
        <w:rPr/>
        <w:t xml:space="preserve">. But when it is moderated by the exchange relation, exchange becomes not the means of distribution, but the end-point of the whole shindig. We become dominated by exchange and use-value falls from its primary position in the history of production to a subordinate one. No longer to we produce to consume, but rather we consume to produce. Could we take this progressive element of capitalism and free it from the strictures of exchange? A nice dream. </w:t>
      </w:r>
    </w:p>
    <w:p>
      <w:pPr>
        <w:pStyle w:val="Normal"/>
        <w:bidi w:val="0"/>
        <w:jc w:val="start"/>
        <w:rPr/>
      </w:pPr>
      <w:r>
        <w:rPr/>
      </w:r>
    </w:p>
    <w:p>
      <w:pPr>
        <w:pStyle w:val="Normal"/>
        <w:bidi w:val="0"/>
        <w:jc w:val="start"/>
        <w:rPr/>
      </w:pPr>
      <w:r>
        <w:rPr/>
        <w:t>What part of this interests me? It seems to me that this dual movement of socialization and atomization extend much beyond the wage-form. Marx writes that "</w:t>
      </w:r>
      <w:r>
        <w:rPr/>
        <w:t xml:space="preserve">the veiled </w:t>
      </w:r>
      <w:r>
        <w:rPr>
          <w:rStyle w:val="Emphasis"/>
          <w:i w:val="false"/>
          <w:iCs w:val="false"/>
        </w:rPr>
        <w:t>slavery</w:t>
      </w:r>
      <w:r>
        <w:rPr/>
        <w:t xml:space="preserve"> of the wage workers in </w:t>
      </w:r>
      <w:r>
        <w:rPr>
          <w:rStyle w:val="Emphasis"/>
          <w:i w:val="false"/>
          <w:iCs w:val="false"/>
        </w:rPr>
        <w:t>Europe</w:t>
      </w:r>
      <w:r>
        <w:rPr/>
        <w:t xml:space="preserve"> needed, for its </w:t>
      </w:r>
      <w:r>
        <w:rPr>
          <w:rStyle w:val="Emphasis"/>
          <w:i w:val="false"/>
          <w:iCs w:val="false"/>
        </w:rPr>
        <w:t>pedestal</w:t>
      </w:r>
      <w:r>
        <w:rPr/>
        <w:t xml:space="preserve">, </w:t>
      </w:r>
      <w:r>
        <w:rPr>
          <w:rStyle w:val="Emphasis"/>
          <w:i w:val="false"/>
          <w:iCs w:val="false"/>
        </w:rPr>
        <w:t>slavery</w:t>
      </w:r>
      <w:r>
        <w:rPr/>
        <w:t xml:space="preserve"> pure and simple in the new world</w:t>
      </w:r>
      <w:r>
        <w:rPr/>
        <w:t>."</w:t>
      </w:r>
      <w:r>
        <w:rPr>
          <w:rStyle w:val="FootnoteReference"/>
        </w:rPr>
        <w:footnoteReference w:id="4"/>
      </w:r>
      <w:r>
        <w:rPr/>
        <w:t xml:space="preserve"> Two things are happening here: one he is asserting again that to be a productive laborer in capitalism is </w:t>
      </w:r>
      <w:r>
        <w:rPr/>
        <w:t>"</w:t>
      </w:r>
      <w:r>
        <w:rPr/>
        <w:t xml:space="preserve">not a </w:t>
      </w:r>
      <w:r>
        <w:rPr/>
        <w:t>piece of luck, but a misfortun</w:t>
      </w:r>
      <w:r>
        <w:rPr/>
        <w:t>e,</w:t>
      </w:r>
      <w:r>
        <w:rPr/>
        <w:t>"</w:t>
      </w:r>
      <w:r>
        <w:rPr>
          <w:rStyle w:val="FootnoteReference"/>
        </w:rPr>
        <w:footnoteReference w:id="5"/>
      </w:r>
      <w:r>
        <w:rPr/>
        <w:t xml:space="preserve"> and</w:t>
      </w:r>
      <w:r>
        <w:rPr/>
        <w:t xml:space="preserve"> two</w:t>
      </w:r>
      <w:r>
        <w:rPr/>
        <w:t xml:space="preserve"> that </w:t>
      </w:r>
      <w:r>
        <w:rPr/>
        <w:t xml:space="preserve">even </w:t>
      </w:r>
      <w:r>
        <w:rPr/>
        <w:t xml:space="preserve">this </w:t>
      </w:r>
      <w:r>
        <w:rPr/>
        <w:t>misfortune</w:t>
      </w:r>
      <w:r>
        <w:rPr/>
        <w:t xml:space="preserve"> itself rests upon a much larger</w:t>
      </w:r>
      <w:r>
        <w:rPr/>
        <w:t xml:space="preserve"> bit of bad luck. The progress of the wage in certain parts of the world not only creates its own local forms of unfreedom - atomization, alienation, mute compulsion, take-your-pick - but also generates an intensification of the old forms of unfreedom - slavery, forced labor, brutality, etc. It may be better to say that it intensifies them as it transforms them. Again, Marx is of help: "as soon as peoples whose production still moves within the lower forms of slave-labour, the </w:t>
      </w:r>
      <w:r>
        <w:rPr>
          <w:i/>
          <w:iCs/>
        </w:rPr>
        <w:t>corvée</w:t>
      </w:r>
      <w:r>
        <w:rPr>
          <w:i w:val="false"/>
          <w:iCs w:val="false"/>
        </w:rPr>
        <w:t>, etc. are drawn into a world market dominated by the capitalist mode of production, whereby the sale of their products for export develops into their principal interest, the civilized horro</w:t>
      </w:r>
      <w:r>
        <w:rPr>
          <w:i w:val="false"/>
          <w:iCs w:val="false"/>
        </w:rPr>
        <w:t>r</w:t>
      </w:r>
      <w:r>
        <w:rPr>
          <w:i w:val="false"/>
          <w:iCs w:val="false"/>
        </w:rPr>
        <w:t>s of over-work are grafted on the barbaric horrors of slavery....</w:t>
      </w:r>
      <w:r>
        <w:rPr/>
        <w:t>"</w:t>
      </w:r>
      <w:r>
        <w:rPr>
          <w:rStyle w:val="FootnoteReference"/>
        </w:rPr>
        <w:footnoteReference w:id="6"/>
      </w:r>
    </w:p>
    <w:p>
      <w:pPr>
        <w:pStyle w:val="Normal"/>
        <w:bidi w:val="0"/>
        <w:jc w:val="start"/>
        <w:rPr/>
      </w:pPr>
      <w:r>
        <w:rPr/>
      </w:r>
    </w:p>
    <w:p>
      <w:pPr>
        <w:pStyle w:val="Normal"/>
        <w:bidi w:val="0"/>
        <w:jc w:val="start"/>
        <w:rPr/>
      </w:pPr>
      <w:r>
        <w:rPr/>
        <w:t xml:space="preserve">But again there is an issue here. Marx frames this as a certain stage within a progression, one that may be </w:t>
      </w:r>
      <w:r>
        <w:rPr/>
        <w:t>transcended</w:t>
      </w:r>
      <w:r>
        <w:rPr/>
        <w:t xml:space="preserve"> once those peoples move out of the 'lower forms' of production. I am not so sure. It seems to me that the grafting on of over-work to slavery, this hybrid beast so often dismissed as an anachronism, is a fundamental feature of the capitalist system. Over and over again people are thrown out of traditional relationships (there seems to always be more commons available for enclosure), but less and less are they initiated into the wage. If they can work, it is in a decidedly unfree manner. Insofar as they have it, their freedom is often onesided: the freedom only to starve. </w:t>
      </w:r>
    </w:p>
    <w:p>
      <w:pPr>
        <w:pStyle w:val="Normal"/>
        <w:bidi w:val="0"/>
        <w:jc w:val="start"/>
        <w:rPr/>
      </w:pPr>
      <w:r>
        <w:rPr/>
      </w:r>
    </w:p>
    <w:p>
      <w:pPr>
        <w:pStyle w:val="Normal"/>
        <w:bidi w:val="0"/>
        <w:jc w:val="start"/>
        <w:rPr/>
      </w:pPr>
      <w:r>
        <w:rPr/>
        <w:t xml:space="preserve">This is my sense. </w:t>
      </w:r>
      <w:r>
        <w:rPr/>
        <w:t>It is w</w:t>
      </w:r>
      <w:r>
        <w:rPr/>
        <w:t>hat I have seen in the archives of the rubber</w:t>
      </w:r>
      <w:r>
        <w:rPr/>
        <w:t xml:space="preserve"> workers, and what I have seen in my work with tenants movements. Whether it is a true picture of capitalism or a result of some selection bias, I have yet to discern.</w:t>
      </w:r>
    </w:p>
    <w:sectPr>
      <w:footnotePr>
        <w:numFmt w:val="decimal"/>
      </w:footnote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roman"/>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Text"/>
        <w:rPr/>
      </w:pPr>
      <w:r>
        <w:rPr>
          <w:rStyle w:val="FootnoteCharacters"/>
        </w:rPr>
        <w:footnoteRef/>
      </w:r>
      <w:r>
        <w:rPr/>
        <w:tab/>
        <w:t xml:space="preserve">. Marx, </w:t>
      </w:r>
      <w:r>
        <w:rPr>
          <w:i/>
          <w:iCs/>
        </w:rPr>
        <w:t>The Eighteenth Brumaire</w:t>
      </w:r>
      <w:r>
        <w:rPr>
          <w:i/>
          <w:iCs/>
        </w:rPr>
        <w:t xml:space="preserve"> </w:t>
      </w:r>
      <w:r>
        <w:rPr>
          <w:i/>
          <w:iCs/>
        </w:rPr>
        <w:t>of Louis Bonaparte</w:t>
      </w:r>
      <w:r>
        <w:rPr>
          <w:i w:val="false"/>
          <w:iCs w:val="false"/>
        </w:rPr>
        <w:t>, Chapter 1</w:t>
      </w:r>
    </w:p>
  </w:footnote>
  <w:footnote w:id="3">
    <w:p>
      <w:pPr>
        <w:pStyle w:val="FootnoteText"/>
        <w:rPr/>
      </w:pPr>
      <w:r>
        <w:rPr>
          <w:rStyle w:val="FootnoteCharacters"/>
        </w:rPr>
        <w:footnoteRef/>
      </w:r>
      <w:r>
        <w:rPr/>
        <w:tab/>
        <w:t xml:space="preserve">. </w:t>
      </w:r>
      <w:r>
        <w:rPr>
          <w:i w:val="false"/>
          <w:iCs w:val="false"/>
        </w:rPr>
        <w:t>Adorno,</w:t>
      </w:r>
      <w:r>
        <w:rPr>
          <w:i/>
          <w:iCs/>
        </w:rPr>
        <w:t xml:space="preserve"> Introduction to Sociology</w:t>
      </w:r>
      <w:r>
        <w:rPr/>
        <w:t>, Lecture 5</w:t>
      </w:r>
    </w:p>
  </w:footnote>
  <w:footnote w:id="4">
    <w:p>
      <w:pPr>
        <w:pStyle w:val="FootnoteText"/>
        <w:rPr/>
      </w:pPr>
      <w:r>
        <w:rPr>
          <w:rStyle w:val="FootnoteCharacters"/>
        </w:rPr>
        <w:footnoteRef/>
      </w:r>
      <w:r>
        <w:rPr/>
        <w:tab/>
        <w:t xml:space="preserve">. Marx, </w:t>
      </w:r>
      <w:r>
        <w:rPr>
          <w:i/>
          <w:iCs/>
        </w:rPr>
        <w:t>Capital</w:t>
      </w:r>
      <w:r>
        <w:rPr>
          <w:i w:val="false"/>
          <w:iCs w:val="false"/>
        </w:rPr>
        <w:t>, p 925</w:t>
      </w:r>
    </w:p>
  </w:footnote>
  <w:footnote w:id="5">
    <w:p>
      <w:pPr>
        <w:pStyle w:val="FootnoteText"/>
        <w:rPr/>
      </w:pPr>
      <w:r>
        <w:rPr>
          <w:rStyle w:val="FootnoteCharacters"/>
        </w:rPr>
        <w:footnoteRef/>
      </w:r>
      <w:r>
        <w:rPr/>
        <w:tab/>
        <w:t xml:space="preserve">. Marx, </w:t>
      </w:r>
      <w:r>
        <w:rPr>
          <w:i/>
          <w:iCs/>
        </w:rPr>
        <w:t>Capital,</w:t>
      </w:r>
      <w:r>
        <w:rPr>
          <w:i w:val="false"/>
          <w:iCs w:val="false"/>
        </w:rPr>
        <w:t xml:space="preserve"> p 644</w:t>
      </w:r>
    </w:p>
  </w:footnote>
  <w:footnote w:id="6">
    <w:p>
      <w:pPr>
        <w:pStyle w:val="FootnoteText"/>
        <w:rPr/>
      </w:pPr>
      <w:r>
        <w:rPr>
          <w:rStyle w:val="FootnoteCharacters"/>
        </w:rPr>
        <w:footnoteRef/>
      </w:r>
      <w:r>
        <w:rPr/>
        <w:tab/>
        <w:t xml:space="preserve">. Marx, </w:t>
      </w:r>
      <w:r>
        <w:rPr>
          <w:i/>
          <w:iCs/>
        </w:rPr>
        <w:t>Capital</w:t>
      </w:r>
      <w:r>
        <w:rPr>
          <w:i w:val="false"/>
          <w:iCs w:val="false"/>
        </w:rPr>
        <w:t>, p 345</w:t>
      </w:r>
    </w:p>
  </w:footnote>
</w:footnotes>
</file>

<file path=word/settings.xml><?xml version="1.0" encoding="utf-8"?>
<w:settings xmlns:w="http://schemas.openxmlformats.org/wordprocessingml/2006/main">
  <w:zoom w:percent="75"/>
  <w:defaultTabStop w:val="709"/>
  <w:autoHyphenation w:val="true"/>
  <w:footnotePr>
    <w:numFmt w:val="decimal"/>
    <w:footnote w:id="0"/>
    <w:footnote w:id="1"/>
  </w:footnotePr>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Noto Sans Devanagari"/>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character" w:styleId="FootnoteCharacters">
    <w:name w:val="Footnote Characters"/>
    <w:qFormat/>
    <w:rPr/>
  </w:style>
  <w:style w:type="character" w:styleId="FootnoteReference">
    <w:name w:val="Footnote Reference"/>
    <w:rPr>
      <w:vertAlign w:val="superscript"/>
    </w:rPr>
  </w:style>
  <w:style w:type="character" w:styleId="Hyperlink">
    <w:name w:val="Hyperlink"/>
    <w:rPr>
      <w:color w:val="000080"/>
      <w:u w:val="single"/>
    </w:rPr>
  </w:style>
  <w:style w:type="character" w:styleId="Emphasis">
    <w:name w:val="Emphasis"/>
    <w:qFormat/>
    <w:rPr>
      <w:i/>
      <w:iCs/>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FootnoteText">
    <w:name w:val="Footnote Text"/>
    <w:basedOn w:val="Normal"/>
    <w:pPr>
      <w:suppressLineNumbers/>
      <w:ind w:hanging="340" w:start="34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notes" Target="footnot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12</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2025-11-09T19:29:13Z</dcterms:created>
  <dc:creator/>
  <dc:description/>
  <dc:language>en-US</dc:language>
  <cp:lastModifiedBy/>
  <dcterms:modified xsi:type="dcterms:W3CDTF">2025-11-18T12:17:05Z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